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WASHINGTON, D.C. 20549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800" w:right="3720" w:hanging="3756"/>
        <w:spacing w:after="0" w:line="360"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SEPTEMBER 30, 2014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23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8" w:lineRule="exact"/>
        <w:rPr>
          <w:sz w:val="24"/>
          <w:szCs w:val="24"/>
          <w:color w:val="auto"/>
        </w:rPr>
      </w:pPr>
    </w:p>
    <w:p>
      <w:pPr>
        <w:ind w:left="346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814-00736</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8" w:lineRule="exact"/>
        <w:rPr>
          <w:sz w:val="24"/>
          <w:szCs w:val="24"/>
          <w:color w:val="auto"/>
        </w:rPr>
      </w:pPr>
    </w:p>
    <w:p>
      <w:pPr>
        <w:ind w:left="2420"/>
        <w:spacing w:after="0"/>
        <w:tabs>
          <w:tab w:leader="none" w:pos="8140" w:val="left"/>
        </w:tabs>
        <w:rPr>
          <w:sz w:val="20"/>
          <w:szCs w:val="20"/>
          <w:color w:val="auto"/>
        </w:rPr>
      </w:pPr>
      <w:r>
        <w:rPr>
          <w:rFonts w:ascii="Arial" w:cs="Arial" w:eastAsia="Arial" w:hAnsi="Arial"/>
          <w:sz w:val="14"/>
          <w:szCs w:val="14"/>
          <w:b w:val="1"/>
          <w:bCs w:val="1"/>
          <w:color w:val="auto"/>
        </w:rPr>
        <w:t>MARYLAND</w:t>
      </w:r>
      <w:r>
        <w:rPr>
          <w:sz w:val="20"/>
          <w:szCs w:val="20"/>
          <w:color w:val="auto"/>
        </w:rPr>
        <w:tab/>
      </w:r>
      <w:r>
        <w:rPr>
          <w:rFonts w:ascii="Arial" w:cs="Arial" w:eastAsia="Arial" w:hAnsi="Arial"/>
          <w:sz w:val="14"/>
          <w:szCs w:val="14"/>
          <w:b w:val="1"/>
          <w:bCs w:val="1"/>
          <w:color w:val="auto"/>
        </w:rPr>
        <w:t>20-8250744</w:t>
      </w:r>
    </w:p>
    <w:p>
      <w:pPr>
        <w:spacing w:after="0" w:line="4" w:lineRule="exact"/>
        <w:rPr>
          <w:sz w:val="24"/>
          <w:szCs w:val="24"/>
          <w:color w:val="auto"/>
        </w:rPr>
      </w:pPr>
    </w:p>
    <w:p>
      <w:pPr>
        <w:jc w:val="right"/>
        <w:ind w:right="1560"/>
        <w:spacing w:after="0"/>
        <w:tabs>
          <w:tab w:leader="none" w:pos="21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ectPr>
          <w:pgSz w:w="11900" w:h="16838" w:orient="portrait"/>
          <w:cols w:equalWidth="0" w:num="1">
            <w:col w:w="11180"/>
          </w:cols>
          <w:pgMar w:left="320" w:top="230" w:right="399" w:bottom="1440" w:gutter="0" w:footer="0" w:header="0"/>
        </w:sectPr>
      </w:pPr>
    </w:p>
    <w:p>
      <w:pPr>
        <w:spacing w:after="0" w:line="147"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590 Madison Avenue,</w:t>
      </w:r>
    </w:p>
    <w:p>
      <w:pPr>
        <w:spacing w:after="0" w:line="4"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15</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 New York, N.Y.</w:t>
      </w:r>
    </w:p>
    <w:p>
      <w:pPr>
        <w:spacing w:after="0" w:line="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Registrant’s telephone number, including area code (212)-905-1000</w:t>
      </w:r>
    </w:p>
    <w:p>
      <w:pPr>
        <w:spacing w:after="0" w:line="55" w:lineRule="exact"/>
        <w:rPr>
          <w:sz w:val="24"/>
          <w:szCs w:val="24"/>
          <w:color w:val="auto"/>
        </w:rPr>
      </w:pPr>
    </w:p>
    <w:p>
      <w:pPr>
        <w:ind w:left="38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340"/>
        <w:spacing w:after="0"/>
        <w:rPr>
          <w:sz w:val="20"/>
          <w:szCs w:val="20"/>
          <w:color w:val="auto"/>
        </w:rPr>
      </w:pPr>
      <w:r>
        <w:rPr>
          <w:rFonts w:ascii="Arial" w:cs="Arial" w:eastAsia="Arial" w:hAnsi="Arial"/>
          <w:sz w:val="14"/>
          <w:szCs w:val="14"/>
          <w:b w:val="1"/>
          <w:bCs w:val="1"/>
          <w:color w:val="auto"/>
        </w:rPr>
        <w:t>10022</w:t>
      </w:r>
    </w:p>
    <w:p>
      <w:pPr>
        <w:spacing w:after="0" w:line="4" w:lineRule="exact"/>
        <w:rPr>
          <w:sz w:val="24"/>
          <w:szCs w:val="24"/>
          <w:color w:val="auto"/>
        </w:rPr>
      </w:pPr>
    </w:p>
    <w:p>
      <w:pPr>
        <w:jc w:val="center"/>
        <w:ind w:right="2340"/>
        <w:spacing w:after="0"/>
        <w:rPr>
          <w:sz w:val="20"/>
          <w:szCs w:val="20"/>
          <w:color w:val="auto"/>
        </w:rPr>
      </w:pPr>
      <w:r>
        <w:rPr>
          <w:rFonts w:ascii="Arial" w:cs="Arial" w:eastAsia="Arial" w:hAnsi="Arial"/>
          <w:sz w:val="13"/>
          <w:szCs w:val="13"/>
          <w:b w:val="1"/>
          <w:bCs w:val="1"/>
          <w:color w:val="auto"/>
        </w:rPr>
        <w:t>(Zip Code)</w:t>
      </w:r>
    </w:p>
    <w:p>
      <w:pPr>
        <w:spacing w:after="0" w:line="615" w:lineRule="exact"/>
        <w:rPr>
          <w:sz w:val="24"/>
          <w:szCs w:val="24"/>
          <w:color w:val="auto"/>
        </w:rPr>
      </w:pPr>
    </w:p>
    <w:p>
      <w:pPr>
        <w:sectPr>
          <w:pgSz w:w="11900" w:h="16838" w:orient="portrait"/>
          <w:cols w:equalWidth="0" w:num="2">
            <w:col w:w="7680" w:space="500"/>
            <w:col w:w="3000"/>
          </w:cols>
          <w:pgMar w:left="320" w:top="230" w:right="399" w:bottom="1440" w:gutter="0" w:footer="0" w:header="0"/>
          <w:type w:val="continuous"/>
        </w:sectPr>
      </w:pPr>
    </w:p>
    <w:p>
      <w:pPr>
        <w:spacing w:after="0" w:line="7"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4920" w:type="dxa"/>
            <w:vAlign w:val="bottom"/>
          </w:tcPr>
          <w:p>
            <w:pPr>
              <w:jc w:val="center"/>
              <w:ind w:right="528"/>
              <w:spacing w:after="0"/>
              <w:rPr>
                <w:sz w:val="20"/>
                <w:szCs w:val="20"/>
                <w:color w:val="auto"/>
              </w:rPr>
            </w:pPr>
            <w:r>
              <w:rPr>
                <w:rFonts w:ascii="Arial" w:cs="Arial" w:eastAsia="Arial" w:hAnsi="Arial"/>
                <w:sz w:val="14"/>
                <w:szCs w:val="14"/>
                <w:b w:val="1"/>
                <w:bCs w:val="1"/>
                <w:color w:val="auto"/>
                <w:w w:val="93"/>
              </w:rPr>
              <w:t>Title of Each Class</w:t>
            </w:r>
          </w:p>
        </w:tc>
        <w:tc>
          <w:tcPr>
            <w:tcW w:w="4320" w:type="dxa"/>
            <w:vAlign w:val="bottom"/>
            <w:gridSpan w:val="3"/>
          </w:tcPr>
          <w:p>
            <w:pPr>
              <w:jc w:val="center"/>
              <w:ind w:left="14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48"/>
        </w:trPr>
        <w:tc>
          <w:tcPr>
            <w:tcW w:w="492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1"/>
              </w:rPr>
              <w:t>Common Stock, par value $0.001 per share</w:t>
            </w:r>
          </w:p>
        </w:tc>
        <w:tc>
          <w:tcPr>
            <w:tcW w:w="4320" w:type="dxa"/>
            <w:vAlign w:val="bottom"/>
            <w:gridSpan w:val="3"/>
          </w:tcPr>
          <w:p>
            <w:pPr>
              <w:jc w:val="center"/>
              <w:ind w:left="1428"/>
              <w:spacing w:after="0" w:line="149" w:lineRule="exact"/>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82"/>
        </w:trPr>
        <w:tc>
          <w:tcPr>
            <w:tcW w:w="4920" w:type="dxa"/>
            <w:vAlign w:val="bottom"/>
          </w:tcPr>
          <w:p>
            <w:pPr>
              <w:jc w:val="center"/>
              <w:ind w:right="528"/>
              <w:spacing w:after="0"/>
              <w:rPr>
                <w:sz w:val="20"/>
                <w:szCs w:val="20"/>
                <w:color w:val="auto"/>
              </w:rPr>
            </w:pPr>
            <w:r>
              <w:rPr>
                <w:rFonts w:ascii="Arial" w:cs="Arial" w:eastAsia="Arial" w:hAnsi="Arial"/>
                <w:sz w:val="14"/>
                <w:szCs w:val="14"/>
                <w:color w:val="auto"/>
                <w:w w:val="92"/>
              </w:rPr>
              <w:t>6.25% Senior Notes due 2025</w:t>
            </w:r>
          </w:p>
        </w:tc>
        <w:tc>
          <w:tcPr>
            <w:tcW w:w="1960" w:type="dxa"/>
            <w:vAlign w:val="bottom"/>
          </w:tcPr>
          <w:p>
            <w:pPr>
              <w:spacing w:after="0"/>
              <w:rPr>
                <w:sz w:val="15"/>
                <w:szCs w:val="15"/>
                <w:color w:val="auto"/>
              </w:rPr>
            </w:pPr>
          </w:p>
        </w:tc>
        <w:tc>
          <w:tcPr>
            <w:tcW w:w="2360" w:type="dxa"/>
            <w:vAlign w:val="bottom"/>
            <w:gridSpan w:val="2"/>
          </w:tcPr>
          <w:p>
            <w:pPr>
              <w:jc w:val="center"/>
              <w:ind w:right="388"/>
              <w:spacing w:after="0"/>
              <w:rPr>
                <w:sz w:val="20"/>
                <w:szCs w:val="20"/>
                <w:color w:val="auto"/>
              </w:rPr>
            </w:pPr>
            <w:r>
              <w:rPr>
                <w:rFonts w:ascii="Arial" w:cs="Arial" w:eastAsia="Arial" w:hAnsi="Arial"/>
                <w:sz w:val="14"/>
                <w:szCs w:val="14"/>
                <w:color w:val="auto"/>
                <w:w w:val="93"/>
              </w:rPr>
              <w:t>The New York Stock Exchange</w:t>
            </w:r>
          </w:p>
        </w:tc>
        <w:tc>
          <w:tcPr>
            <w:tcW w:w="0" w:type="dxa"/>
            <w:vAlign w:val="bottom"/>
          </w:tcPr>
          <w:p>
            <w:pPr>
              <w:spacing w:after="0"/>
              <w:rPr>
                <w:sz w:val="1"/>
                <w:szCs w:val="1"/>
                <w:color w:val="auto"/>
              </w:rPr>
            </w:pPr>
          </w:p>
        </w:tc>
      </w:tr>
      <w:tr>
        <w:trPr>
          <w:trHeight w:val="439"/>
        </w:trPr>
        <w:tc>
          <w:tcPr>
            <w:tcW w:w="68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0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880" w:type="dxa"/>
            <w:vAlign w:val="bottom"/>
            <w:gridSpan w:val="2"/>
          </w:tcPr>
          <w:p>
            <w:pPr>
              <w:jc w:val="right"/>
              <w:ind w:right="68"/>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880" w:type="dxa"/>
            <w:vAlign w:val="bottom"/>
            <w:gridSpan w:val="2"/>
          </w:tcPr>
          <w:p>
            <w:pPr>
              <w:jc w:val="right"/>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8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40" w:firstLine="674"/>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12" w:lineRule="exact"/>
        <w:rPr>
          <w:sz w:val="24"/>
          <w:szCs w:val="24"/>
          <w:color w:val="auto"/>
        </w:rPr>
      </w:pPr>
    </w:p>
    <w:p>
      <w:pPr>
        <w:ind w:firstLine="67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840" w:val="left"/>
          <w:tab w:leader="none" w:pos="1480" w:val="left"/>
        </w:tabs>
        <w:rPr>
          <w:sz w:val="20"/>
          <w:szCs w:val="20"/>
          <w:color w:val="auto"/>
        </w:rPr>
      </w:pPr>
      <w:r>
        <w:rPr>
          <w:rFonts w:ascii="Arial" w:cs="Arial" w:eastAsia="Arial" w:hAnsi="Arial"/>
          <w:sz w:val="14"/>
          <w:szCs w:val="14"/>
          <w:color w:val="auto"/>
        </w:rPr>
        <w:t>files).</w:t>
        <w:tab/>
        <w:t>Yes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w:t>
      </w:r>
      <w:r>
        <w:rPr>
          <w:rFonts w:ascii="MS PGothic" w:cs="MS PGothic" w:eastAsia="MS PGothic" w:hAnsi="MS PGothic"/>
          <w:sz w:val="14"/>
          <w:szCs w:val="14"/>
          <w:color w:val="auto"/>
        </w:rPr>
        <w:tab/>
        <w:t>☐</w:t>
      </w:r>
    </w:p>
    <w:p>
      <w:pPr>
        <w:spacing w:after="0" w:line="129" w:lineRule="exact"/>
        <w:rPr>
          <w:sz w:val="24"/>
          <w:szCs w:val="24"/>
          <w:color w:val="auto"/>
        </w:rPr>
      </w:pPr>
    </w:p>
    <w:p>
      <w:pPr>
        <w:ind w:right="160" w:firstLine="674"/>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12" w:lineRule="exact"/>
        <w:rPr>
          <w:sz w:val="24"/>
          <w:szCs w:val="24"/>
          <w:color w:val="auto"/>
        </w:rPr>
      </w:pPr>
    </w:p>
    <w:p>
      <w:pPr>
        <w:ind w:right="320" w:firstLine="674"/>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4"/>
          <w:szCs w:val="24"/>
          <w:color w:val="auto"/>
        </w:rPr>
      </w:pPr>
    </w:p>
    <w:p>
      <w:pPr>
        <w:spacing w:after="0" w:line="161" w:lineRule="exact"/>
        <w:tabs>
          <w:tab w:leader="none" w:pos="1980" w:val="left"/>
          <w:tab w:leader="none" w:pos="8580" w:val="left"/>
          <w:tab w:leader="none" w:pos="109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61" w:lineRule="exact"/>
        <w:tabs>
          <w:tab w:leader="none" w:pos="1980" w:val="left"/>
          <w:tab w:leader="none" w:pos="8580" w:val="left"/>
          <w:tab w:leader="none" w:pos="109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163" w:lineRule="exact"/>
        <w:rPr>
          <w:sz w:val="24"/>
          <w:szCs w:val="24"/>
          <w:color w:val="auto"/>
        </w:rPr>
      </w:pPr>
    </w:p>
    <w:p>
      <w:pPr>
        <w:ind w:left="68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63" w:lineRule="exact"/>
        <w:rPr>
          <w:sz w:val="24"/>
          <w:szCs w:val="24"/>
          <w:color w:val="auto"/>
        </w:rPr>
      </w:pPr>
    </w:p>
    <w:p>
      <w:pPr>
        <w:ind w:right="100" w:firstLine="674"/>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2014 based on the closing price on that date of $11.05 on the NASDAQ Global Select Market was approximately $723 million. For the purposes of calculating this amount only, all directors and executive officers of the Registrant have been treated as affiliates. There were 75,092,911 shares of the Registrant’s common stock outstanding as of November 12, 2014.</w:t>
      </w:r>
    </w:p>
    <w:p>
      <w:pPr>
        <w:spacing w:after="0" w:line="115" w:lineRule="exact"/>
        <w:rPr>
          <w:sz w:val="24"/>
          <w:szCs w:val="24"/>
          <w:color w:val="auto"/>
        </w:rPr>
      </w:pPr>
    </w:p>
    <w:p>
      <w:pPr>
        <w:ind w:right="180" w:firstLine="674"/>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2015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520" w:type="dxa"/>
            <w:vAlign w:val="bottom"/>
          </w:tcPr>
          <w:p>
            <w:pPr>
              <w:jc w:val="center"/>
              <w:ind w:left="1268"/>
              <w:spacing w:after="0"/>
              <w:rPr>
                <w:sz w:val="20"/>
                <w:szCs w:val="20"/>
                <w:color w:val="auto"/>
              </w:rPr>
            </w:pPr>
            <w:r>
              <w:rPr>
                <w:rFonts w:ascii="Arial" w:cs="Arial" w:eastAsia="Arial" w:hAnsi="Arial"/>
                <w:sz w:val="14"/>
                <w:szCs w:val="14"/>
                <w:b w:val="1"/>
                <w:bCs w:val="1"/>
                <w:color w:val="auto"/>
              </w:rPr>
              <w:t>PENNANTPARK INVESTMENT CORPORATION</w:t>
            </w:r>
          </w:p>
        </w:tc>
        <w:tc>
          <w:tcPr>
            <w:tcW w:w="1940" w:type="dxa"/>
            <w:vAlign w:val="bottom"/>
          </w:tcPr>
          <w:p>
            <w:pPr>
              <w:spacing w:after="0"/>
              <w:rPr>
                <w:sz w:val="14"/>
                <w:szCs w:val="14"/>
                <w:color w:val="auto"/>
              </w:rPr>
            </w:pPr>
          </w:p>
        </w:tc>
      </w:tr>
      <w:tr>
        <w:trPr>
          <w:trHeight w:val="148"/>
        </w:trPr>
        <w:tc>
          <w:tcPr>
            <w:tcW w:w="700" w:type="dxa"/>
            <w:vAlign w:val="bottom"/>
          </w:tcPr>
          <w:p>
            <w:pPr>
              <w:spacing w:after="0"/>
              <w:rPr>
                <w:sz w:val="12"/>
                <w:szCs w:val="12"/>
                <w:color w:val="auto"/>
              </w:rPr>
            </w:pPr>
          </w:p>
        </w:tc>
        <w:tc>
          <w:tcPr>
            <w:tcW w:w="8520" w:type="dxa"/>
            <w:vAlign w:val="bottom"/>
          </w:tcPr>
          <w:p>
            <w:pPr>
              <w:jc w:val="center"/>
              <w:ind w:left="1268"/>
              <w:spacing w:after="0" w:line="149" w:lineRule="exact"/>
              <w:rPr>
                <w:sz w:val="20"/>
                <w:szCs w:val="20"/>
                <w:color w:val="auto"/>
              </w:rPr>
            </w:pPr>
            <w:r>
              <w:rPr>
                <w:rFonts w:ascii="Arial" w:cs="Arial" w:eastAsia="Arial" w:hAnsi="Arial"/>
                <w:sz w:val="14"/>
                <w:szCs w:val="14"/>
                <w:b w:val="1"/>
                <w:bCs w:val="1"/>
                <w:color w:val="auto"/>
              </w:rPr>
              <w:t>FORM 10-K</w:t>
            </w:r>
          </w:p>
        </w:tc>
        <w:tc>
          <w:tcPr>
            <w:tcW w:w="1940" w:type="dxa"/>
            <w:vAlign w:val="bottom"/>
          </w:tcPr>
          <w:p>
            <w:pPr>
              <w:spacing w:after="0"/>
              <w:rPr>
                <w:sz w:val="12"/>
                <w:szCs w:val="12"/>
                <w:color w:val="auto"/>
              </w:rPr>
            </w:pPr>
          </w:p>
        </w:tc>
      </w:tr>
      <w:tr>
        <w:trPr>
          <w:trHeight w:val="148"/>
        </w:trPr>
        <w:tc>
          <w:tcPr>
            <w:tcW w:w="700" w:type="dxa"/>
            <w:vAlign w:val="bottom"/>
          </w:tcPr>
          <w:p>
            <w:pPr>
              <w:spacing w:after="0"/>
              <w:rPr>
                <w:sz w:val="12"/>
                <w:szCs w:val="12"/>
                <w:color w:val="auto"/>
              </w:rPr>
            </w:pPr>
          </w:p>
        </w:tc>
        <w:tc>
          <w:tcPr>
            <w:tcW w:w="8520" w:type="dxa"/>
            <w:vAlign w:val="bottom"/>
          </w:tcPr>
          <w:p>
            <w:pPr>
              <w:jc w:val="center"/>
              <w:ind w:left="1248"/>
              <w:spacing w:after="0" w:line="149" w:lineRule="exact"/>
              <w:rPr>
                <w:sz w:val="20"/>
                <w:szCs w:val="20"/>
                <w:color w:val="auto"/>
              </w:rPr>
            </w:pPr>
            <w:r>
              <w:rPr>
                <w:rFonts w:ascii="Arial" w:cs="Arial" w:eastAsia="Arial" w:hAnsi="Arial"/>
                <w:sz w:val="14"/>
                <w:szCs w:val="14"/>
                <w:b w:val="1"/>
                <w:bCs w:val="1"/>
                <w:color w:val="auto"/>
              </w:rPr>
              <w:t>FOR THE FISCAL YEAR ENDED SEPTEMBER 30, 2014</w:t>
            </w:r>
          </w:p>
        </w:tc>
        <w:tc>
          <w:tcPr>
            <w:tcW w:w="1940" w:type="dxa"/>
            <w:vAlign w:val="bottom"/>
          </w:tcPr>
          <w:p>
            <w:pPr>
              <w:spacing w:after="0"/>
              <w:rPr>
                <w:sz w:val="12"/>
                <w:szCs w:val="12"/>
                <w:color w:val="auto"/>
              </w:rPr>
            </w:pPr>
          </w:p>
        </w:tc>
      </w:tr>
      <w:tr>
        <w:trPr>
          <w:trHeight w:val="186"/>
        </w:trPr>
        <w:tc>
          <w:tcPr>
            <w:tcW w:w="700" w:type="dxa"/>
            <w:vAlign w:val="bottom"/>
          </w:tcPr>
          <w:p>
            <w:pPr>
              <w:spacing w:after="0"/>
              <w:rPr>
                <w:sz w:val="16"/>
                <w:szCs w:val="16"/>
                <w:color w:val="auto"/>
              </w:rPr>
            </w:pPr>
          </w:p>
        </w:tc>
        <w:tc>
          <w:tcPr>
            <w:tcW w:w="8520" w:type="dxa"/>
            <w:vAlign w:val="bottom"/>
          </w:tcPr>
          <w:p>
            <w:pPr>
              <w:jc w:val="center"/>
              <w:ind w:left="1268"/>
              <w:spacing w:after="0"/>
              <w:rPr>
                <w:sz w:val="20"/>
                <w:szCs w:val="20"/>
                <w:color w:val="auto"/>
              </w:rPr>
            </w:pPr>
            <w:r>
              <w:rPr>
                <w:rFonts w:ascii="Arial" w:cs="Arial" w:eastAsia="Arial" w:hAnsi="Arial"/>
                <w:sz w:val="14"/>
                <w:szCs w:val="14"/>
                <w:b w:val="1"/>
                <w:bCs w:val="1"/>
                <w:color w:val="auto"/>
              </w:rPr>
              <w:t>TABLE OF CONTENTS</w:t>
            </w:r>
          </w:p>
        </w:tc>
        <w:tc>
          <w:tcPr>
            <w:tcW w:w="1940" w:type="dxa"/>
            <w:vAlign w:val="bottom"/>
          </w:tcPr>
          <w:p>
            <w:pPr>
              <w:spacing w:after="0"/>
              <w:rPr>
                <w:sz w:val="16"/>
                <w:szCs w:val="16"/>
                <w:color w:val="auto"/>
              </w:rPr>
            </w:pPr>
          </w:p>
        </w:tc>
      </w:tr>
      <w:tr>
        <w:trPr>
          <w:trHeight w:val="392"/>
        </w:trPr>
        <w:tc>
          <w:tcPr>
            <w:tcW w:w="700" w:type="dxa"/>
            <w:vAlign w:val="bottom"/>
          </w:tcPr>
          <w:p>
            <w:pPr>
              <w:spacing w:after="0"/>
              <w:rPr>
                <w:sz w:val="24"/>
                <w:szCs w:val="24"/>
                <w:color w:val="auto"/>
              </w:rPr>
            </w:pPr>
          </w:p>
        </w:tc>
        <w:tc>
          <w:tcPr>
            <w:tcW w:w="8520" w:type="dxa"/>
            <w:vAlign w:val="bottom"/>
          </w:tcPr>
          <w:p>
            <w:pPr>
              <w:jc w:val="center"/>
              <w:ind w:left="162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40" w:type="dxa"/>
            <w:vAlign w:val="bottom"/>
          </w:tcPr>
          <w:p>
            <w:pPr>
              <w:spacing w:after="0"/>
              <w:rPr>
                <w:sz w:val="24"/>
                <w:szCs w:val="24"/>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20" w:type="dxa"/>
            <w:vAlign w:val="bottom"/>
          </w:tcPr>
          <w:p>
            <w:pPr>
              <w:ind w:left="18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20" w:type="dxa"/>
            <w:vAlign w:val="bottom"/>
          </w:tcPr>
          <w:p>
            <w:pPr>
              <w:ind w:left="180"/>
              <w:spacing w:after="0"/>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Risk Factors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2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Unresolved Staff Comments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2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Properties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2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2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6"/>
        </w:trPr>
        <w:tc>
          <w:tcPr>
            <w:tcW w:w="700" w:type="dxa"/>
            <w:vAlign w:val="bottom"/>
          </w:tcPr>
          <w:p>
            <w:pPr>
              <w:spacing w:after="0"/>
              <w:rPr>
                <w:sz w:val="18"/>
                <w:szCs w:val="18"/>
                <w:color w:val="auto"/>
              </w:rPr>
            </w:pPr>
          </w:p>
        </w:tc>
        <w:tc>
          <w:tcPr>
            <w:tcW w:w="8520" w:type="dxa"/>
            <w:vAlign w:val="bottom"/>
          </w:tcPr>
          <w:p>
            <w:pPr>
              <w:jc w:val="center"/>
              <w:ind w:left="1648"/>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PART II</w:t>
              </w:r>
            </w:hyperlink>
          </w:p>
        </w:tc>
        <w:tc>
          <w:tcPr>
            <w:tcW w:w="194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20" w:type="dxa"/>
            <w:vAlign w:val="bottom"/>
          </w:tcPr>
          <w:p>
            <w:pPr>
              <w:ind w:left="180"/>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20" w:type="dxa"/>
            <w:vAlign w:val="bottom"/>
          </w:tcPr>
          <w:p>
            <w:pPr>
              <w:ind w:left="18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Selected Financial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20" w:type="dxa"/>
            <w:vAlign w:val="bottom"/>
          </w:tcPr>
          <w:p>
            <w:pPr>
              <w:ind w:left="180"/>
              <w:spacing w:after="0"/>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20" w:type="dxa"/>
            <w:vAlign w:val="bottom"/>
          </w:tcPr>
          <w:p>
            <w:pPr>
              <w:ind w:left="180"/>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20" w:type="dxa"/>
            <w:vAlign w:val="bottom"/>
          </w:tcPr>
          <w:p>
            <w:pPr>
              <w:ind w:left="180"/>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Financial Statements and Supplementary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20" w:type="dxa"/>
            <w:vAlign w:val="bottom"/>
          </w:tcPr>
          <w:p>
            <w:pPr>
              <w:ind w:left="18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Changes in and Disagreements with Accountants on Accounting and Financial Disclosure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20" w:type="dxa"/>
            <w:vAlign w:val="bottom"/>
          </w:tcPr>
          <w:p>
            <w:pPr>
              <w:ind w:left="18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20" w:type="dxa"/>
            <w:vAlign w:val="bottom"/>
          </w:tcPr>
          <w:p>
            <w:pPr>
              <w:ind w:left="18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216"/>
        </w:trPr>
        <w:tc>
          <w:tcPr>
            <w:tcW w:w="700" w:type="dxa"/>
            <w:vAlign w:val="bottom"/>
          </w:tcPr>
          <w:p>
            <w:pPr>
              <w:spacing w:after="0"/>
              <w:rPr>
                <w:sz w:val="18"/>
                <w:szCs w:val="18"/>
                <w:color w:val="auto"/>
              </w:rPr>
            </w:pPr>
          </w:p>
        </w:tc>
        <w:tc>
          <w:tcPr>
            <w:tcW w:w="8520" w:type="dxa"/>
            <w:vAlign w:val="bottom"/>
          </w:tcPr>
          <w:p>
            <w:pPr>
              <w:jc w:val="center"/>
              <w:ind w:left="1628"/>
              <w:spacing w:after="0"/>
              <w:rPr>
                <w:rFonts w:ascii="Arial" w:cs="Arial" w:eastAsia="Arial" w:hAnsi="Arial"/>
                <w:sz w:val="14"/>
                <w:szCs w:val="14"/>
                <w:b w:val="1"/>
                <w:bCs w:val="1"/>
                <w:u w:val="single" w:color="auto"/>
                <w:color w:val="0000EE"/>
              </w:rPr>
            </w:pPr>
            <w:hyperlink w:anchor="page86">
              <w:r>
                <w:rPr>
                  <w:rFonts w:ascii="Arial" w:cs="Arial" w:eastAsia="Arial" w:hAnsi="Arial"/>
                  <w:sz w:val="14"/>
                  <w:szCs w:val="14"/>
                  <w:b w:val="1"/>
                  <w:bCs w:val="1"/>
                  <w:u w:val="single" w:color="auto"/>
                  <w:color w:val="0000EE"/>
                </w:rPr>
                <w:t>PART III</w:t>
              </w:r>
            </w:hyperlink>
          </w:p>
        </w:tc>
        <w:tc>
          <w:tcPr>
            <w:tcW w:w="194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20" w:type="dxa"/>
            <w:vAlign w:val="bottom"/>
          </w:tcPr>
          <w:p>
            <w:pPr>
              <w:ind w:left="18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Directors, Executive Officers and Corporate Governance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20" w:type="dxa"/>
            <w:vAlign w:val="bottom"/>
          </w:tcPr>
          <w:p>
            <w:pPr>
              <w:ind w:left="18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Executive Compensation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20" w:type="dxa"/>
            <w:vAlign w:val="bottom"/>
          </w:tcPr>
          <w:p>
            <w:pPr>
              <w:ind w:left="18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Security Ownership of Certain Beneficial Owners and Management and Related Stockholder Matters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20" w:type="dxa"/>
            <w:vAlign w:val="bottom"/>
          </w:tcPr>
          <w:p>
            <w:pPr>
              <w:ind w:left="18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Certain Relationships and Related Transactions, and Director Independence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20" w:type="dxa"/>
            <w:vAlign w:val="bottom"/>
          </w:tcPr>
          <w:p>
            <w:pPr>
              <w:ind w:left="18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Principal Accountant Fees and Services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16"/>
        </w:trPr>
        <w:tc>
          <w:tcPr>
            <w:tcW w:w="700" w:type="dxa"/>
            <w:vAlign w:val="bottom"/>
          </w:tcPr>
          <w:p>
            <w:pPr>
              <w:spacing w:after="0"/>
              <w:rPr>
                <w:sz w:val="18"/>
                <w:szCs w:val="18"/>
                <w:color w:val="auto"/>
              </w:rPr>
            </w:pPr>
          </w:p>
        </w:tc>
        <w:tc>
          <w:tcPr>
            <w:tcW w:w="8520" w:type="dxa"/>
            <w:vAlign w:val="bottom"/>
          </w:tcPr>
          <w:p>
            <w:pPr>
              <w:jc w:val="center"/>
              <w:ind w:left="1628"/>
              <w:spacing w:after="0"/>
              <w:rPr>
                <w:rFonts w:ascii="Arial" w:cs="Arial" w:eastAsia="Arial" w:hAnsi="Arial"/>
                <w:sz w:val="14"/>
                <w:szCs w:val="14"/>
                <w:b w:val="1"/>
                <w:bCs w:val="1"/>
                <w:u w:val="single" w:color="auto"/>
                <w:color w:val="0000EE"/>
              </w:rPr>
            </w:pPr>
            <w:hyperlink w:anchor="page87">
              <w:r>
                <w:rPr>
                  <w:rFonts w:ascii="Arial" w:cs="Arial" w:eastAsia="Arial" w:hAnsi="Arial"/>
                  <w:sz w:val="14"/>
                  <w:szCs w:val="14"/>
                  <w:b w:val="1"/>
                  <w:bCs w:val="1"/>
                  <w:u w:val="single" w:color="auto"/>
                  <w:color w:val="0000EE"/>
                </w:rPr>
                <w:t>PART IV</w:t>
              </w:r>
            </w:hyperlink>
          </w:p>
        </w:tc>
        <w:tc>
          <w:tcPr>
            <w:tcW w:w="194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20" w:type="dxa"/>
            <w:vAlign w:val="bottom"/>
          </w:tcPr>
          <w:p>
            <w:pPr>
              <w:ind w:left="180"/>
              <w:spacing w:after="0"/>
              <w:rPr>
                <w:rFonts w:ascii="Arial" w:cs="Arial" w:eastAsia="Arial" w:hAnsi="Arial"/>
                <w:sz w:val="14"/>
                <w:szCs w:val="14"/>
                <w:u w:val="single" w:color="auto"/>
                <w:color w:val="0000EE"/>
              </w:rPr>
            </w:pPr>
            <w:hyperlink w:anchor="page87">
              <w:r>
                <w:rPr>
                  <w:rFonts w:ascii="Arial" w:cs="Arial" w:eastAsia="Arial" w:hAnsi="Arial"/>
                  <w:sz w:val="14"/>
                  <w:szCs w:val="14"/>
                  <w:u w:val="single" w:color="auto"/>
                  <w:color w:val="0000EE"/>
                </w:rPr>
                <w:t>Exhibits and Financial Statement Schedules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85</w:t>
            </w:r>
          </w:p>
        </w:tc>
      </w:tr>
      <w:tr>
        <w:trPr>
          <w:trHeight w:val="216"/>
        </w:trPr>
        <w:tc>
          <w:tcPr>
            <w:tcW w:w="700" w:type="dxa"/>
            <w:vAlign w:val="bottom"/>
          </w:tcPr>
          <w:p>
            <w:pPr>
              <w:spacing w:after="0"/>
              <w:rPr>
                <w:sz w:val="18"/>
                <w:szCs w:val="18"/>
                <w:color w:val="auto"/>
              </w:rPr>
            </w:pPr>
          </w:p>
        </w:tc>
        <w:tc>
          <w:tcPr>
            <w:tcW w:w="8520" w:type="dxa"/>
            <w:vAlign w:val="bottom"/>
          </w:tcPr>
          <w:p>
            <w:pPr>
              <w:ind w:left="180"/>
              <w:spacing w:after="0"/>
              <w:rPr>
                <w:rFonts w:ascii="Arial" w:cs="Arial" w:eastAsia="Arial" w:hAnsi="Arial"/>
                <w:sz w:val="14"/>
                <w:szCs w:val="14"/>
                <w:u w:val="single" w:color="auto"/>
                <w:color w:val="0000EE"/>
              </w:rPr>
            </w:pPr>
            <w:hyperlink w:anchor="page88">
              <w:r>
                <w:rPr>
                  <w:rFonts w:ascii="Arial" w:cs="Arial" w:eastAsia="Arial" w:hAnsi="Arial"/>
                  <w:sz w:val="14"/>
                  <w:szCs w:val="14"/>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r>
        <w:trPr>
          <w:trHeight w:val="275"/>
        </w:trPr>
        <w:tc>
          <w:tcPr>
            <w:tcW w:w="700" w:type="dxa"/>
            <w:vAlign w:val="bottom"/>
          </w:tcPr>
          <w:p>
            <w:pPr>
              <w:spacing w:after="0"/>
              <w:rPr>
                <w:sz w:val="23"/>
                <w:szCs w:val="23"/>
                <w:color w:val="auto"/>
              </w:rPr>
            </w:pPr>
          </w:p>
        </w:tc>
        <w:tc>
          <w:tcPr>
            <w:tcW w:w="8520" w:type="dxa"/>
            <w:vAlign w:val="bottom"/>
          </w:tcPr>
          <w:p>
            <w:pPr>
              <w:jc w:val="center"/>
              <w:ind w:left="1268"/>
              <w:spacing w:after="0"/>
              <w:rPr>
                <w:sz w:val="20"/>
                <w:szCs w:val="20"/>
                <w:color w:val="auto"/>
              </w:rPr>
            </w:pPr>
            <w:r>
              <w:rPr>
                <w:rFonts w:ascii="Arial" w:cs="Arial" w:eastAsia="Arial" w:hAnsi="Arial"/>
                <w:sz w:val="12"/>
                <w:szCs w:val="12"/>
                <w:color w:val="auto"/>
                <w:w w:val="89"/>
              </w:rPr>
              <w:t>1</w:t>
            </w:r>
          </w:p>
        </w:tc>
        <w:tc>
          <w:tcPr>
            <w:tcW w:w="1940" w:type="dxa"/>
            <w:vAlign w:val="bottom"/>
          </w:tcPr>
          <w:p>
            <w:pPr>
              <w:spacing w:after="0"/>
              <w:rPr>
                <w:sz w:val="23"/>
                <w:szCs w:val="23"/>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140" w:lineRule="exact"/>
        <w:rPr>
          <w:sz w:val="20"/>
          <w:szCs w:val="20"/>
          <w:color w:val="auto"/>
        </w:rPr>
      </w:pPr>
    </w:p>
    <w:p>
      <w:pPr>
        <w:ind w:right="100" w:firstLine="674"/>
        <w:spacing w:after="0" w:line="265"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“us” or “our”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“Credit Facility” refers to our multi-currency, senior secured revolving credit facility; “2025 Notes” refers to our 6.25% senior notes due 2025; “2019 Notes” refers to our 4.50% notes due 2019;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91"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124" w:lineRule="exact"/>
        <w:rPr>
          <w:sz w:val="20"/>
          <w:szCs w:val="20"/>
          <w:color w:val="auto"/>
        </w:rPr>
      </w:pPr>
    </w:p>
    <w:p>
      <w:pPr>
        <w:ind w:right="40" w:firstLine="674"/>
        <w:spacing w:after="0" w:line="228" w:lineRule="auto"/>
        <w:rPr>
          <w:sz w:val="20"/>
          <w:szCs w:val="20"/>
          <w:color w:val="auto"/>
        </w:rPr>
      </w:pPr>
      <w:r>
        <w:rPr>
          <w:rFonts w:ascii="Arial" w:cs="Arial" w:eastAsia="Arial" w:hAnsi="Arial"/>
          <w:sz w:val="14"/>
          <w:szCs w:val="14"/>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4" w:lineRule="exact"/>
        <w:rPr>
          <w:sz w:val="20"/>
          <w:szCs w:val="20"/>
          <w:color w:val="auto"/>
        </w:rPr>
      </w:pPr>
    </w:p>
    <w:p>
      <w:pPr>
        <w:jc w:val="both"/>
        <w:ind w:right="120" w:firstLine="674"/>
        <w:spacing w:after="0" w:line="264"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20" w:firstLine="67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120" w:firstLine="674"/>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36" w:lineRule="exact"/>
        <w:rPr>
          <w:sz w:val="20"/>
          <w:szCs w:val="20"/>
          <w:color w:val="auto"/>
        </w:rPr>
      </w:pPr>
    </w:p>
    <w:p>
      <w:pPr>
        <w:ind w:firstLine="674"/>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98" w:lineRule="exact"/>
        <w:rPr>
          <w:sz w:val="20"/>
          <w:szCs w:val="20"/>
          <w:color w:val="auto"/>
        </w:rPr>
      </w:pPr>
    </w:p>
    <w:p>
      <w:pPr>
        <w:ind w:right="20" w:firstLine="674"/>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There are significant potential conflicts of interest which could impact our investment returns” for more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36" w:lineRule="exact"/>
        <w:rPr>
          <w:sz w:val="20"/>
          <w:szCs w:val="20"/>
          <w:color w:val="auto"/>
        </w:rPr>
      </w:pPr>
    </w:p>
    <w:p>
      <w:pPr>
        <w:ind w:right="220" w:firstLine="674"/>
        <w:spacing w:after="0" w:line="246"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11" w:lineRule="exact"/>
        <w:rPr>
          <w:sz w:val="20"/>
          <w:szCs w:val="20"/>
          <w:color w:val="auto"/>
        </w:rPr>
      </w:pPr>
    </w:p>
    <w:p>
      <w:pPr>
        <w:jc w:val="both"/>
        <w:ind w:left="1100" w:right="160" w:hanging="431"/>
        <w:spacing w:after="0" w:line="180" w:lineRule="auto"/>
        <w:tabs>
          <w:tab w:leader="none" w:pos="1100" w:val="left"/>
        </w:tabs>
        <w:numPr>
          <w:ilvl w:val="0"/>
          <w:numId w:val="3"/>
        </w:numPr>
        <w:rPr>
          <w:rFonts w:ascii="Arial" w:cs="Arial" w:eastAsia="Arial" w:hAnsi="Arial"/>
          <w:sz w:val="30"/>
          <w:szCs w:val="30"/>
          <w:color w:val="auto"/>
          <w:vertAlign w:val="subscript"/>
        </w:rPr>
      </w:pPr>
      <w:r>
        <w:rPr>
          <w:rFonts w:ascii="Arial" w:cs="Arial" w:eastAsia="Arial" w:hAnsi="Arial"/>
          <w:sz w:val="13"/>
          <w:szCs w:val="13"/>
          <w:b w:val="1"/>
          <w:bCs w:val="1"/>
          <w:color w:val="auto"/>
        </w:rPr>
        <w:t xml:space="preserve">We believe middle-market companies have faced difficulty in raising debt through the capital markets. </w:t>
      </w:r>
      <w:r>
        <w:rPr>
          <w:rFonts w:ascii="Arial" w:cs="Arial" w:eastAsia="Arial" w:hAnsi="Arial"/>
          <w:sz w:val="13"/>
          <w:szCs w:val="13"/>
          <w:color w:val="auto"/>
        </w:rPr>
        <w:t>Many middle-market companies look to raise funds by issuing</w:t>
      </w:r>
      <w:r>
        <w:rPr>
          <w:rFonts w:ascii="Arial" w:cs="Arial" w:eastAsia="Arial" w:hAnsi="Arial"/>
          <w:sz w:val="13"/>
          <w:szCs w:val="13"/>
          <w:b w:val="1"/>
          <w:bCs w:val="1"/>
          <w:color w:val="auto"/>
        </w:rPr>
        <w:t xml:space="preserve"> </w:t>
      </w:r>
      <w:r>
        <w:rPr>
          <w:rFonts w:ascii="Arial" w:cs="Arial" w:eastAsia="Arial" w:hAnsi="Arial"/>
          <w:sz w:val="13"/>
          <w:szCs w:val="13"/>
          <w:color w:val="auto"/>
        </w:rPr>
        <w:t>high-yield bonds. We believe this approach to financing may become more difficult from time to time to the extent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30"/>
          <w:szCs w:val="30"/>
          <w:color w:val="auto"/>
          <w:vertAlign w:val="subscript"/>
        </w:rPr>
      </w:pPr>
    </w:p>
    <w:p>
      <w:pPr>
        <w:ind w:left="1100" w:right="100" w:hanging="431"/>
        <w:spacing w:after="0" w:line="183" w:lineRule="auto"/>
        <w:tabs>
          <w:tab w:leader="none" w:pos="1100" w:val="left"/>
        </w:tabs>
        <w:numPr>
          <w:ilvl w:val="0"/>
          <w:numId w:val="3"/>
        </w:numPr>
        <w:rPr>
          <w:rFonts w:ascii="Arial" w:cs="Arial" w:eastAsia="Arial" w:hAnsi="Arial"/>
          <w:sz w:val="26"/>
          <w:szCs w:val="26"/>
          <w:color w:val="auto"/>
          <w:vertAlign w:val="subscript"/>
        </w:rPr>
      </w:pPr>
      <w:r>
        <w:rPr>
          <w:rFonts w:ascii="Arial" w:cs="Arial" w:eastAsia="Arial" w:hAnsi="Arial"/>
          <w:sz w:val="12"/>
          <w:szCs w:val="12"/>
          <w:b w:val="1"/>
          <w:bCs w:val="1"/>
          <w:color w:val="auto"/>
        </w:rPr>
        <w:t xml:space="preserve">We believe middle-market companies have faced difficulty raising debt in private markets. </w:t>
      </w:r>
      <w:r>
        <w:rPr>
          <w:rFonts w:ascii="Arial" w:cs="Arial" w:eastAsia="Arial" w:hAnsi="Arial"/>
          <w:sz w:val="12"/>
          <w:szCs w:val="12"/>
          <w:color w:val="auto"/>
        </w:rPr>
        <w:t>From time to time, banks, finance companies, hedge funds and collateralized</w:t>
      </w:r>
      <w:r>
        <w:rPr>
          <w:rFonts w:ascii="Arial" w:cs="Arial" w:eastAsia="Arial" w:hAnsi="Arial"/>
          <w:sz w:val="12"/>
          <w:szCs w:val="12"/>
          <w:b w:val="1"/>
          <w:bCs w:val="1"/>
          <w:color w:val="auto"/>
        </w:rPr>
        <w:t xml:space="preserve"> </w:t>
      </w:r>
      <w:r>
        <w:rPr>
          <w:rFonts w:ascii="Arial" w:cs="Arial" w:eastAsia="Arial" w:hAnsi="Arial"/>
          <w:sz w:val="12"/>
          <w:szCs w:val="12"/>
          <w:color w:val="auto"/>
        </w:rPr>
        <w:t>loan obligation, or CLO, funds have, and may again, withdraw capital from the middle-market, resulting in opportunities for alternative funding sources.</w:t>
      </w:r>
    </w:p>
    <w:p>
      <w:pPr>
        <w:spacing w:after="0" w:line="112" w:lineRule="exact"/>
        <w:rPr>
          <w:rFonts w:ascii="Arial" w:cs="Arial" w:eastAsia="Arial" w:hAnsi="Arial"/>
          <w:sz w:val="26"/>
          <w:szCs w:val="26"/>
          <w:color w:val="auto"/>
          <w:vertAlign w:val="subscript"/>
        </w:rPr>
      </w:pPr>
    </w:p>
    <w:p>
      <w:pPr>
        <w:ind w:left="1100" w:right="80" w:hanging="431"/>
        <w:spacing w:after="0" w:line="180" w:lineRule="auto"/>
        <w:tabs>
          <w:tab w:leader="none" w:pos="1100" w:val="left"/>
        </w:tabs>
        <w:numPr>
          <w:ilvl w:val="0"/>
          <w:numId w:val="3"/>
        </w:numPr>
        <w:rPr>
          <w:rFonts w:ascii="Arial" w:cs="Arial" w:eastAsia="Arial" w:hAnsi="Arial"/>
          <w:sz w:val="30"/>
          <w:szCs w:val="30"/>
          <w:color w:val="auto"/>
          <w:vertAlign w:val="subscript"/>
        </w:rPr>
      </w:pPr>
      <w:r>
        <w:rPr>
          <w:rFonts w:ascii="Arial" w:cs="Arial" w:eastAsia="Arial" w:hAnsi="Arial"/>
          <w:sz w:val="13"/>
          <w:szCs w:val="13"/>
          <w:b w:val="1"/>
          <w:bCs w:val="1"/>
          <w:color w:val="auto"/>
        </w:rPr>
        <w:t xml:space="preserve">We believe that credit market dislocation for middle-market companies improves the risk-adjusted returns on our investments. </w:t>
      </w:r>
      <w:r>
        <w:rPr>
          <w:rFonts w:ascii="Arial" w:cs="Arial" w:eastAsia="Arial" w:hAnsi="Arial"/>
          <w:sz w:val="13"/>
          <w:szCs w:val="13"/>
          <w:color w:val="auto"/>
        </w:rPr>
        <w:t>From time to time, market participants</w:t>
      </w:r>
      <w:r>
        <w:rPr>
          <w:rFonts w:ascii="Arial" w:cs="Arial" w:eastAsia="Arial" w:hAnsi="Arial"/>
          <w:sz w:val="13"/>
          <w:szCs w:val="13"/>
          <w:b w:val="1"/>
          <w:bCs w:val="1"/>
          <w:color w:val="auto"/>
        </w:rPr>
        <w:t xml:space="preserve"> </w:t>
      </w:r>
      <w:r>
        <w:rPr>
          <w:rFonts w:ascii="Arial" w:cs="Arial" w:eastAsia="Arial" w:hAnsi="Arial"/>
          <w:sz w:val="13"/>
          <w:szCs w:val="13"/>
          <w:color w:val="auto"/>
        </w:rPr>
        <w:t>have reduced lending to middle-market and non-investment grade borrowers. As a result, there is less competition in our market, more conservative capital structures, higher yields and stronger covenants.</w:t>
      </w:r>
    </w:p>
    <w:p>
      <w:pPr>
        <w:spacing w:after="0" w:line="111" w:lineRule="exact"/>
        <w:rPr>
          <w:rFonts w:ascii="Arial" w:cs="Arial" w:eastAsia="Arial" w:hAnsi="Arial"/>
          <w:sz w:val="30"/>
          <w:szCs w:val="30"/>
          <w:color w:val="auto"/>
          <w:vertAlign w:val="subscript"/>
        </w:rPr>
      </w:pPr>
    </w:p>
    <w:p>
      <w:pPr>
        <w:ind w:left="1100" w:right="40" w:hanging="431"/>
        <w:spacing w:after="0" w:line="185" w:lineRule="auto"/>
        <w:tabs>
          <w:tab w:leader="none" w:pos="1100" w:val="left"/>
        </w:tabs>
        <w:numPr>
          <w:ilvl w:val="0"/>
          <w:numId w:val="3"/>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investments by combining their capital with senior secured loans and/or mezzanine debt provided by other sources, and we believe that our capital is well-positioned to partner with such equity investors.</w:t>
      </w:r>
    </w:p>
    <w:p>
      <w:pPr>
        <w:spacing w:after="0" w:line="113" w:lineRule="exact"/>
        <w:rPr>
          <w:rFonts w:ascii="Arial" w:cs="Arial" w:eastAsia="Arial" w:hAnsi="Arial"/>
          <w:sz w:val="32"/>
          <w:szCs w:val="32"/>
          <w:color w:val="auto"/>
          <w:vertAlign w:val="subscript"/>
        </w:rPr>
      </w:pPr>
    </w:p>
    <w:p>
      <w:pPr>
        <w:ind w:left="1100" w:right="20" w:hanging="431"/>
        <w:spacing w:after="0" w:line="180" w:lineRule="auto"/>
        <w:tabs>
          <w:tab w:leader="none" w:pos="1100" w:val="left"/>
        </w:tabs>
        <w:numPr>
          <w:ilvl w:val="0"/>
          <w:numId w:val="3"/>
        </w:numPr>
        <w:rPr>
          <w:rFonts w:ascii="Arial" w:cs="Arial" w:eastAsia="Arial" w:hAnsi="Arial"/>
          <w:sz w:val="34"/>
          <w:szCs w:val="34"/>
          <w:color w:val="auto"/>
          <w:vertAlign w:val="subscript"/>
        </w:rPr>
      </w:pPr>
      <w:r>
        <w:rPr>
          <w:rFonts w:ascii="Arial" w:cs="Arial" w:eastAsia="Arial" w:hAnsi="Arial"/>
          <w:sz w:val="14"/>
          <w:szCs w:val="14"/>
          <w:b w:val="1"/>
          <w:bCs w:val="1"/>
          <w:color w:val="auto"/>
        </w:rPr>
        <w:t xml:space="preserve">We believe there is a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risk-adjusted returns to investors.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1000" w:hanging="331"/>
        <w:spacing w:after="0"/>
        <w:tabs>
          <w:tab w:leader="none" w:pos="100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firstLine="674"/>
        <w:spacing w:after="0" w:line="264" w:lineRule="auto"/>
        <w:rPr>
          <w:sz w:val="20"/>
          <w:szCs w:val="20"/>
          <w:color w:val="auto"/>
        </w:rPr>
      </w:pPr>
      <w:r>
        <w:rPr>
          <w:rFonts w:ascii="Arial" w:cs="Arial" w:eastAsia="Arial" w:hAnsi="Arial"/>
          <w:sz w:val="13"/>
          <w:szCs w:val="13"/>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01" w:lineRule="exact"/>
        <w:rPr>
          <w:sz w:val="20"/>
          <w:szCs w:val="20"/>
          <w:color w:val="auto"/>
        </w:rPr>
      </w:pPr>
    </w:p>
    <w:p>
      <w:pPr>
        <w:ind w:right="120" w:firstLine="674"/>
        <w:spacing w:after="0" w:line="264" w:lineRule="auto"/>
        <w:rPr>
          <w:sz w:val="20"/>
          <w:szCs w:val="20"/>
          <w:color w:val="auto"/>
        </w:rPr>
      </w:pPr>
      <w:r>
        <w:rPr>
          <w:rFonts w:ascii="Arial" w:cs="Arial" w:eastAsia="Arial" w:hAnsi="Arial"/>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b)Disciplined Investment Approach with Strong Value Orientation</w:t>
      </w:r>
    </w:p>
    <w:p>
      <w:pPr>
        <w:spacing w:after="0" w:line="123"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ind w:left="1100" w:hanging="431"/>
        <w:spacing w:after="0" w:line="184" w:lineRule="auto"/>
        <w:tabs>
          <w:tab w:leader="none" w:pos="110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strong competitive positions;</w:t>
      </w:r>
    </w:p>
    <w:p>
      <w:pPr>
        <w:spacing w:after="0" w:line="53"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positive cash flow that is steady and stable;</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experienced management teams with strong track records;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potential for growth and viable exit strategies; and</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5"/>
        </w:numPr>
        <w:rPr>
          <w:rFonts w:ascii="Arial" w:cs="Arial" w:eastAsia="Arial" w:hAnsi="Arial"/>
          <w:sz w:val="36"/>
          <w:szCs w:val="36"/>
          <w:color w:val="auto"/>
          <w:vertAlign w:val="subscript"/>
        </w:rPr>
      </w:pPr>
      <w:r>
        <w:rPr>
          <w:rFonts w:ascii="Arial" w:cs="Arial" w:eastAsia="Arial" w:hAnsi="Arial"/>
          <w:sz w:val="14"/>
          <w:szCs w:val="14"/>
          <w:color w:val="auto"/>
        </w:rPr>
        <w:t>capital structures offering appropriate risk-adjusted terms and covenants.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c)Ability to Source and Evaluate Transactions through our Investment Adviser’s Research Capability and Established Network</w:t>
      </w:r>
    </w:p>
    <w:p>
      <w:pPr>
        <w:spacing w:after="0" w:line="136"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d)Flexible Transaction Structuring</w:t>
      </w:r>
    </w:p>
    <w:p>
      <w:pPr>
        <w:spacing w:after="0" w:line="136" w:lineRule="exact"/>
        <w:rPr>
          <w:sz w:val="20"/>
          <w:szCs w:val="20"/>
          <w:color w:val="auto"/>
        </w:rPr>
      </w:pPr>
    </w:p>
    <w:p>
      <w:pPr>
        <w:ind w:right="180" w:firstLine="674"/>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1" w:lineRule="exact"/>
        <w:rPr>
          <w:sz w:val="20"/>
          <w:szCs w:val="20"/>
          <w:color w:val="auto"/>
        </w:rPr>
      </w:pPr>
    </w:p>
    <w:p>
      <w:pPr>
        <w:ind w:right="40" w:firstLine="674"/>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06" w:lineRule="exact"/>
        <w:rPr>
          <w:sz w:val="20"/>
          <w:szCs w:val="20"/>
          <w:color w:val="auto"/>
        </w:rPr>
      </w:pPr>
    </w:p>
    <w:p>
      <w:pPr>
        <w:ind w:right="140" w:firstLine="674"/>
        <w:spacing w:after="0" w:line="253"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17" w:lineRule="exact"/>
        <w:rPr>
          <w:sz w:val="20"/>
          <w:szCs w:val="20"/>
          <w:color w:val="auto"/>
        </w:rPr>
      </w:pPr>
    </w:p>
    <w:p>
      <w:pPr>
        <w:jc w:val="both"/>
        <w:ind w:right="140" w:firstLine="674"/>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23"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We maintain a multi-currency $545.0 million Credit Facility which matures in June 2019 and is secured by substantially all of our investment portfolio assets (excluding the assets of our SBIC Funds), under which we had $55.2 million and $145.5 million (including a $28.0 million temporary draw) of debt outstanding with a weighted average interest rate of 2.80% and 3.33% as of September 30, 2014 and 2013, respectively. Pricing of borrowings under our current Credit Facility is set at 225 basis points over the London Interbank Offered Rate, or LIBOR. As of September 30, 2014 and 2013, we had $489.8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118" w:lineRule="exact"/>
        <w:rPr>
          <w:sz w:val="20"/>
          <w:szCs w:val="20"/>
          <w:color w:val="auto"/>
        </w:rPr>
      </w:pPr>
    </w:p>
    <w:p>
      <w:pPr>
        <w:ind w:right="40" w:firstLine="674"/>
        <w:spacing w:after="0" w:line="255" w:lineRule="auto"/>
        <w:rPr>
          <w:sz w:val="20"/>
          <w:szCs w:val="20"/>
          <w:color w:val="auto"/>
        </w:rPr>
      </w:pPr>
      <w:r>
        <w:rPr>
          <w:rFonts w:ascii="Arial" w:cs="Arial" w:eastAsia="Arial" w:hAnsi="Arial"/>
          <w:sz w:val="13"/>
          <w:szCs w:val="13"/>
          <w:color w:val="auto"/>
        </w:rPr>
        <w:t>As of September 30, 2014 and 2013, our SBIC Funds had $225 million and $150 million in debt commitments, respectively, and $150 million was drawn for each period with a weighted average interest rate of 3.70%, exclusive of 3.43% of upfront fees (4.04% inclusive of the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07" w:lineRule="exact"/>
        <w:rPr>
          <w:sz w:val="20"/>
          <w:szCs w:val="20"/>
          <w:color w:val="auto"/>
        </w:rPr>
      </w:pPr>
    </w:p>
    <w:p>
      <w:pPr>
        <w:ind w:right="160" w:firstLine="674"/>
        <w:spacing w:after="0" w:line="238" w:lineRule="auto"/>
        <w:rPr>
          <w:sz w:val="20"/>
          <w:szCs w:val="20"/>
          <w:color w:val="auto"/>
        </w:rPr>
      </w:pPr>
      <w:r>
        <w:rPr>
          <w:rFonts w:ascii="Arial" w:cs="Arial" w:eastAsia="Arial" w:hAnsi="Arial"/>
          <w:sz w:val="14"/>
          <w:szCs w:val="14"/>
          <w:color w:val="auto"/>
        </w:rPr>
        <w:t>As of September 30,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02"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As of September 30, 2014 and 2013, we had $71.3 million in aggregate principal amount of 2025 Notes.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jc w:val="both"/>
        <w:ind w:right="120" w:firstLine="674"/>
        <w:spacing w:after="0" w:line="255" w:lineRule="auto"/>
        <w:rPr>
          <w:sz w:val="20"/>
          <w:szCs w:val="20"/>
          <w:color w:val="auto"/>
        </w:rPr>
      </w:pPr>
      <w:r>
        <w:rPr>
          <w:rFonts w:ascii="Arial" w:cs="Arial" w:eastAsia="Arial" w:hAnsi="Arial"/>
          <w:sz w:val="13"/>
          <w:szCs w:val="13"/>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94"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senior secured loans, mezzanine debt and, to a lesser extent, equity investments in qualifying assets such as private or thinly traded or small market-capitalization, U.S. middle-market public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674"/>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136" w:lineRule="exact"/>
        <w:rPr>
          <w:sz w:val="20"/>
          <w:szCs w:val="20"/>
          <w:color w:val="auto"/>
        </w:rPr>
      </w:pPr>
    </w:p>
    <w:p>
      <w:pPr>
        <w:ind w:right="60" w:firstLine="674"/>
        <w:spacing w:after="0" w:line="255"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136" w:lineRule="exact"/>
        <w:rPr>
          <w:sz w:val="20"/>
          <w:szCs w:val="20"/>
          <w:color w:val="auto"/>
        </w:rPr>
      </w:pPr>
    </w:p>
    <w:p>
      <w:pPr>
        <w:ind w:firstLine="674"/>
        <w:spacing w:after="0" w:line="251"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firstLine="674"/>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15" w:lineRule="exact"/>
        <w:rPr>
          <w:sz w:val="20"/>
          <w:szCs w:val="20"/>
          <w:color w:val="auto"/>
        </w:rPr>
      </w:pPr>
    </w:p>
    <w:p>
      <w:pPr>
        <w:ind w:left="1120" w:hanging="451"/>
        <w:spacing w:after="0"/>
        <w:tabs>
          <w:tab w:leader="none" w:pos="11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to invest in portfolio companies that it believes possess competitive advantages in scale, scope, customer loyalty, product pricing or product quality as compared to their competitors to protect their market position.</w:t>
      </w:r>
    </w:p>
    <w:p>
      <w:pPr>
        <w:spacing w:after="0" w:line="115" w:lineRule="exact"/>
        <w:rPr>
          <w:sz w:val="20"/>
          <w:szCs w:val="20"/>
          <w:color w:val="auto"/>
        </w:rPr>
      </w:pPr>
    </w:p>
    <w:p>
      <w:pPr>
        <w:ind w:left="1120" w:hanging="451"/>
        <w:spacing w:after="0"/>
        <w:tabs>
          <w:tab w:leader="none" w:pos="11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23" w:lineRule="exact"/>
        <w:rPr>
          <w:sz w:val="20"/>
          <w:szCs w:val="20"/>
          <w:color w:val="auto"/>
        </w:rPr>
      </w:pPr>
    </w:p>
    <w:p>
      <w:pPr>
        <w:ind w:right="260" w:firstLine="674"/>
        <w:spacing w:after="0" w:line="255" w:lineRule="auto"/>
        <w:rPr>
          <w:sz w:val="20"/>
          <w:szCs w:val="20"/>
          <w:color w:val="auto"/>
        </w:rPr>
      </w:pPr>
      <w:r>
        <w:rPr>
          <w:rFonts w:ascii="Arial" w:cs="Arial" w:eastAsia="Arial" w:hAnsi="Arial"/>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07" w:lineRule="exact"/>
        <w:rPr>
          <w:sz w:val="20"/>
          <w:szCs w:val="20"/>
          <w:color w:val="auto"/>
        </w:rPr>
      </w:pPr>
    </w:p>
    <w:p>
      <w:pPr>
        <w:ind w:left="1120" w:hanging="451"/>
        <w:spacing w:after="0"/>
        <w:tabs>
          <w:tab w:leader="none" w:pos="11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right="260" w:firstLine="674"/>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1120" w:hanging="451"/>
        <w:spacing w:after="0"/>
        <w:tabs>
          <w:tab w:leader="none" w:pos="11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17" w:lineRule="exact"/>
        <w:rPr>
          <w:sz w:val="20"/>
          <w:szCs w:val="20"/>
          <w:color w:val="auto"/>
        </w:rPr>
      </w:pPr>
    </w:p>
    <w:p>
      <w:pPr>
        <w:ind w:left="1120" w:hanging="451"/>
        <w:spacing w:after="0"/>
        <w:tabs>
          <w:tab w:leader="none" w:pos="11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and industries</w:t>
      </w:r>
    </w:p>
    <w:p>
      <w:pPr>
        <w:spacing w:after="0" w:line="123" w:lineRule="exact"/>
        <w:rPr>
          <w:sz w:val="20"/>
          <w:szCs w:val="20"/>
          <w:color w:val="auto"/>
        </w:rPr>
      </w:pPr>
    </w:p>
    <w:p>
      <w:pPr>
        <w:ind w:right="380" w:firstLine="674"/>
        <w:spacing w:after="0" w:line="290"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84" w:lineRule="exact"/>
        <w:rPr>
          <w:sz w:val="20"/>
          <w:szCs w:val="20"/>
          <w:color w:val="auto"/>
        </w:rPr>
      </w:pPr>
    </w:p>
    <w:p>
      <w:pPr>
        <w:ind w:left="1120" w:hanging="415"/>
        <w:spacing w:after="0"/>
        <w:tabs>
          <w:tab w:leader="none" w:pos="11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674"/>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36"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due diligence may include:</w:t>
      </w:r>
    </w:p>
    <w:p>
      <w:pPr>
        <w:ind w:left="1100" w:hanging="431"/>
        <w:spacing w:after="0" w:line="184"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review of historical and prospective financial information;</w:t>
      </w:r>
    </w:p>
    <w:p>
      <w:pPr>
        <w:spacing w:after="0" w:line="53"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research relating to the company’s management, industry, markets, products and services and competitors;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interviews with management, employees, customers and vendors of the potential portfolio company;</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on-site visits;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review of loan documents; and</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2"/>
        </w:numPr>
        <w:rPr>
          <w:rFonts w:ascii="Arial" w:cs="Arial" w:eastAsia="Arial" w:hAnsi="Arial"/>
          <w:sz w:val="36"/>
          <w:szCs w:val="36"/>
          <w:color w:val="auto"/>
          <w:vertAlign w:val="subscript"/>
        </w:rPr>
      </w:pPr>
      <w:r>
        <w:rPr>
          <w:rFonts w:ascii="Arial" w:cs="Arial" w:eastAsia="Arial" w:hAnsi="Arial"/>
          <w:sz w:val="14"/>
          <w:szCs w:val="14"/>
          <w:color w:val="auto"/>
        </w:rPr>
        <w:t>background checks.</w:t>
      </w:r>
    </w:p>
    <w:p>
      <w:pPr>
        <w:spacing w:after="0" w:line="170" w:lineRule="exact"/>
        <w:rPr>
          <w:sz w:val="20"/>
          <w:szCs w:val="20"/>
          <w:color w:val="auto"/>
        </w:rPr>
      </w:pPr>
    </w:p>
    <w:p>
      <w:pPr>
        <w:ind w:right="100" w:firstLine="674"/>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06" w:lineRule="exact"/>
        <w:rPr>
          <w:sz w:val="20"/>
          <w:szCs w:val="20"/>
          <w:color w:val="auto"/>
        </w:rPr>
      </w:pPr>
    </w:p>
    <w:p>
      <w:pPr>
        <w:jc w:val="both"/>
        <w:ind w:right="60" w:firstLine="674"/>
        <w:spacing w:after="0" w:line="264" w:lineRule="auto"/>
        <w:rPr>
          <w:sz w:val="20"/>
          <w:szCs w:val="20"/>
          <w:color w:val="auto"/>
        </w:rPr>
      </w:pPr>
      <w:r>
        <w:rPr>
          <w:rFonts w:ascii="Arial" w:cs="Arial" w:eastAsia="Arial" w:hAnsi="Arial"/>
          <w:sz w:val="13"/>
          <w:szCs w:val="13"/>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23"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right="280" w:firstLine="674"/>
        <w:spacing w:after="0" w:line="253" w:lineRule="auto"/>
        <w:rPr>
          <w:sz w:val="20"/>
          <w:szCs w:val="20"/>
          <w:color w:val="auto"/>
        </w:rPr>
      </w:pPr>
      <w:r>
        <w:rPr>
          <w:rFonts w:ascii="Arial" w:cs="Arial" w:eastAsia="Arial" w:hAnsi="Arial"/>
          <w:sz w:val="14"/>
          <w:szCs w:val="14"/>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Typically, our mezzanine debt has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04"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ind w:left="1120" w:hanging="329"/>
        <w:spacing w:after="0" w:line="182" w:lineRule="auto"/>
        <w:tabs>
          <w:tab w:leader="none" w:pos="1120" w:val="left"/>
        </w:tabs>
        <w:numPr>
          <w:ilvl w:val="0"/>
          <w:numId w:val="13"/>
        </w:numPr>
        <w:rPr>
          <w:rFonts w:ascii="Arial" w:cs="Arial" w:eastAsia="Arial" w:hAnsi="Arial"/>
          <w:sz w:val="34"/>
          <w:szCs w:val="34"/>
          <w:color w:val="auto"/>
          <w:vertAlign w:val="subscript"/>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53" w:lineRule="exact"/>
        <w:rPr>
          <w:rFonts w:ascii="Arial" w:cs="Arial" w:eastAsia="Arial" w:hAnsi="Arial"/>
          <w:sz w:val="34"/>
          <w:szCs w:val="34"/>
          <w:color w:val="auto"/>
          <w:vertAlign w:val="subscript"/>
        </w:rPr>
      </w:pPr>
    </w:p>
    <w:p>
      <w:pPr>
        <w:ind w:left="1120" w:hanging="329"/>
        <w:spacing w:after="0" w:line="180" w:lineRule="auto"/>
        <w:tabs>
          <w:tab w:leader="none" w:pos="1120" w:val="left"/>
        </w:tabs>
        <w:numPr>
          <w:ilvl w:val="0"/>
          <w:numId w:val="13"/>
        </w:numPr>
        <w:rPr>
          <w:rFonts w:ascii="Arial" w:cs="Arial" w:eastAsia="Arial" w:hAnsi="Arial"/>
          <w:sz w:val="36"/>
          <w:szCs w:val="36"/>
          <w:color w:val="auto"/>
          <w:vertAlign w:val="subscript"/>
        </w:rPr>
      </w:pPr>
      <w:r>
        <w:rPr>
          <w:rFonts w:ascii="Arial" w:cs="Arial" w:eastAsia="Arial" w:hAnsi="Arial"/>
          <w:sz w:val="14"/>
          <w:szCs w:val="14"/>
          <w:color w:val="auto"/>
        </w:rPr>
        <w:t>incorporating “put” rights and call protection into the investment structure; and</w:t>
      </w:r>
    </w:p>
    <w:p>
      <w:pPr>
        <w:spacing w:after="0" w:line="183" w:lineRule="exact"/>
        <w:rPr>
          <w:rFonts w:ascii="Arial" w:cs="Arial" w:eastAsia="Arial" w:hAnsi="Arial"/>
          <w:sz w:val="36"/>
          <w:szCs w:val="36"/>
          <w:color w:val="auto"/>
          <w:vertAlign w:val="subscript"/>
        </w:rPr>
      </w:pPr>
    </w:p>
    <w:p>
      <w:pPr>
        <w:jc w:val="both"/>
        <w:ind w:left="1120" w:right="120" w:hanging="329"/>
        <w:spacing w:after="0" w:line="185" w:lineRule="auto"/>
        <w:tabs>
          <w:tab w:leader="none" w:pos="1120" w:val="left"/>
        </w:tabs>
        <w:numPr>
          <w:ilvl w:val="0"/>
          <w:numId w:val="13"/>
        </w:numPr>
        <w:rPr>
          <w:rFonts w:ascii="Arial" w:cs="Arial" w:eastAsia="Arial" w:hAnsi="Arial"/>
          <w:sz w:val="28"/>
          <w:szCs w:val="28"/>
          <w:color w:val="auto"/>
          <w:vertAlign w:val="subscript"/>
        </w:rPr>
      </w:pPr>
      <w:r>
        <w:rPr>
          <w:rFonts w:ascii="Arial" w:cs="Arial" w:eastAsia="Arial" w:hAnsi="Arial"/>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120" w:firstLine="674"/>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40" w:firstLine="674"/>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20" w:firstLine="674"/>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ind w:left="1100" w:hanging="431"/>
        <w:spacing w:after="0" w:line="184" w:lineRule="auto"/>
        <w:tabs>
          <w:tab w:leader="none" w:pos="1100" w:val="left"/>
        </w:tabs>
        <w:numPr>
          <w:ilvl w:val="0"/>
          <w:numId w:val="14"/>
        </w:numPr>
        <w:rPr>
          <w:rFonts w:ascii="Arial" w:cs="Arial" w:eastAsia="Arial" w:hAnsi="Arial"/>
          <w:sz w:val="36"/>
          <w:szCs w:val="36"/>
          <w:color w:val="auto"/>
          <w:vertAlign w:val="subscript"/>
        </w:rPr>
      </w:pPr>
      <w:r>
        <w:rPr>
          <w:rFonts w:ascii="Arial" w:cs="Arial" w:eastAsia="Arial" w:hAnsi="Arial"/>
          <w:sz w:val="14"/>
          <w:szCs w:val="14"/>
          <w:color w:val="auto"/>
        </w:rPr>
        <w:t>assessment of success in adhering to a portfolio company’s business plan and compliance with covenants;</w:t>
      </w:r>
    </w:p>
    <w:p>
      <w:pPr>
        <w:spacing w:after="0" w:line="183" w:lineRule="exact"/>
        <w:rPr>
          <w:rFonts w:ascii="Arial" w:cs="Arial" w:eastAsia="Arial" w:hAnsi="Arial"/>
          <w:sz w:val="36"/>
          <w:szCs w:val="36"/>
          <w:color w:val="auto"/>
          <w:vertAlign w:val="subscript"/>
        </w:rPr>
      </w:pPr>
    </w:p>
    <w:p>
      <w:pPr>
        <w:ind w:left="1100" w:right="660" w:hanging="431"/>
        <w:spacing w:after="0" w:line="181" w:lineRule="auto"/>
        <w:tabs>
          <w:tab w:leader="none" w:pos="1100" w:val="left"/>
        </w:tabs>
        <w:numPr>
          <w:ilvl w:val="0"/>
          <w:numId w:val="14"/>
        </w:numPr>
        <w:rPr>
          <w:rFonts w:ascii="Arial" w:cs="Arial" w:eastAsia="Arial" w:hAnsi="Arial"/>
          <w:sz w:val="26"/>
          <w:szCs w:val="26"/>
          <w:color w:val="auto"/>
          <w:vertAlign w:val="subscript"/>
        </w:rPr>
      </w:pPr>
      <w:r>
        <w:rPr>
          <w:rFonts w:ascii="Arial" w:cs="Arial" w:eastAsia="Arial" w:hAnsi="Arial"/>
          <w:sz w:val="12"/>
          <w:szCs w:val="12"/>
          <w:color w:val="auto"/>
        </w:rPr>
        <w:t>periodic or regular contact with portfolio company management and, if appropriate, the financial or strategic sponsor, to discuss financial position, requirements and accomplishments;</w:t>
      </w:r>
    </w:p>
    <w:p>
      <w:pPr>
        <w:spacing w:after="0" w:line="1" w:lineRule="exact"/>
        <w:rPr>
          <w:rFonts w:ascii="Arial" w:cs="Arial" w:eastAsia="Arial" w:hAnsi="Arial"/>
          <w:sz w:val="26"/>
          <w:szCs w:val="26"/>
          <w:color w:val="auto"/>
          <w:vertAlign w:val="subscript"/>
        </w:rPr>
      </w:pPr>
    </w:p>
    <w:p>
      <w:pPr>
        <w:ind w:left="1100" w:hanging="431"/>
        <w:spacing w:after="0" w:line="182" w:lineRule="auto"/>
        <w:tabs>
          <w:tab w:leader="none" w:pos="1100" w:val="left"/>
        </w:tabs>
        <w:numPr>
          <w:ilvl w:val="0"/>
          <w:numId w:val="14"/>
        </w:numPr>
        <w:rPr>
          <w:rFonts w:ascii="Arial" w:cs="Arial" w:eastAsia="Arial" w:hAnsi="Arial"/>
          <w:sz w:val="34"/>
          <w:szCs w:val="34"/>
          <w:color w:val="auto"/>
          <w:vertAlign w:val="subscript"/>
        </w:rPr>
      </w:pPr>
      <w:r>
        <w:rPr>
          <w:rFonts w:ascii="Arial" w:cs="Arial" w:eastAsia="Arial" w:hAnsi="Arial"/>
          <w:sz w:val="14"/>
          <w:szCs w:val="14"/>
          <w:color w:val="auto"/>
        </w:rPr>
        <w:t>comparisons to other portfolio companies in the industry, if any;</w:t>
      </w:r>
    </w:p>
    <w:p>
      <w:pPr>
        <w:spacing w:after="0" w:line="53" w:lineRule="exact"/>
        <w:rPr>
          <w:rFonts w:ascii="Arial" w:cs="Arial" w:eastAsia="Arial" w:hAnsi="Arial"/>
          <w:sz w:val="34"/>
          <w:szCs w:val="34"/>
          <w:color w:val="auto"/>
          <w:vertAlign w:val="subscript"/>
        </w:rPr>
      </w:pPr>
    </w:p>
    <w:p>
      <w:pPr>
        <w:ind w:left="1100" w:hanging="431"/>
        <w:spacing w:after="0" w:line="180" w:lineRule="auto"/>
        <w:tabs>
          <w:tab w:leader="none" w:pos="1100" w:val="left"/>
        </w:tabs>
        <w:numPr>
          <w:ilvl w:val="0"/>
          <w:numId w:val="14"/>
        </w:numPr>
        <w:rPr>
          <w:rFonts w:ascii="Arial" w:cs="Arial" w:eastAsia="Arial" w:hAnsi="Arial"/>
          <w:sz w:val="36"/>
          <w:szCs w:val="36"/>
          <w:color w:val="auto"/>
          <w:vertAlign w:val="subscript"/>
        </w:rPr>
      </w:pPr>
      <w:r>
        <w:rPr>
          <w:rFonts w:ascii="Arial" w:cs="Arial" w:eastAsia="Arial" w:hAnsi="Arial"/>
          <w:sz w:val="14"/>
          <w:szCs w:val="14"/>
          <w:color w:val="auto"/>
        </w:rPr>
        <w:t>attendance at and participation in board meetings or presentations by portfolio companies; and</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4"/>
        </w:numPr>
        <w:rPr>
          <w:rFonts w:ascii="Arial" w:cs="Arial" w:eastAsia="Arial" w:hAnsi="Arial"/>
          <w:sz w:val="36"/>
          <w:szCs w:val="36"/>
          <w:color w:val="auto"/>
          <w:vertAlign w:val="subscript"/>
        </w:rPr>
      </w:pPr>
      <w:r>
        <w:rPr>
          <w:rFonts w:ascii="Arial" w:cs="Arial" w:eastAsia="Arial" w:hAnsi="Arial"/>
          <w:sz w:val="14"/>
          <w:szCs w:val="14"/>
          <w:color w:val="auto"/>
        </w:rPr>
        <w:t>review of monthly and quarterly financial statements and financial projections for portfolio companies.</w:t>
      </w:r>
    </w:p>
    <w:p>
      <w:pPr>
        <w:spacing w:after="0" w:line="184" w:lineRule="exact"/>
        <w:rPr>
          <w:sz w:val="20"/>
          <w:szCs w:val="20"/>
          <w:color w:val="auto"/>
        </w:rPr>
      </w:pPr>
    </w:p>
    <w:p>
      <w:pPr>
        <w:ind w:right="380" w:firstLine="743"/>
        <w:spacing w:after="0" w:line="231" w:lineRule="auto"/>
        <w:rPr>
          <w:sz w:val="20"/>
          <w:szCs w:val="20"/>
          <w:color w:val="auto"/>
        </w:rPr>
      </w:pPr>
      <w:r>
        <w:rPr>
          <w:rFonts w:ascii="Arial" w:cs="Arial" w:eastAsia="Arial" w:hAnsi="Arial"/>
          <w:sz w:val="14"/>
          <w:szCs w:val="14"/>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for more information.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firstLine="674"/>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36"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“PNNT.” Our 2025 Notes are quoted on the New York Stock Exchange, or the NYSE, under the symbol “PNTA.”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2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right="380" w:firstLine="674"/>
        <w:spacing w:after="0" w:line="238" w:lineRule="auto"/>
        <w:rPr>
          <w:sz w:val="20"/>
          <w:szCs w:val="20"/>
          <w:color w:val="auto"/>
        </w:rPr>
      </w:pPr>
      <w:r>
        <w:rPr>
          <w:rFonts w:ascii="Arial" w:cs="Arial" w:eastAsia="Arial" w:hAnsi="Arial"/>
          <w:sz w:val="14"/>
          <w:szCs w:val="14"/>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1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Aerospace and Defense</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Energy/Utilities</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Auto Sector</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Beverage, Food and Tobacco</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Broadcasting and Entertainment</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Buildings and Real Estate</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Building Materials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w w:val="94"/>
              </w:rPr>
              <w:t>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Business Services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Cable Television</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Cargo Transportation</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Chemicals, Plastics and Rubber</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Communications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Manufacturing/Basic Industries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Consumer Products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Containers Packaging &amp; Glass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Distribution</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Diversified/Conglomerate Manufacturing</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Diversified/Conglomerate Services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Diversified Natural Resources, Precious Metals and Minerals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Education</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Retail</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Electronics</w:t>
            </w:r>
          </w:p>
        </w:tc>
        <w:tc>
          <w:tcPr>
            <w:tcW w:w="1240" w:type="dxa"/>
            <w:vAlign w:val="bottom"/>
          </w:tcPr>
          <w:p>
            <w:pPr>
              <w:ind w:left="1160"/>
              <w:spacing w:after="0"/>
              <w:rPr>
                <w:sz w:val="20"/>
                <w:szCs w:val="20"/>
                <w:color w:val="auto"/>
              </w:rPr>
            </w:pPr>
            <w:r>
              <w:rPr>
                <w:rFonts w:ascii="Arial" w:cs="Arial" w:eastAsia="Arial" w:hAnsi="Arial"/>
                <w:sz w:val="18"/>
                <w:szCs w:val="18"/>
                <w:color w:val="auto"/>
                <w:w w:val="94"/>
              </w:rPr>
              <w:t>•</w:t>
            </w:r>
          </w:p>
        </w:tc>
        <w:tc>
          <w:tcPr>
            <w:tcW w:w="4260" w:type="dxa"/>
            <w:vAlign w:val="bottom"/>
          </w:tcPr>
          <w:p>
            <w:pPr>
              <w:ind w:left="40"/>
              <w:spacing w:after="0"/>
              <w:rPr>
                <w:sz w:val="20"/>
                <w:szCs w:val="20"/>
                <w:color w:val="auto"/>
              </w:rPr>
            </w:pPr>
            <w:r>
              <w:rPr>
                <w:rFonts w:ascii="Arial" w:cs="Arial" w:eastAsia="Arial" w:hAnsi="Arial"/>
                <w:sz w:val="14"/>
                <w:szCs w:val="14"/>
                <w:color w:val="auto"/>
              </w:rPr>
              <w:t>Telecommunications</w:t>
            </w:r>
          </w:p>
        </w:tc>
      </w:tr>
    </w:tbl>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6"/>
                <w:szCs w:val="16"/>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6"/>
                <w:szCs w:val="16"/>
                <w:color w:val="auto"/>
              </w:rPr>
            </w:pPr>
          </w:p>
        </w:tc>
      </w:tr>
      <w:tr>
        <w:trPr>
          <w:trHeight w:val="142"/>
        </w:trPr>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RAM Energy LLC</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8%</w:t>
            </w:r>
          </w:p>
        </w:tc>
        <w:tc>
          <w:tcPr>
            <w:tcW w:w="4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Pre-Paid Legal Services, Inc.</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6%</w:t>
            </w:r>
          </w:p>
        </w:tc>
      </w:tr>
      <w:tr>
        <w:trPr>
          <w:trHeight w:val="130"/>
        </w:trPr>
        <w:tc>
          <w:tcPr>
            <w:tcW w:w="5040" w:type="dxa"/>
            <w:vAlign w:val="bottom"/>
            <w:gridSpan w:val="2"/>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7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6</w:t>
            </w:r>
          </w:p>
        </w:tc>
        <w:tc>
          <w:tcPr>
            <w:tcW w:w="482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60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5</w:t>
            </w:r>
          </w:p>
        </w:tc>
      </w:tr>
      <w:tr>
        <w:trPr>
          <w:trHeight w:val="181"/>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4"/>
                <w:szCs w:val="14"/>
                <w:color w:val="auto"/>
              </w:rPr>
              <w:t>(Eureka Hunter Pipeline, LLC)</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5</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4</w:t>
            </w: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Jacobs Entertainment, Inc.</w:t>
            </w:r>
          </w:p>
        </w:tc>
        <w:tc>
          <w:tcPr>
            <w:tcW w:w="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4</w:t>
            </w: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4</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4</w:t>
            </w: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Vestcom International, Inc.</w:t>
            </w:r>
          </w:p>
        </w:tc>
        <w:tc>
          <w:tcPr>
            <w:tcW w:w="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4</w:t>
            </w: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Patriot National, Inc. (f/k/a Old Guard Risk Services, Inc.)</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4</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3</w:t>
            </w:r>
          </w:p>
        </w:tc>
      </w:tr>
      <w:tr>
        <w:trPr>
          <w:trHeight w:val="148"/>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3</w:t>
            </w: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 Inns Limited</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3</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3</w:t>
            </w: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color w:val="auto"/>
              </w:rPr>
              <w:t>Novitex Acquisition, LLC</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3</w:t>
            </w:r>
          </w:p>
        </w:tc>
        <w:tc>
          <w:tcPr>
            <w:tcW w:w="4820" w:type="dxa"/>
            <w:vAlign w:val="bottom"/>
            <w:gridSpan w:val="2"/>
          </w:tcPr>
          <w:p>
            <w:pPr>
              <w:spacing w:after="0"/>
              <w:rPr>
                <w:sz w:val="20"/>
                <w:szCs w:val="20"/>
                <w:color w:val="auto"/>
              </w:rPr>
            </w:pPr>
            <w:r>
              <w:rPr>
                <w:rFonts w:ascii="Arial" w:cs="Arial" w:eastAsia="Arial" w:hAnsi="Arial"/>
                <w:sz w:val="14"/>
                <w:szCs w:val="14"/>
                <w:color w:val="auto"/>
              </w:rPr>
              <w:t>Varel International Energy Mezzanine Funding Corp.</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3</w:t>
            </w:r>
          </w:p>
        </w:tc>
      </w:tr>
    </w:tbl>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6"/>
                <w:szCs w:val="16"/>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6"/>
                <w:szCs w:val="16"/>
                <w:color w:val="auto"/>
              </w:rPr>
            </w:pPr>
          </w:p>
        </w:tc>
      </w:tr>
      <w:tr>
        <w:trPr>
          <w:trHeight w:val="142"/>
        </w:trPr>
        <w:tc>
          <w:tcPr>
            <w:tcW w:w="4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9%</w:t>
            </w:r>
          </w:p>
        </w:tc>
        <w:tc>
          <w:tcPr>
            <w:tcW w:w="4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Personal, Food and Miscellaneous Services</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Oil and Gas</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6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9</w:t>
            </w: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9</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6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w:t>
            </w: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8</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Energy / Utilities</w:t>
            </w:r>
          </w:p>
        </w:tc>
        <w:tc>
          <w:tcPr>
            <w:tcW w:w="6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8</w:t>
            </w: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8</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6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w:t>
            </w: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6</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&amp; Childcare</w:t>
            </w:r>
          </w:p>
        </w:tc>
        <w:tc>
          <w:tcPr>
            <w:tcW w:w="6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w:t>
            </w:r>
          </w:p>
        </w:tc>
      </w:tr>
      <w:tr>
        <w:trPr>
          <w:trHeight w:val="148"/>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6</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6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w:t>
            </w:r>
          </w:p>
        </w:tc>
      </w:tr>
      <w:tr>
        <w:trPr>
          <w:trHeight w:val="148"/>
        </w:trPr>
        <w:tc>
          <w:tcPr>
            <w:tcW w:w="504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w:t>
            </w: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6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w:t>
            </w:r>
          </w:p>
        </w:tc>
      </w:tr>
      <w:tr>
        <w:trPr>
          <w:trHeight w:val="149"/>
        </w:trPr>
        <w:tc>
          <w:tcPr>
            <w:tcW w:w="5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4</w:t>
            </w:r>
          </w:p>
        </w:tc>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6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w:t>
            </w: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4</w:t>
            </w:r>
          </w:p>
        </w:tc>
        <w:tc>
          <w:tcPr>
            <w:tcW w:w="482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5</w:t>
            </w:r>
          </w:p>
        </w:tc>
      </w:tr>
    </w:tbl>
    <w:p>
      <w:pPr>
        <w:spacing w:after="0" w:line="83" w:lineRule="exact"/>
        <w:rPr>
          <w:sz w:val="20"/>
          <w:szCs w:val="20"/>
          <w:color w:val="auto"/>
        </w:rPr>
      </w:pPr>
    </w:p>
    <w:p>
      <w:pPr>
        <w:ind w:right="160" w:firstLine="674"/>
        <w:spacing w:after="0" w:line="244" w:lineRule="auto"/>
        <w:rPr>
          <w:sz w:val="20"/>
          <w:szCs w:val="20"/>
          <w:color w:val="auto"/>
        </w:rPr>
      </w:pPr>
      <w:r>
        <w:rPr>
          <w:rFonts w:ascii="Arial" w:cs="Arial" w:eastAsia="Arial" w:hAnsi="Arial"/>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which was granted no-action relief by the SEC.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jc w:val="both"/>
        <w:ind w:right="180" w:firstLine="674"/>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36" w:lineRule="exact"/>
        <w:rPr>
          <w:sz w:val="20"/>
          <w:szCs w:val="20"/>
          <w:color w:val="auto"/>
        </w:rPr>
      </w:pPr>
    </w:p>
    <w:p>
      <w:pPr>
        <w:ind w:firstLine="674"/>
        <w:spacing w:after="0" w:line="249"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ind w:left="1100" w:hanging="431"/>
        <w:spacing w:after="0" w:line="182" w:lineRule="auto"/>
        <w:tabs>
          <w:tab w:leader="none" w:pos="1100" w:val="left"/>
        </w:tabs>
        <w:numPr>
          <w:ilvl w:val="0"/>
          <w:numId w:val="15"/>
        </w:numPr>
        <w:rPr>
          <w:rFonts w:ascii="Arial" w:cs="Arial" w:eastAsia="Arial" w:hAnsi="Arial"/>
          <w:sz w:val="34"/>
          <w:szCs w:val="34"/>
          <w:color w:val="auto"/>
          <w:vertAlign w:val="subscript"/>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3" w:lineRule="exact"/>
        <w:rPr>
          <w:rFonts w:ascii="Arial" w:cs="Arial" w:eastAsia="Arial" w:hAnsi="Arial"/>
          <w:sz w:val="34"/>
          <w:szCs w:val="34"/>
          <w:color w:val="auto"/>
          <w:vertAlign w:val="subscript"/>
        </w:rPr>
      </w:pPr>
    </w:p>
    <w:p>
      <w:pPr>
        <w:ind w:left="1100" w:hanging="431"/>
        <w:spacing w:after="0" w:line="180" w:lineRule="auto"/>
        <w:tabs>
          <w:tab w:leader="none" w:pos="1100" w:val="left"/>
        </w:tabs>
        <w:numPr>
          <w:ilvl w:val="0"/>
          <w:numId w:val="15"/>
        </w:numPr>
        <w:rPr>
          <w:rFonts w:ascii="Arial" w:cs="Arial" w:eastAsia="Arial" w:hAnsi="Arial"/>
          <w:sz w:val="36"/>
          <w:szCs w:val="36"/>
          <w:color w:val="auto"/>
          <w:vertAlign w:val="subscript"/>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5"/>
        </w:numPr>
        <w:rPr>
          <w:rFonts w:ascii="Arial" w:cs="Arial" w:eastAsia="Arial" w:hAnsi="Arial"/>
          <w:sz w:val="36"/>
          <w:szCs w:val="36"/>
          <w:color w:val="auto"/>
          <w:vertAlign w:val="subscript"/>
        </w:rPr>
      </w:pPr>
      <w:r>
        <w:rPr>
          <w:rFonts w:ascii="Arial" w:cs="Arial" w:eastAsia="Arial" w:hAnsi="Arial"/>
          <w:sz w:val="14"/>
          <w:szCs w:val="14"/>
          <w:color w:val="auto"/>
        </w:rPr>
        <w:t>closes and monitors the investments we make; and</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15"/>
        </w:numPr>
        <w:rPr>
          <w:rFonts w:ascii="Arial" w:cs="Arial" w:eastAsia="Arial" w:hAnsi="Arial"/>
          <w:sz w:val="36"/>
          <w:szCs w:val="36"/>
          <w:color w:val="auto"/>
          <w:vertAlign w:val="subscript"/>
        </w:rPr>
      </w:pPr>
      <w:r>
        <w:rPr>
          <w:rFonts w:ascii="Arial" w:cs="Arial" w:eastAsia="Arial" w:hAnsi="Arial"/>
          <w:sz w:val="14"/>
          <w:szCs w:val="14"/>
          <w:color w:val="auto"/>
        </w:rPr>
        <w:t>provides us with such other investment advisory, research and related services as we may need from time to time.</w:t>
      </w:r>
    </w:p>
    <w:p>
      <w:pPr>
        <w:spacing w:after="0" w:line="184"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36" w:lineRule="exact"/>
        <w:rPr>
          <w:sz w:val="20"/>
          <w:szCs w:val="20"/>
          <w:color w:val="auto"/>
        </w:rPr>
      </w:pPr>
    </w:p>
    <w:p>
      <w:pPr>
        <w:ind w:right="40" w:firstLine="674"/>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base management fees of $24.3 million, $21.3 million and $17.5 million, respectively, from us.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Gross assets as of December 31, 20XX = $160 million</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U.S. Treasury bills and temporary draws on credit facilities as of December 31, 20 XX = $10 million</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Adjusted gross assets as of December 31, 20 XX = $150 million</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Gross assets as of March 31, 20 XX = $200 million</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U.S. Treasury bills and temporary draws on credit facilities as of March 31, 20 XX = $20 million</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23" w:lineRule="exact"/>
        <w:rPr>
          <w:sz w:val="20"/>
          <w:szCs w:val="20"/>
          <w:color w:val="auto"/>
        </w:rPr>
      </w:pPr>
    </w:p>
    <w:p>
      <w:pPr>
        <w:ind w:right="180" w:firstLine="674"/>
        <w:spacing w:after="0" w:line="253" w:lineRule="auto"/>
        <w:rPr>
          <w:sz w:val="20"/>
          <w:szCs w:val="20"/>
          <w:color w:val="auto"/>
        </w:rPr>
      </w:pPr>
      <w:r>
        <w:rPr>
          <w:rFonts w:ascii="Arial" w:cs="Arial" w:eastAsia="Arial" w:hAnsi="Arial"/>
          <w:sz w:val="14"/>
          <w:szCs w:val="14"/>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00"/>
          </w:cols>
          <w:pgMar w:left="32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674"/>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once the hurdle is reached and the catch-up is achieved, 20% of all Pre-Incentive Net Fee Investment Income thereafter is allocated to our Investment Adviser. These calculations are prorated for any share issuances or repurchases during the relevant quarter, if applicable. For the years ended September 30, 2014, 2013 and 2012, the Investment Adviser earned $17.8 million, $16.8 million and $14.2 million, respectively, in incentive fees on net investment income from us.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90805</wp:posOffset>
            </wp:positionV>
            <wp:extent cx="163703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11" w:lineRule="exact"/>
        <w:rPr>
          <w:sz w:val="20"/>
          <w:szCs w:val="20"/>
          <w:color w:val="auto"/>
        </w:rPr>
      </w:pPr>
    </w:p>
    <w:p>
      <w:pPr>
        <w:ind w:right="20" w:firstLine="674"/>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2014, 2013 and 2012, the Investment Adviser did not earn an incentive fee on capital gains, as calculated under the Investment Management Agreement (as described above).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32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674"/>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1.25%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0.55%</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2.70%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2.00%</w:t>
      </w:r>
    </w:p>
    <w:p>
      <w:pPr>
        <w:spacing w:after="0" w:line="284" w:lineRule="exact"/>
        <w:rPr>
          <w:sz w:val="20"/>
          <w:szCs w:val="20"/>
          <w:color w:val="auto"/>
        </w:rPr>
      </w:pPr>
    </w:p>
    <w:p>
      <w:pPr>
        <w:ind w:left="1240"/>
        <w:spacing w:after="0"/>
        <w:tabs>
          <w:tab w:leader="none" w:pos="268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20% x Pre-Incentive Fee Net Investment Income, subject to “catch-up”</w:t>
      </w:r>
    </w:p>
    <w:p>
      <w:pPr>
        <w:ind w:left="2820" w:hanging="126"/>
        <w:spacing w:after="0" w:line="221" w:lineRule="auto"/>
        <w:tabs>
          <w:tab w:leader="none" w:pos="2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2.00% - 1.75%</w:t>
      </w:r>
    </w:p>
    <w:p>
      <w:pPr>
        <w:ind w:left="2820" w:hanging="126"/>
        <w:spacing w:after="0" w:line="221" w:lineRule="auto"/>
        <w:tabs>
          <w:tab w:leader="none" w:pos="2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0.25%</w:t>
      </w:r>
    </w:p>
    <w:p>
      <w:pPr>
        <w:ind w:left="2820" w:hanging="126"/>
        <w:spacing w:after="0" w:line="221" w:lineRule="auto"/>
        <w:tabs>
          <w:tab w:leader="none" w:pos="2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100% x 0.25%</w:t>
      </w:r>
    </w:p>
    <w:p>
      <w:pPr>
        <w:ind w:left="2820" w:hanging="126"/>
        <w:spacing w:after="0"/>
        <w:tabs>
          <w:tab w:leader="none" w:pos="28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0.25%</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80"/>
          </w:cols>
          <w:pgMar w:left="32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 (including interest, distributions, fees, etc.) = 3.00%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0.50%</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Pre-Incentive Fee Net Investment Income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(investment income—(base management fee + other expenses)) = 2.30%</w:t>
      </w:r>
    </w:p>
    <w:p>
      <w:pPr>
        <w:spacing w:after="0" w:line="285"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1200" w:type="dxa"/>
            <w:vAlign w:val="bottom"/>
          </w:tcPr>
          <w:p>
            <w:pPr>
              <w:spacing w:after="0"/>
              <w:rPr>
                <w:sz w:val="20"/>
                <w:szCs w:val="20"/>
                <w:color w:val="auto"/>
              </w:rPr>
            </w:pPr>
            <w:r>
              <w:rPr>
                <w:rFonts w:ascii="Arial" w:cs="Arial" w:eastAsia="Arial" w:hAnsi="Arial"/>
                <w:sz w:val="14"/>
                <w:szCs w:val="14"/>
                <w:color w:val="auto"/>
              </w:rPr>
              <w:t>Incentive fee</w:t>
            </w:r>
          </w:p>
        </w:tc>
        <w:tc>
          <w:tcPr>
            <w:tcW w:w="5480" w:type="dxa"/>
            <w:vAlign w:val="bottom"/>
            <w:gridSpan w:val="2"/>
          </w:tcPr>
          <w:p>
            <w:pPr>
              <w:ind w:left="460"/>
              <w:spacing w:after="0"/>
              <w:rPr>
                <w:sz w:val="20"/>
                <w:szCs w:val="20"/>
                <w:color w:val="auto"/>
              </w:rPr>
            </w:pPr>
            <w:r>
              <w:rPr>
                <w:rFonts w:ascii="Arial" w:cs="Arial" w:eastAsia="Arial" w:hAnsi="Arial"/>
                <w:sz w:val="14"/>
                <w:szCs w:val="14"/>
                <w:color w:val="auto"/>
              </w:rPr>
              <w:t>= 20% x Pre-Incentive Fee Net Investment Income, subject to “catch-up”</w:t>
            </w:r>
          </w:p>
        </w:tc>
      </w:tr>
      <w:tr>
        <w:trPr>
          <w:trHeight w:val="189"/>
        </w:trPr>
        <w:tc>
          <w:tcPr>
            <w:tcW w:w="1200" w:type="dxa"/>
            <w:vAlign w:val="bottom"/>
          </w:tcPr>
          <w:p>
            <w:pPr>
              <w:spacing w:after="0"/>
              <w:rPr>
                <w:sz w:val="20"/>
                <w:szCs w:val="20"/>
                <w:color w:val="auto"/>
              </w:rPr>
            </w:pPr>
            <w:r>
              <w:rPr>
                <w:rFonts w:ascii="Arial" w:cs="Arial" w:eastAsia="Arial" w:hAnsi="Arial"/>
                <w:sz w:val="14"/>
                <w:szCs w:val="14"/>
                <w:color w:val="auto"/>
              </w:rPr>
              <w:t>Incentive fee</w:t>
            </w:r>
          </w:p>
        </w:tc>
        <w:tc>
          <w:tcPr>
            <w:tcW w:w="5480" w:type="dxa"/>
            <w:vAlign w:val="bottom"/>
            <w:gridSpan w:val="2"/>
          </w:tcPr>
          <w:p>
            <w:pPr>
              <w:ind w:left="460"/>
              <w:spacing w:after="0"/>
              <w:rPr>
                <w:sz w:val="20"/>
                <w:szCs w:val="20"/>
                <w:color w:val="auto"/>
              </w:rPr>
            </w:pPr>
            <w:r>
              <w:rPr>
                <w:rFonts w:ascii="Arial" w:cs="Arial" w:eastAsia="Arial" w:hAnsi="Arial"/>
                <w:sz w:val="14"/>
                <w:szCs w:val="14"/>
                <w:color w:val="auto"/>
                <w:w w:val="94"/>
              </w:rPr>
              <w:t>= 100% x “catch-up” + (20% x (Pre-Incentive Fee Net Investment Income - 2.1875%))</w:t>
            </w:r>
          </w:p>
        </w:tc>
      </w:tr>
      <w:tr>
        <w:trPr>
          <w:trHeight w:val="189"/>
        </w:trPr>
        <w:tc>
          <w:tcPr>
            <w:tcW w:w="1200" w:type="dxa"/>
            <w:vAlign w:val="bottom"/>
          </w:tcPr>
          <w:p>
            <w:pPr>
              <w:spacing w:after="0"/>
              <w:rPr>
                <w:sz w:val="20"/>
                <w:szCs w:val="20"/>
                <w:color w:val="auto"/>
              </w:rPr>
            </w:pPr>
            <w:r>
              <w:rPr>
                <w:rFonts w:ascii="Arial" w:cs="Arial" w:eastAsia="Arial" w:hAnsi="Arial"/>
                <w:sz w:val="14"/>
                <w:szCs w:val="14"/>
                <w:color w:val="auto"/>
              </w:rPr>
              <w:t>Catch-up</w:t>
            </w:r>
          </w:p>
        </w:tc>
        <w:tc>
          <w:tcPr>
            <w:tcW w:w="5480" w:type="dxa"/>
            <w:vAlign w:val="bottom"/>
            <w:gridSpan w:val="2"/>
          </w:tcPr>
          <w:p>
            <w:pPr>
              <w:ind w:left="460"/>
              <w:spacing w:after="0"/>
              <w:rPr>
                <w:sz w:val="20"/>
                <w:szCs w:val="20"/>
                <w:color w:val="auto"/>
              </w:rPr>
            </w:pPr>
            <w:r>
              <w:rPr>
                <w:rFonts w:ascii="Arial" w:cs="Arial" w:eastAsia="Arial" w:hAnsi="Arial"/>
                <w:sz w:val="14"/>
                <w:szCs w:val="14"/>
                <w:color w:val="auto"/>
              </w:rPr>
              <w:t>= 2.1875% - 1.75%</w:t>
            </w:r>
          </w:p>
        </w:tc>
      </w:tr>
      <w:tr>
        <w:trPr>
          <w:trHeight w:val="189"/>
        </w:trPr>
        <w:tc>
          <w:tcPr>
            <w:tcW w:w="1200" w:type="dxa"/>
            <w:vAlign w:val="bottom"/>
          </w:tcPr>
          <w:p>
            <w:pPr>
              <w:spacing w:after="0"/>
              <w:rPr>
                <w:sz w:val="16"/>
                <w:szCs w:val="16"/>
                <w:color w:val="auto"/>
              </w:rPr>
            </w:pPr>
          </w:p>
        </w:tc>
        <w:tc>
          <w:tcPr>
            <w:tcW w:w="1120" w:type="dxa"/>
            <w:vAlign w:val="bottom"/>
          </w:tcPr>
          <w:p>
            <w:pPr>
              <w:ind w:left="460"/>
              <w:spacing w:after="0"/>
              <w:rPr>
                <w:sz w:val="20"/>
                <w:szCs w:val="20"/>
                <w:color w:val="auto"/>
              </w:rPr>
            </w:pPr>
            <w:r>
              <w:rPr>
                <w:rFonts w:ascii="Arial" w:cs="Arial" w:eastAsia="Arial" w:hAnsi="Arial"/>
                <w:sz w:val="14"/>
                <w:szCs w:val="14"/>
                <w:color w:val="auto"/>
                <w:w w:val="94"/>
              </w:rPr>
              <w:t>= 0.4375%</w:t>
            </w:r>
          </w:p>
        </w:tc>
        <w:tc>
          <w:tcPr>
            <w:tcW w:w="4360" w:type="dxa"/>
            <w:vAlign w:val="bottom"/>
          </w:tcPr>
          <w:p>
            <w:pPr>
              <w:spacing w:after="0"/>
              <w:rPr>
                <w:sz w:val="16"/>
                <w:szCs w:val="16"/>
                <w:color w:val="auto"/>
              </w:rPr>
            </w:pPr>
          </w:p>
        </w:tc>
      </w:tr>
      <w:tr>
        <w:trPr>
          <w:trHeight w:val="189"/>
        </w:trPr>
        <w:tc>
          <w:tcPr>
            <w:tcW w:w="1200" w:type="dxa"/>
            <w:vAlign w:val="bottom"/>
          </w:tcPr>
          <w:p>
            <w:pPr>
              <w:spacing w:after="0"/>
              <w:rPr>
                <w:sz w:val="16"/>
                <w:szCs w:val="16"/>
                <w:color w:val="auto"/>
              </w:rPr>
            </w:pPr>
          </w:p>
        </w:tc>
        <w:tc>
          <w:tcPr>
            <w:tcW w:w="5480" w:type="dxa"/>
            <w:vAlign w:val="bottom"/>
            <w:gridSpan w:val="2"/>
          </w:tcPr>
          <w:p>
            <w:pPr>
              <w:ind w:left="460"/>
              <w:spacing w:after="0"/>
              <w:rPr>
                <w:sz w:val="20"/>
                <w:szCs w:val="20"/>
                <w:color w:val="auto"/>
              </w:rPr>
            </w:pPr>
            <w:r>
              <w:rPr>
                <w:rFonts w:ascii="Arial" w:cs="Arial" w:eastAsia="Arial" w:hAnsi="Arial"/>
                <w:sz w:val="14"/>
                <w:szCs w:val="14"/>
                <w:color w:val="auto"/>
              </w:rPr>
              <w:t>= (100% x 0.4375%) + (20% x (2.30% - 2.1875%))</w:t>
            </w:r>
          </w:p>
        </w:tc>
      </w:tr>
      <w:tr>
        <w:trPr>
          <w:trHeight w:val="189"/>
        </w:trPr>
        <w:tc>
          <w:tcPr>
            <w:tcW w:w="1200" w:type="dxa"/>
            <w:vAlign w:val="bottom"/>
          </w:tcPr>
          <w:p>
            <w:pPr>
              <w:spacing w:after="0"/>
              <w:rPr>
                <w:sz w:val="16"/>
                <w:szCs w:val="16"/>
                <w:color w:val="auto"/>
              </w:rPr>
            </w:pPr>
          </w:p>
        </w:tc>
        <w:tc>
          <w:tcPr>
            <w:tcW w:w="1120" w:type="dxa"/>
            <w:vAlign w:val="bottom"/>
          </w:tcPr>
          <w:p>
            <w:pPr>
              <w:ind w:left="460"/>
              <w:spacing w:after="0"/>
              <w:rPr>
                <w:sz w:val="20"/>
                <w:szCs w:val="20"/>
                <w:color w:val="auto"/>
              </w:rPr>
            </w:pPr>
            <w:r>
              <w:rPr>
                <w:rFonts w:ascii="Arial" w:cs="Arial" w:eastAsia="Arial" w:hAnsi="Arial"/>
                <w:sz w:val="14"/>
                <w:szCs w:val="14"/>
                <w:color w:val="auto"/>
                <w:w w:val="94"/>
              </w:rPr>
              <w:t>= 0.4375%</w:t>
            </w:r>
          </w:p>
        </w:tc>
        <w:tc>
          <w:tcPr>
            <w:tcW w:w="4360" w:type="dxa"/>
            <w:vAlign w:val="bottom"/>
          </w:tcPr>
          <w:p>
            <w:pPr>
              <w:ind w:left="20"/>
              <w:spacing w:after="0"/>
              <w:rPr>
                <w:sz w:val="20"/>
                <w:szCs w:val="20"/>
                <w:color w:val="auto"/>
              </w:rPr>
            </w:pPr>
            <w:r>
              <w:rPr>
                <w:rFonts w:ascii="Arial" w:cs="Arial" w:eastAsia="Arial" w:hAnsi="Arial"/>
                <w:sz w:val="14"/>
                <w:szCs w:val="14"/>
                <w:color w:val="auto"/>
              </w:rPr>
              <w:t>+ (20% x 0.1125%)</w:t>
            </w:r>
          </w:p>
        </w:tc>
      </w:tr>
      <w:tr>
        <w:trPr>
          <w:trHeight w:val="189"/>
        </w:trPr>
        <w:tc>
          <w:tcPr>
            <w:tcW w:w="1200" w:type="dxa"/>
            <w:vAlign w:val="bottom"/>
          </w:tcPr>
          <w:p>
            <w:pPr>
              <w:spacing w:after="0"/>
              <w:rPr>
                <w:sz w:val="16"/>
                <w:szCs w:val="16"/>
                <w:color w:val="auto"/>
              </w:rPr>
            </w:pPr>
          </w:p>
        </w:tc>
        <w:tc>
          <w:tcPr>
            <w:tcW w:w="1120" w:type="dxa"/>
            <w:vAlign w:val="bottom"/>
          </w:tcPr>
          <w:p>
            <w:pPr>
              <w:ind w:left="460"/>
              <w:spacing w:after="0"/>
              <w:rPr>
                <w:sz w:val="20"/>
                <w:szCs w:val="20"/>
                <w:color w:val="auto"/>
              </w:rPr>
            </w:pPr>
            <w:r>
              <w:rPr>
                <w:rFonts w:ascii="Arial" w:cs="Arial" w:eastAsia="Arial" w:hAnsi="Arial"/>
                <w:sz w:val="14"/>
                <w:szCs w:val="14"/>
                <w:color w:val="auto"/>
                <w:w w:val="94"/>
              </w:rPr>
              <w:t>= 0.4375%</w:t>
            </w:r>
          </w:p>
        </w:tc>
        <w:tc>
          <w:tcPr>
            <w:tcW w:w="4360" w:type="dxa"/>
            <w:vAlign w:val="bottom"/>
          </w:tcPr>
          <w:p>
            <w:pPr>
              <w:ind w:left="20"/>
              <w:spacing w:after="0"/>
              <w:rPr>
                <w:sz w:val="20"/>
                <w:szCs w:val="20"/>
                <w:color w:val="auto"/>
              </w:rPr>
            </w:pPr>
            <w:r>
              <w:rPr>
                <w:rFonts w:ascii="Arial" w:cs="Arial" w:eastAsia="Arial" w:hAnsi="Arial"/>
                <w:sz w:val="14"/>
                <w:szCs w:val="14"/>
                <w:color w:val="auto"/>
              </w:rPr>
              <w:t>+ 0.0225%</w:t>
            </w:r>
          </w:p>
        </w:tc>
      </w:tr>
      <w:tr>
        <w:trPr>
          <w:trHeight w:val="189"/>
        </w:trPr>
        <w:tc>
          <w:tcPr>
            <w:tcW w:w="1200" w:type="dxa"/>
            <w:vAlign w:val="bottom"/>
          </w:tcPr>
          <w:p>
            <w:pPr>
              <w:spacing w:after="0"/>
              <w:rPr>
                <w:sz w:val="16"/>
                <w:szCs w:val="16"/>
                <w:color w:val="auto"/>
              </w:rPr>
            </w:pPr>
          </w:p>
        </w:tc>
        <w:tc>
          <w:tcPr>
            <w:tcW w:w="1120" w:type="dxa"/>
            <w:vAlign w:val="bottom"/>
          </w:tcPr>
          <w:p>
            <w:pPr>
              <w:ind w:left="460"/>
              <w:spacing w:after="0"/>
              <w:rPr>
                <w:sz w:val="20"/>
                <w:szCs w:val="20"/>
                <w:color w:val="auto"/>
              </w:rPr>
            </w:pPr>
            <w:r>
              <w:rPr>
                <w:rFonts w:ascii="Arial" w:cs="Arial" w:eastAsia="Arial" w:hAnsi="Arial"/>
                <w:sz w:val="14"/>
                <w:szCs w:val="14"/>
                <w:color w:val="auto"/>
              </w:rPr>
              <w:t>= 0.46%</w:t>
            </w:r>
          </w:p>
        </w:tc>
        <w:tc>
          <w:tcPr>
            <w:tcW w:w="4360" w:type="dxa"/>
            <w:vAlign w:val="bottom"/>
          </w:tcPr>
          <w:p>
            <w:pPr>
              <w:spacing w:after="0"/>
              <w:rPr>
                <w:sz w:val="16"/>
                <w:szCs w:val="16"/>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Assumptions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Year 1 = no net realized capital gains or losses</w:t>
      </w:r>
    </w:p>
    <w:p>
      <w:pPr>
        <w:spacing w:after="0" w:line="21" w:lineRule="exact"/>
        <w:rPr>
          <w:sz w:val="20"/>
          <w:szCs w:val="20"/>
          <w:color w:val="auto"/>
        </w:rPr>
      </w:pPr>
    </w:p>
    <w:p>
      <w:pPr>
        <w:ind w:left="120" w:right="380"/>
        <w:spacing w:after="0" w:line="24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240"/>
          </w:cols>
          <w:pgMar w:left="320" w:top="459" w:right="339" w:bottom="1440" w:gutter="0" w:footer="0" w:header="0"/>
        </w:sect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Year 1 incentive fee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 20% x (0)</w:t>
      </w:r>
    </w:p>
    <w:p>
      <w:pPr>
        <w:spacing w:after="0" w:line="40" w:lineRule="exact"/>
        <w:rPr>
          <w:sz w:val="20"/>
          <w:szCs w:val="20"/>
          <w:color w:val="auto"/>
        </w:rPr>
      </w:pPr>
    </w:p>
    <w:p>
      <w:pPr>
        <w:sectPr>
          <w:pgSz w:w="11900" w:h="16838" w:orient="portrait"/>
          <w:cols w:equalWidth="0" w:num="2">
            <w:col w:w="1860" w:space="720"/>
            <w:col w:w="8660"/>
          </w:cols>
          <w:pgMar w:left="320" w:top="459" w:right="339" w:bottom="1440" w:gutter="0" w:footer="0" w:header="0"/>
          <w:type w:val="continuous"/>
        </w:sectPr>
      </w:pPr>
    </w:p>
    <w:p>
      <w:pPr>
        <w:ind w:left="2580"/>
        <w:spacing w:after="0"/>
        <w:rPr>
          <w:sz w:val="20"/>
          <w:szCs w:val="20"/>
          <w:color w:val="auto"/>
        </w:rPr>
      </w:pPr>
      <w:r>
        <w:rPr>
          <w:rFonts w:ascii="Arial" w:cs="Arial" w:eastAsia="Arial" w:hAnsi="Arial"/>
          <w:sz w:val="14"/>
          <w:szCs w:val="14"/>
          <w:color w:val="auto"/>
        </w:rPr>
        <w:t>= 0</w:t>
      </w:r>
    </w:p>
    <w:p>
      <w:pPr>
        <w:spacing w:after="0" w:line="28"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 no incentive fee</w:t>
      </w:r>
    </w:p>
    <w:p>
      <w:pPr>
        <w:sectPr>
          <w:pgSz w:w="11900" w:h="16838" w:orient="portrait"/>
          <w:cols w:equalWidth="0" w:num="1">
            <w:col w:w="11240"/>
          </w:cols>
          <w:pgMar w:left="320" w:top="459" w:right="339" w:bottom="1440" w:gutter="0" w:footer="0" w:header="0"/>
          <w:type w:val="continuous"/>
        </w:sectPr>
      </w:pPr>
    </w:p>
    <w:p>
      <w:pPr>
        <w:spacing w:after="0" w:line="5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Year 2 incentive fee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20% x (6% - 1%)</w:t>
      </w:r>
    </w:p>
    <w:p>
      <w:pPr>
        <w:spacing w:after="0" w:line="40" w:lineRule="exact"/>
        <w:rPr>
          <w:sz w:val="20"/>
          <w:szCs w:val="20"/>
          <w:color w:val="auto"/>
        </w:rPr>
      </w:pPr>
    </w:p>
    <w:p>
      <w:pPr>
        <w:sectPr>
          <w:pgSz w:w="11900" w:h="16838" w:orient="portrait"/>
          <w:cols w:equalWidth="0" w:num="2">
            <w:col w:w="1860" w:space="720"/>
            <w:col w:w="8660"/>
          </w:cols>
          <w:pgMar w:left="320" w:top="459" w:right="339" w:bottom="1440" w:gutter="0" w:footer="0" w:header="0"/>
          <w:type w:val="continuous"/>
        </w:sectPr>
      </w:pPr>
    </w:p>
    <w:p>
      <w:pPr>
        <w:ind w:left="2700" w:hanging="127"/>
        <w:spacing w:after="0"/>
        <w:tabs>
          <w:tab w:leader="none" w:pos="27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20% x 5%</w:t>
      </w:r>
    </w:p>
    <w:p>
      <w:pPr>
        <w:spacing w:after="0" w:line="28" w:lineRule="exact"/>
        <w:rPr>
          <w:rFonts w:ascii="Arial" w:cs="Arial" w:eastAsia="Arial" w:hAnsi="Arial"/>
          <w:sz w:val="14"/>
          <w:szCs w:val="14"/>
          <w:color w:val="auto"/>
        </w:rPr>
      </w:pPr>
    </w:p>
    <w:p>
      <w:pPr>
        <w:ind w:left="2700" w:hanging="127"/>
        <w:spacing w:after="0"/>
        <w:tabs>
          <w:tab w:leader="none" w:pos="2700" w:val="left"/>
        </w:tabs>
        <w:numPr>
          <w:ilvl w:val="1"/>
          <w:numId w:val="17"/>
        </w:numPr>
        <w:rPr>
          <w:rFonts w:ascii="Arial" w:cs="Arial" w:eastAsia="Arial" w:hAnsi="Arial"/>
          <w:sz w:val="14"/>
          <w:szCs w:val="14"/>
          <w:color w:val="auto"/>
        </w:rPr>
      </w:pPr>
      <w:r>
        <w:rPr>
          <w:rFonts w:ascii="Arial" w:cs="Arial" w:eastAsia="Arial" w:hAnsi="Arial"/>
          <w:sz w:val="14"/>
          <w:szCs w:val="14"/>
          <w:color w:val="auto"/>
        </w:rPr>
        <w:t>1%</w:t>
      </w:r>
    </w:p>
    <w:p>
      <w:pPr>
        <w:spacing w:after="0" w:line="29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637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460" w:hanging="452"/>
        <w:spacing w:after="0" w:line="221"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23" w:lineRule="exact"/>
        <w:rPr>
          <w:sz w:val="20"/>
          <w:szCs w:val="20"/>
          <w:color w:val="auto"/>
        </w:rPr>
      </w:pPr>
    </w:p>
    <w:p>
      <w:pPr>
        <w:ind w:right="100" w:firstLine="674"/>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17"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240" w:firstLine="674"/>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firstLine="674"/>
        <w:spacing w:after="0"/>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amongst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technology systems, insurance and our allocable portion of the cost of the compensation and related expenses for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w:t>
      </w:r>
    </w:p>
    <w:p>
      <w:pPr>
        <w:spacing w:after="0" w:line="2" w:lineRule="exact"/>
        <w:rPr>
          <w:sz w:val="20"/>
          <w:szCs w:val="20"/>
          <w:color w:val="auto"/>
        </w:rPr>
      </w:pPr>
    </w:p>
    <w:p>
      <w:pPr>
        <w:ind w:right="260"/>
        <w:spacing w:after="0" w:line="237" w:lineRule="auto"/>
        <w:rPr>
          <w:sz w:val="20"/>
          <w:szCs w:val="20"/>
          <w:color w:val="auto"/>
        </w:rPr>
      </w:pPr>
      <w:r>
        <w:rPr>
          <w:rFonts w:ascii="Arial" w:cs="Arial" w:eastAsia="Arial" w:hAnsi="Arial"/>
          <w:sz w:val="14"/>
          <w:szCs w:val="14"/>
          <w:color w:val="auto"/>
        </w:rPr>
        <w:t>September 30, 2014, 2013 and 2012, the Investment Adviser was reimbursed $3.0 million, $2.9 million and $3.6 million, respectively, from us, including expenses it incurred on behalf of the Administrator for the services described above.</w:t>
      </w:r>
    </w:p>
    <w:p>
      <w:pPr>
        <w:spacing w:after="0" w:line="116" w:lineRule="exact"/>
        <w:rPr>
          <w:sz w:val="20"/>
          <w:szCs w:val="20"/>
          <w:color w:val="auto"/>
        </w:rPr>
      </w:pPr>
    </w:p>
    <w:p>
      <w:pPr>
        <w:ind w:firstLine="674"/>
        <w:spacing w:after="0" w:line="247" w:lineRule="auto"/>
        <w:rPr>
          <w:sz w:val="20"/>
          <w:szCs w:val="20"/>
          <w:color w:val="auto"/>
        </w:rPr>
      </w:pPr>
      <w:r>
        <w:rPr>
          <w:rFonts w:ascii="Arial" w:cs="Arial" w:eastAsia="Arial" w:hAnsi="Arial"/>
          <w:sz w:val="13"/>
          <w:szCs w:val="13"/>
          <w:color w:val="auto"/>
        </w:rPr>
        <w:t>PennantPark Investment entered into an administration agreement with its controlled affiliate, SuttonPark Holdings, Inc. and its subsidiaries,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 September 30, 2014, 2013 and 2012, PennantPark Investment was reimbursed $0.5 million, $0.4 million and $0.7 million, respectively, from SPH, including expenses it incurred on behalf of the Administrator for the services described above.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80" w:firstLine="674"/>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23" w:lineRule="exact"/>
        <w:rPr>
          <w:sz w:val="20"/>
          <w:szCs w:val="20"/>
          <w:color w:val="auto"/>
        </w:rPr>
      </w:pPr>
    </w:p>
    <w:p>
      <w:pPr>
        <w:ind w:firstLine="674"/>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Regulated Investment Company and Business Development Company Regulations</w:t>
      </w:r>
    </w:p>
    <w:p>
      <w:pPr>
        <w:spacing w:after="0" w:line="136" w:lineRule="exact"/>
        <w:rPr>
          <w:sz w:val="20"/>
          <w:szCs w:val="20"/>
          <w:color w:val="auto"/>
        </w:rPr>
      </w:pPr>
    </w:p>
    <w:p>
      <w:pPr>
        <w:ind w:firstLine="674"/>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4" w:lineRule="exact"/>
        <w:rPr>
          <w:sz w:val="20"/>
          <w:szCs w:val="20"/>
          <w:color w:val="auto"/>
        </w:rPr>
      </w:pPr>
    </w:p>
    <w:p>
      <w:pPr>
        <w:ind w:right="60" w:firstLine="674"/>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firstLine="674"/>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4" w:lineRule="exact"/>
        <w:rPr>
          <w:sz w:val="20"/>
          <w:szCs w:val="20"/>
          <w:color w:val="auto"/>
        </w:rPr>
      </w:pPr>
    </w:p>
    <w:p>
      <w:pPr>
        <w:ind w:left="1240" w:right="140" w:hanging="449"/>
        <w:spacing w:after="0" w:line="264" w:lineRule="auto"/>
        <w:tabs>
          <w:tab w:leader="none" w:pos="12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00" w:lineRule="exact"/>
        <w:rPr>
          <w:rFonts w:ascii="Arial" w:cs="Arial" w:eastAsia="Arial" w:hAnsi="Arial"/>
          <w:sz w:val="13"/>
          <w:szCs w:val="13"/>
          <w:color w:val="auto"/>
        </w:rPr>
      </w:pPr>
    </w:p>
    <w:p>
      <w:pPr>
        <w:ind w:left="2120" w:hanging="438"/>
        <w:spacing w:after="0"/>
        <w:tabs>
          <w:tab w:leader="none" w:pos="21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2120" w:right="400" w:hanging="438"/>
        <w:spacing w:after="0" w:line="253" w:lineRule="auto"/>
        <w:tabs>
          <w:tab w:leader="none" w:pos="21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2120" w:hanging="438"/>
        <w:spacing w:after="0"/>
        <w:tabs>
          <w:tab w:leader="none" w:pos="21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920" w:hanging="370"/>
        <w:spacing w:after="0"/>
        <w:tabs>
          <w:tab w:leader="none" w:pos="2920" w:val="left"/>
        </w:tabs>
        <w:numPr>
          <w:ilvl w:val="2"/>
          <w:numId w:val="19"/>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920" w:hanging="406"/>
        <w:spacing w:after="0"/>
        <w:tabs>
          <w:tab w:leader="none" w:pos="2920" w:val="left"/>
        </w:tabs>
        <w:numPr>
          <w:ilvl w:val="2"/>
          <w:numId w:val="19"/>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920" w:right="240" w:hanging="442"/>
        <w:spacing w:after="0" w:line="238" w:lineRule="auto"/>
        <w:tabs>
          <w:tab w:leader="none" w:pos="2920" w:val="left"/>
        </w:tabs>
        <w:numPr>
          <w:ilvl w:val="2"/>
          <w:numId w:val="19"/>
        </w:numPr>
        <w:rPr>
          <w:rFonts w:ascii="Arial" w:cs="Arial" w:eastAsia="Arial" w:hAnsi="Arial"/>
          <w:sz w:val="14"/>
          <w:szCs w:val="14"/>
          <w:color w:val="auto"/>
        </w:rPr>
      </w:pPr>
      <w:r>
        <w:rPr>
          <w:rFonts w:ascii="Arial" w:cs="Arial" w:eastAsia="Arial" w:hAnsi="Arial"/>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5" w:lineRule="exact"/>
        <w:rPr>
          <w:rFonts w:ascii="Arial" w:cs="Arial" w:eastAsia="Arial" w:hAnsi="Arial"/>
          <w:sz w:val="14"/>
          <w:szCs w:val="14"/>
          <w:color w:val="auto"/>
        </w:rPr>
      </w:pPr>
    </w:p>
    <w:p>
      <w:pPr>
        <w:ind w:left="1240" w:hanging="449"/>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6" w:lineRule="exact"/>
        <w:rPr>
          <w:rFonts w:ascii="Arial" w:cs="Arial" w:eastAsia="Arial" w:hAnsi="Arial"/>
          <w:sz w:val="14"/>
          <w:szCs w:val="14"/>
          <w:color w:val="auto"/>
        </w:rPr>
      </w:pPr>
    </w:p>
    <w:p>
      <w:pPr>
        <w:ind w:left="1240" w:right="40" w:hanging="449"/>
        <w:spacing w:after="0" w:line="238" w:lineRule="auto"/>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1240" w:right="80" w:hanging="449"/>
        <w:spacing w:after="0" w:line="253" w:lineRule="auto"/>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1240" w:right="80" w:hanging="449"/>
        <w:spacing w:after="0" w:line="253" w:lineRule="auto"/>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1240" w:hanging="449"/>
        <w:spacing w:after="0"/>
        <w:tabs>
          <w:tab w:leader="none" w:pos="12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23" w:lineRule="exact"/>
        <w:rPr>
          <w:sz w:val="20"/>
          <w:szCs w:val="20"/>
          <w:color w:val="auto"/>
        </w:rPr>
      </w:pPr>
    </w:p>
    <w:p>
      <w:pPr>
        <w:ind w:right="80" w:firstLine="674"/>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260" w:firstLine="674"/>
        <w:spacing w:after="0" w:line="251"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36" w:lineRule="exact"/>
        <w:rPr>
          <w:sz w:val="20"/>
          <w:szCs w:val="20"/>
          <w:color w:val="auto"/>
        </w:rPr>
      </w:pPr>
    </w:p>
    <w:p>
      <w:pPr>
        <w:ind w:firstLine="674"/>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 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23" w:lineRule="exact"/>
        <w:rPr>
          <w:sz w:val="20"/>
          <w:szCs w:val="20"/>
          <w:color w:val="auto"/>
        </w:rPr>
      </w:pPr>
    </w:p>
    <w:p>
      <w:pPr>
        <w:ind w:firstLine="674"/>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xml:space="preserve"> , or by writing the SEC’s Public Reference Section, 100 F Street, N.E., Washington, D.C. 20549.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36"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Introduction</w:t>
      </w:r>
    </w:p>
    <w:p>
      <w:pPr>
        <w:spacing w:after="0" w:line="123" w:lineRule="exact"/>
        <w:rPr>
          <w:sz w:val="20"/>
          <w:szCs w:val="20"/>
          <w:color w:val="auto"/>
        </w:rPr>
      </w:pPr>
    </w:p>
    <w:p>
      <w:pPr>
        <w:ind w:right="160" w:firstLine="674"/>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680" w:right="580"/>
        <w:spacing w:after="0" w:line="43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i w:val="1"/>
          <w:iCs w:val="1"/>
          <w:color w:val="auto"/>
        </w:rPr>
        <w:t>Proxy Policies</w:t>
      </w:r>
    </w:p>
    <w:p>
      <w:pPr>
        <w:spacing w:after="0" w:line="1"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5"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80" w:firstLine="674"/>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 New York, New York 10022.</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00"/>
          </w:cols>
          <w:pgMar w:left="32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36" w:lineRule="exact"/>
        <w:rPr>
          <w:sz w:val="20"/>
          <w:szCs w:val="20"/>
          <w:color w:val="auto"/>
        </w:rPr>
      </w:pPr>
    </w:p>
    <w:p>
      <w:pPr>
        <w:ind w:right="460" w:firstLine="674"/>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right="60" w:firstLine="674"/>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2" w:lineRule="exact"/>
        <w:rPr>
          <w:sz w:val="20"/>
          <w:szCs w:val="20"/>
          <w:color w:val="auto"/>
        </w:rPr>
      </w:pPr>
    </w:p>
    <w:p>
      <w:pPr>
        <w:ind w:right="560" w:firstLine="674"/>
        <w:spacing w:after="0" w:line="25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06" w:lineRule="exact"/>
        <w:rPr>
          <w:sz w:val="20"/>
          <w:szCs w:val="20"/>
          <w:color w:val="auto"/>
        </w:rPr>
      </w:pPr>
    </w:p>
    <w:p>
      <w:pPr>
        <w:ind w:right="140" w:firstLine="674"/>
        <w:spacing w:after="0" w:line="233" w:lineRule="auto"/>
        <w:rPr>
          <w:sz w:val="20"/>
          <w:szCs w:val="20"/>
          <w:color w:val="auto"/>
        </w:rPr>
      </w:pPr>
      <w:r>
        <w:rPr>
          <w:rFonts w:ascii="Arial" w:cs="Arial" w:eastAsia="Arial" w:hAnsi="Arial"/>
          <w:sz w:val="14"/>
          <w:szCs w:val="14"/>
          <w:color w:val="auto"/>
        </w:rPr>
        <w:t xml:space="preserve">Our privacy protection policies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 addition, the privacy policy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Other</w:t>
      </w:r>
    </w:p>
    <w:p>
      <w:pPr>
        <w:spacing w:after="0" w:line="123" w:lineRule="exact"/>
        <w:rPr>
          <w:sz w:val="20"/>
          <w:szCs w:val="20"/>
          <w:color w:val="auto"/>
        </w:rPr>
      </w:pPr>
    </w:p>
    <w:p>
      <w:pPr>
        <w:jc w:val="both"/>
        <w:ind w:right="80" w:firstLine="674"/>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jc w:val="both"/>
        <w:ind w:right="60" w:firstLine="674"/>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ind w:right="60" w:firstLine="674"/>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Sarbanes-Oxley Act of 2002, or the Sarbanes-Oxley Act, imposes several regulatory requirements on publicly held companies and their insiders. Many of these requirements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affect us.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1120" w:right="180" w:hanging="329"/>
        <w:spacing w:after="0" w:line="181" w:lineRule="auto"/>
        <w:tabs>
          <w:tab w:leader="none" w:pos="1120" w:val="left"/>
        </w:tabs>
        <w:numPr>
          <w:ilvl w:val="0"/>
          <w:numId w:val="20"/>
        </w:numPr>
        <w:rPr>
          <w:rFonts w:ascii="Arial" w:cs="Arial" w:eastAsia="Arial" w:hAnsi="Arial"/>
          <w:sz w:val="26"/>
          <w:szCs w:val="26"/>
          <w:color w:val="auto"/>
          <w:vertAlign w:val="subscript"/>
        </w:rPr>
      </w:pPr>
      <w:r>
        <w:rPr>
          <w:rFonts w:ascii="Arial" w:cs="Arial" w:eastAsia="Arial" w:hAnsi="Arial"/>
          <w:sz w:val="12"/>
          <w:szCs w:val="12"/>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 w:lineRule="exact"/>
        <w:rPr>
          <w:rFonts w:ascii="Arial" w:cs="Arial" w:eastAsia="Arial" w:hAnsi="Arial"/>
          <w:sz w:val="26"/>
          <w:szCs w:val="26"/>
          <w:color w:val="auto"/>
          <w:vertAlign w:val="subscript"/>
        </w:rPr>
      </w:pPr>
    </w:p>
    <w:p>
      <w:pPr>
        <w:ind w:left="1120" w:hanging="329"/>
        <w:spacing w:after="0" w:line="182" w:lineRule="auto"/>
        <w:tabs>
          <w:tab w:leader="none" w:pos="1120" w:val="left"/>
        </w:tabs>
        <w:numPr>
          <w:ilvl w:val="0"/>
          <w:numId w:val="20"/>
        </w:numPr>
        <w:rPr>
          <w:rFonts w:ascii="Arial" w:cs="Arial" w:eastAsia="Arial" w:hAnsi="Arial"/>
          <w:sz w:val="34"/>
          <w:szCs w:val="34"/>
          <w:color w:val="auto"/>
          <w:vertAlign w:val="subscript"/>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3" w:lineRule="exact"/>
        <w:rPr>
          <w:rFonts w:ascii="Arial" w:cs="Arial" w:eastAsia="Arial" w:hAnsi="Arial"/>
          <w:sz w:val="34"/>
          <w:szCs w:val="34"/>
          <w:color w:val="auto"/>
          <w:vertAlign w:val="subscript"/>
        </w:rPr>
      </w:pPr>
    </w:p>
    <w:p>
      <w:pPr>
        <w:ind w:left="1120" w:hanging="329"/>
        <w:spacing w:after="0" w:line="203" w:lineRule="auto"/>
        <w:tabs>
          <w:tab w:leader="none" w:pos="1120" w:val="left"/>
        </w:tabs>
        <w:numPr>
          <w:ilvl w:val="0"/>
          <w:numId w:val="20"/>
        </w:numPr>
        <w:rPr>
          <w:rFonts w:ascii="Arial" w:cs="Arial" w:eastAsia="Arial" w:hAnsi="Arial"/>
          <w:sz w:val="32"/>
          <w:szCs w:val="32"/>
          <w:color w:val="auto"/>
          <w:vertAlign w:val="subscript"/>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83" w:lineRule="exact"/>
        <w:rPr>
          <w:rFonts w:ascii="Arial" w:cs="Arial" w:eastAsia="Arial" w:hAnsi="Arial"/>
          <w:sz w:val="32"/>
          <w:szCs w:val="32"/>
          <w:color w:val="auto"/>
          <w:vertAlign w:val="subscript"/>
        </w:rPr>
      </w:pPr>
    </w:p>
    <w:p>
      <w:pPr>
        <w:ind w:left="1120" w:right="20" w:hanging="329"/>
        <w:spacing w:after="0" w:line="185" w:lineRule="auto"/>
        <w:tabs>
          <w:tab w:leader="none" w:pos="1120" w:val="left"/>
        </w:tabs>
        <w:numPr>
          <w:ilvl w:val="0"/>
          <w:numId w:val="20"/>
        </w:numPr>
        <w:rPr>
          <w:rFonts w:ascii="Arial" w:cs="Arial" w:eastAsia="Arial" w:hAnsi="Arial"/>
          <w:sz w:val="28"/>
          <w:szCs w:val="28"/>
          <w:color w:val="auto"/>
          <w:vertAlign w:val="subscript"/>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Election to be Taxed as a RIC</w:t>
      </w:r>
    </w:p>
    <w:p>
      <w:pPr>
        <w:spacing w:after="0" w:line="123" w:lineRule="exact"/>
        <w:rPr>
          <w:sz w:val="20"/>
          <w:szCs w:val="20"/>
          <w:color w:val="auto"/>
        </w:rPr>
      </w:pPr>
    </w:p>
    <w:p>
      <w:pPr>
        <w:ind w:firstLine="674"/>
        <w:spacing w:after="0" w:line="226" w:lineRule="auto"/>
        <w:rPr>
          <w:sz w:val="20"/>
          <w:szCs w:val="20"/>
          <w:color w:val="auto"/>
        </w:rPr>
      </w:pPr>
      <w:r>
        <w:rPr>
          <w:rFonts w:ascii="Arial" w:cs="Arial" w:eastAsia="Arial" w:hAnsi="Arial"/>
          <w:sz w:val="14"/>
          <w:szCs w:val="14"/>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 order to qualify as a RIC for federal income tax purposes, we must:</w:t>
      </w:r>
    </w:p>
    <w:p>
      <w:pPr>
        <w:ind w:left="1100" w:hanging="431"/>
        <w:spacing w:after="0" w:line="184" w:lineRule="auto"/>
        <w:tabs>
          <w:tab w:leader="none" w:pos="1100" w:val="left"/>
        </w:tabs>
        <w:numPr>
          <w:ilvl w:val="0"/>
          <w:numId w:val="21"/>
        </w:numPr>
        <w:rPr>
          <w:rFonts w:ascii="Arial" w:cs="Arial" w:eastAsia="Arial" w:hAnsi="Arial"/>
          <w:sz w:val="36"/>
          <w:szCs w:val="36"/>
          <w:color w:val="auto"/>
          <w:vertAlign w:val="subscript"/>
        </w:rPr>
      </w:pPr>
      <w:r>
        <w:rPr>
          <w:rFonts w:ascii="Arial" w:cs="Arial" w:eastAsia="Arial" w:hAnsi="Arial"/>
          <w:sz w:val="14"/>
          <w:szCs w:val="14"/>
          <w:color w:val="auto"/>
        </w:rPr>
        <w:t>maintain an election to be treated as a BDC under the 1940 Act at all times during each taxable year;</w:t>
      </w:r>
    </w:p>
    <w:p>
      <w:pPr>
        <w:spacing w:after="0" w:line="183" w:lineRule="exact"/>
        <w:rPr>
          <w:rFonts w:ascii="Arial" w:cs="Arial" w:eastAsia="Arial" w:hAnsi="Arial"/>
          <w:sz w:val="36"/>
          <w:szCs w:val="36"/>
          <w:color w:val="auto"/>
          <w:vertAlign w:val="subscript"/>
        </w:rPr>
      </w:pPr>
    </w:p>
    <w:p>
      <w:pPr>
        <w:jc w:val="both"/>
        <w:ind w:left="1100" w:right="220" w:hanging="431"/>
        <w:spacing w:after="0" w:line="185" w:lineRule="auto"/>
        <w:tabs>
          <w:tab w:leader="none" w:pos="1100" w:val="left"/>
        </w:tabs>
        <w:numPr>
          <w:ilvl w:val="0"/>
          <w:numId w:val="21"/>
        </w:numPr>
        <w:rPr>
          <w:rFonts w:ascii="Arial" w:cs="Arial" w:eastAsia="Arial" w:hAnsi="Arial"/>
          <w:sz w:val="28"/>
          <w:szCs w:val="28"/>
          <w:color w:val="auto"/>
          <w:vertAlign w:val="subscript"/>
        </w:rPr>
      </w:pPr>
      <w:r>
        <w:rPr>
          <w:rFonts w:ascii="Arial" w:cs="Arial" w:eastAsia="Arial" w:hAnsi="Arial"/>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1100" w:hanging="431"/>
        <w:spacing w:after="0" w:line="182" w:lineRule="auto"/>
        <w:tabs>
          <w:tab w:leader="none" w:pos="1100" w:val="left"/>
        </w:tabs>
        <w:numPr>
          <w:ilvl w:val="0"/>
          <w:numId w:val="21"/>
        </w:numPr>
        <w:rPr>
          <w:rFonts w:ascii="Arial" w:cs="Arial" w:eastAsia="Arial" w:hAnsi="Arial"/>
          <w:sz w:val="34"/>
          <w:szCs w:val="34"/>
          <w:color w:val="auto"/>
          <w:vertAlign w:val="subscript"/>
        </w:rPr>
      </w:pPr>
      <w:r>
        <w:rPr>
          <w:rFonts w:ascii="Arial" w:cs="Arial" w:eastAsia="Arial" w:hAnsi="Arial"/>
          <w:sz w:val="14"/>
          <w:szCs w:val="14"/>
          <w:color w:val="auto"/>
        </w:rPr>
        <w:t>diversify our holdings, or the Diversification Tests, so that at the end of each quarter of the taxable year:</w:t>
      </w:r>
    </w:p>
    <w:p>
      <w:pPr>
        <w:spacing w:after="0" w:line="182" w:lineRule="exact"/>
        <w:rPr>
          <w:rFonts w:ascii="Arial" w:cs="Arial" w:eastAsia="Arial" w:hAnsi="Arial"/>
          <w:sz w:val="34"/>
          <w:szCs w:val="34"/>
          <w:color w:val="auto"/>
          <w:vertAlign w:val="subscript"/>
        </w:rPr>
      </w:pPr>
    </w:p>
    <w:p>
      <w:pPr>
        <w:jc w:val="both"/>
        <w:ind w:left="1580" w:right="460" w:hanging="452"/>
        <w:spacing w:after="0" w:line="335" w:lineRule="auto"/>
        <w:tabs>
          <w:tab w:leader="none" w:pos="1580" w:val="left"/>
        </w:tabs>
        <w:numPr>
          <w:ilvl w:val="1"/>
          <w:numId w:val="21"/>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60" w:lineRule="exact"/>
        <w:rPr>
          <w:rFonts w:ascii="Arial" w:cs="Arial" w:eastAsia="Arial" w:hAnsi="Arial"/>
          <w:sz w:val="12"/>
          <w:szCs w:val="12"/>
          <w:color w:val="auto"/>
        </w:rPr>
      </w:pPr>
    </w:p>
    <w:p>
      <w:pPr>
        <w:ind w:left="1580" w:right="60" w:hanging="452"/>
        <w:spacing w:after="0" w:line="238" w:lineRule="auto"/>
        <w:tabs>
          <w:tab w:leader="none" w:pos="15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36" w:lineRule="exact"/>
        <w:rPr>
          <w:sz w:val="20"/>
          <w:szCs w:val="20"/>
          <w:color w:val="auto"/>
        </w:rPr>
      </w:pPr>
    </w:p>
    <w:p>
      <w:pPr>
        <w:jc w:val="both"/>
        <w:ind w:right="100" w:firstLine="674"/>
        <w:spacing w:after="0" w:line="264" w:lineRule="auto"/>
        <w:rPr>
          <w:sz w:val="20"/>
          <w:szCs w:val="20"/>
          <w:color w:val="auto"/>
        </w:rPr>
      </w:pPr>
      <w:r>
        <w:rPr>
          <w:rFonts w:ascii="Arial" w:cs="Arial" w:eastAsia="Arial" w:hAnsi="Arial"/>
          <w:sz w:val="13"/>
          <w:szCs w:val="13"/>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87"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6" w:lineRule="exact"/>
        <w:rPr>
          <w:sz w:val="20"/>
          <w:szCs w:val="20"/>
          <w:color w:val="auto"/>
        </w:rPr>
      </w:pPr>
    </w:p>
    <w:p>
      <w:pPr>
        <w:ind w:right="40" w:firstLine="674"/>
        <w:spacing w:after="0" w:line="253"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06" w:lineRule="exact"/>
        <w:rPr>
          <w:sz w:val="20"/>
          <w:szCs w:val="20"/>
          <w:color w:val="auto"/>
        </w:rPr>
      </w:pPr>
    </w:p>
    <w:p>
      <w:pPr>
        <w:ind w:right="100" w:firstLine="674"/>
        <w:spacing w:after="0" w:line="231"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3" w:lineRule="exact"/>
        <w:rPr>
          <w:sz w:val="20"/>
          <w:szCs w:val="20"/>
          <w:color w:val="auto"/>
        </w:rPr>
      </w:pPr>
    </w:p>
    <w:p>
      <w:pPr>
        <w:jc w:val="both"/>
        <w:ind w:right="20" w:firstLine="674"/>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180" w:firstLine="674"/>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taxable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04" w:lineRule="exact"/>
        <w:rPr>
          <w:sz w:val="20"/>
          <w:szCs w:val="20"/>
          <w:color w:val="auto"/>
        </w:rPr>
      </w:pPr>
    </w:p>
    <w:p>
      <w:pPr>
        <w:ind w:right="160" w:firstLine="674"/>
        <w:spacing w:after="0" w:line="231"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 and profits. Subject to certain limitations under the Code, distributions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SBIC Funds are licensed under the SBA as SBICs, under Section 301(c) of the 1958 Act. SBIC LP and SBIC II received their licenses in 2010 and 2013, respectively.</w:t>
      </w:r>
    </w:p>
    <w:p>
      <w:pPr>
        <w:spacing w:after="0" w:line="136" w:lineRule="exact"/>
        <w:rPr>
          <w:sz w:val="20"/>
          <w:szCs w:val="20"/>
          <w:color w:val="auto"/>
        </w:rPr>
      </w:pPr>
    </w:p>
    <w:p>
      <w:pPr>
        <w:ind w:right="80" w:firstLine="674"/>
        <w:spacing w:after="0" w:line="245" w:lineRule="auto"/>
        <w:rPr>
          <w:sz w:val="20"/>
          <w:szCs w:val="20"/>
          <w:color w:val="auto"/>
        </w:rPr>
      </w:pPr>
      <w:r>
        <w:rPr>
          <w:rFonts w:ascii="Arial" w:cs="Arial" w:eastAsia="Arial" w:hAnsi="Arial"/>
          <w:sz w:val="13"/>
          <w:szCs w:val="13"/>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136"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123" w:lineRule="exact"/>
        <w:rPr>
          <w:sz w:val="20"/>
          <w:szCs w:val="20"/>
          <w:color w:val="auto"/>
        </w:rPr>
      </w:pPr>
    </w:p>
    <w:p>
      <w:pPr>
        <w:ind w:right="60" w:firstLine="674"/>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07" w:lineRule="exact"/>
        <w:rPr>
          <w:sz w:val="20"/>
          <w:szCs w:val="20"/>
          <w:color w:val="auto"/>
        </w:rPr>
      </w:pPr>
    </w:p>
    <w:p>
      <w:pPr>
        <w:ind w:right="100" w:firstLine="674"/>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Idle Funds Limitation</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SBA limits an SBIC from investing idle funds to the following types of securities:</w:t>
      </w:r>
    </w:p>
    <w:p>
      <w:pPr>
        <w:ind w:left="880" w:hanging="211"/>
        <w:spacing w:after="0" w:line="207" w:lineRule="auto"/>
        <w:tabs>
          <w:tab w:leader="none" w:pos="880" w:val="left"/>
        </w:tabs>
        <w:numPr>
          <w:ilvl w:val="0"/>
          <w:numId w:val="22"/>
        </w:numPr>
        <w:rPr>
          <w:rFonts w:ascii="Arial" w:cs="Arial" w:eastAsia="Arial" w:hAnsi="Arial"/>
          <w:sz w:val="32"/>
          <w:szCs w:val="32"/>
          <w:color w:val="auto"/>
          <w:vertAlign w:val="subscript"/>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83" w:lineRule="exact"/>
        <w:rPr>
          <w:rFonts w:ascii="Arial" w:cs="Arial" w:eastAsia="Arial" w:hAnsi="Arial"/>
          <w:sz w:val="32"/>
          <w:szCs w:val="32"/>
          <w:color w:val="auto"/>
          <w:vertAlign w:val="subscript"/>
        </w:rPr>
      </w:pPr>
    </w:p>
    <w:p>
      <w:pPr>
        <w:ind w:left="880" w:right="100" w:hanging="211"/>
        <w:spacing w:after="0" w:line="181" w:lineRule="auto"/>
        <w:tabs>
          <w:tab w:leader="none" w:pos="880" w:val="left"/>
        </w:tabs>
        <w:numPr>
          <w:ilvl w:val="0"/>
          <w:numId w:val="22"/>
        </w:numPr>
        <w:rPr>
          <w:rFonts w:ascii="Arial" w:cs="Arial" w:eastAsia="Arial" w:hAnsi="Arial"/>
          <w:sz w:val="26"/>
          <w:szCs w:val="26"/>
          <w:color w:val="auto"/>
          <w:vertAlign w:val="subscript"/>
        </w:rPr>
      </w:pPr>
      <w:r>
        <w:rPr>
          <w:rFonts w:ascii="Arial" w:cs="Arial" w:eastAsia="Arial" w:hAnsi="Arial"/>
          <w:sz w:val="12"/>
          <w:szCs w:val="12"/>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 w:lineRule="exact"/>
        <w:rPr>
          <w:rFonts w:ascii="Arial" w:cs="Arial" w:eastAsia="Arial" w:hAnsi="Arial"/>
          <w:sz w:val="26"/>
          <w:szCs w:val="26"/>
          <w:color w:val="auto"/>
          <w:vertAlign w:val="subscript"/>
        </w:rPr>
      </w:pPr>
    </w:p>
    <w:p>
      <w:pPr>
        <w:ind w:left="880" w:hanging="211"/>
        <w:spacing w:after="0" w:line="182" w:lineRule="auto"/>
        <w:tabs>
          <w:tab w:leader="none" w:pos="880" w:val="left"/>
        </w:tabs>
        <w:numPr>
          <w:ilvl w:val="0"/>
          <w:numId w:val="22"/>
        </w:numPr>
        <w:rPr>
          <w:rFonts w:ascii="Arial" w:cs="Arial" w:eastAsia="Arial" w:hAnsi="Arial"/>
          <w:sz w:val="34"/>
          <w:szCs w:val="34"/>
          <w:color w:val="auto"/>
          <w:vertAlign w:val="subscript"/>
        </w:rPr>
      </w:pPr>
      <w:r>
        <w:rPr>
          <w:rFonts w:ascii="Arial" w:cs="Arial" w:eastAsia="Arial" w:hAnsi="Arial"/>
          <w:sz w:val="14"/>
          <w:szCs w:val="14"/>
          <w:color w:val="auto"/>
        </w:rPr>
        <w:t>certificates of deposit with a maturity of one year or less, issued by a federally insured institution; or</w:t>
      </w:r>
    </w:p>
    <w:p>
      <w:pPr>
        <w:spacing w:after="0" w:line="53" w:lineRule="exact"/>
        <w:rPr>
          <w:rFonts w:ascii="Arial" w:cs="Arial" w:eastAsia="Arial" w:hAnsi="Arial"/>
          <w:sz w:val="34"/>
          <w:szCs w:val="34"/>
          <w:color w:val="auto"/>
          <w:vertAlign w:val="subscript"/>
        </w:rPr>
      </w:pPr>
    </w:p>
    <w:p>
      <w:pPr>
        <w:ind w:left="880" w:hanging="211"/>
        <w:spacing w:after="0" w:line="180" w:lineRule="auto"/>
        <w:tabs>
          <w:tab w:leader="none" w:pos="880" w:val="left"/>
        </w:tabs>
        <w:numPr>
          <w:ilvl w:val="0"/>
          <w:numId w:val="22"/>
        </w:numPr>
        <w:rPr>
          <w:rFonts w:ascii="Arial" w:cs="Arial" w:eastAsia="Arial" w:hAnsi="Arial"/>
          <w:sz w:val="36"/>
          <w:szCs w:val="36"/>
          <w:color w:val="auto"/>
          <w:vertAlign w:val="subscript"/>
        </w:rPr>
      </w:pPr>
      <w:r>
        <w:rPr>
          <w:rFonts w:ascii="Arial" w:cs="Arial" w:eastAsia="Arial" w:hAnsi="Arial"/>
          <w:sz w:val="14"/>
          <w:szCs w:val="14"/>
          <w:color w:val="auto"/>
        </w:rPr>
        <w:t>a deposit account in a federally insured institution that is subject to withdrawal restriction of one year or less.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i w:val="1"/>
          <w:iCs w:val="1"/>
          <w:color w:val="auto"/>
        </w:rPr>
        <w:t>SBA Leverage or Debentures</w:t>
      </w:r>
    </w:p>
    <w:p>
      <w:pPr>
        <w:spacing w:after="0" w:line="136"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08" w:lineRule="exact"/>
        <w:rPr>
          <w:sz w:val="20"/>
          <w:szCs w:val="20"/>
          <w:color w:val="auto"/>
        </w:rPr>
      </w:pPr>
    </w:p>
    <w:p>
      <w:pPr>
        <w:ind w:right="80" w:firstLine="674"/>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2019 Notes and 2025 Notes,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200" w:firstLine="224"/>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1" w:lineRule="exact"/>
        <w:rPr>
          <w:sz w:val="20"/>
          <w:szCs w:val="20"/>
          <w:color w:val="auto"/>
        </w:rPr>
      </w:pPr>
    </w:p>
    <w:p>
      <w:pPr>
        <w:ind w:right="20" w:firstLine="674"/>
        <w:spacing w:after="0" w:line="248" w:lineRule="auto"/>
        <w:rPr>
          <w:sz w:val="20"/>
          <w:szCs w:val="20"/>
          <w:color w:val="auto"/>
        </w:rPr>
      </w:pPr>
      <w:r>
        <w:rPr>
          <w:rFonts w:ascii="Arial" w:cs="Arial" w:eastAsia="Arial" w:hAnsi="Arial"/>
          <w:sz w:val="13"/>
          <w:szCs w:val="13"/>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right="20" w:firstLine="674"/>
        <w:spacing w:after="0" w:line="227" w:lineRule="auto"/>
        <w:rPr>
          <w:sz w:val="20"/>
          <w:szCs w:val="20"/>
          <w:color w:val="auto"/>
        </w:rPr>
      </w:pPr>
      <w:r>
        <w:rPr>
          <w:rFonts w:ascii="Arial" w:cs="Arial" w:eastAsia="Arial" w:hAnsi="Arial"/>
          <w:sz w:val="14"/>
          <w:szCs w:val="14"/>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05"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7" w:lineRule="exact"/>
        <w:rPr>
          <w:sz w:val="20"/>
          <w:szCs w:val="20"/>
          <w:color w:val="auto"/>
        </w:rPr>
      </w:pPr>
    </w:p>
    <w:p>
      <w:pPr>
        <w:ind w:right="220" w:firstLine="224"/>
        <w:spacing w:after="0" w:line="253" w:lineRule="auto"/>
        <w:rPr>
          <w:sz w:val="20"/>
          <w:szCs w:val="20"/>
          <w:color w:val="auto"/>
        </w:rPr>
      </w:pPr>
      <w:r>
        <w:rPr>
          <w:rFonts w:ascii="Arial" w:cs="Arial" w:eastAsia="Arial" w:hAnsi="Arial"/>
          <w:sz w:val="14"/>
          <w:szCs w:val="14"/>
          <w:b w:val="1"/>
          <w:bCs w:val="1"/>
          <w:i w:val="1"/>
          <w:iCs w:val="1"/>
          <w:color w:val="auto"/>
        </w:rPr>
        <w:t>Market developments may adversely affect our business and results of operations by reducing availability and/or triggering mandatory prepayment under our Credit Facility, the 2019 Notes, the 2025 Notes and SBA debentures.</w:t>
      </w:r>
    </w:p>
    <w:p>
      <w:pPr>
        <w:spacing w:after="0" w:line="106" w:lineRule="exact"/>
        <w:rPr>
          <w:sz w:val="20"/>
          <w:szCs w:val="20"/>
          <w:color w:val="auto"/>
        </w:rPr>
      </w:pPr>
    </w:p>
    <w:p>
      <w:pPr>
        <w:ind w:right="80" w:firstLine="674"/>
        <w:spacing w:after="0" w:line="251" w:lineRule="auto"/>
        <w:rPr>
          <w:sz w:val="20"/>
          <w:szCs w:val="20"/>
          <w:color w:val="auto"/>
        </w:rPr>
      </w:pPr>
      <w:r>
        <w:rPr>
          <w:rFonts w:ascii="Arial" w:cs="Arial" w:eastAsia="Arial" w:hAnsi="Arial"/>
          <w:sz w:val="13"/>
          <w:szCs w:val="13"/>
          <w:color w:val="auto"/>
        </w:rPr>
        <w:t>In addition to the applicable asset coverage ratio that restricts our ability to borrow under our Credit Facility, the Credit Facility and the indenture governing the 2019 Notes and 2025 Notes contain various covenants which, if not complied with, could accelerate repayment under the Credit Facility, 2019 Notes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ind w:left="1120" w:hanging="329"/>
        <w:spacing w:after="0" w:line="183" w:lineRule="auto"/>
        <w:tabs>
          <w:tab w:leader="none" w:pos="1120" w:val="left"/>
        </w:tabs>
        <w:numPr>
          <w:ilvl w:val="0"/>
          <w:numId w:val="23"/>
        </w:numPr>
        <w:rPr>
          <w:rFonts w:ascii="Arial" w:cs="Arial" w:eastAsia="Arial" w:hAnsi="Arial"/>
          <w:sz w:val="34"/>
          <w:szCs w:val="34"/>
          <w:color w:val="auto"/>
          <w:vertAlign w:val="subscript"/>
        </w:rPr>
      </w:pPr>
      <w:r>
        <w:rPr>
          <w:rFonts w:ascii="Arial" w:cs="Arial" w:eastAsia="Arial" w:hAnsi="Arial"/>
          <w:sz w:val="14"/>
          <w:szCs w:val="14"/>
          <w:color w:val="auto"/>
        </w:rPr>
        <w:t>A requirement to retain our status as a RIC;</w:t>
      </w:r>
    </w:p>
    <w:p>
      <w:pPr>
        <w:spacing w:after="0" w:line="53" w:lineRule="exact"/>
        <w:rPr>
          <w:rFonts w:ascii="Arial" w:cs="Arial" w:eastAsia="Arial" w:hAnsi="Arial"/>
          <w:sz w:val="34"/>
          <w:szCs w:val="34"/>
          <w:color w:val="auto"/>
          <w:vertAlign w:val="subscript"/>
        </w:rPr>
      </w:pPr>
    </w:p>
    <w:p>
      <w:pPr>
        <w:ind w:left="1120" w:hanging="329"/>
        <w:spacing w:after="0" w:line="180" w:lineRule="auto"/>
        <w:tabs>
          <w:tab w:leader="none" w:pos="1120" w:val="left"/>
        </w:tabs>
        <w:numPr>
          <w:ilvl w:val="0"/>
          <w:numId w:val="23"/>
        </w:numPr>
        <w:rPr>
          <w:rFonts w:ascii="Arial" w:cs="Arial" w:eastAsia="Arial" w:hAnsi="Arial"/>
          <w:sz w:val="36"/>
          <w:szCs w:val="36"/>
          <w:color w:val="auto"/>
          <w:vertAlign w:val="subscript"/>
        </w:rPr>
      </w:pPr>
      <w:r>
        <w:rPr>
          <w:rFonts w:ascii="Arial" w:cs="Arial" w:eastAsia="Arial" w:hAnsi="Arial"/>
          <w:sz w:val="14"/>
          <w:szCs w:val="14"/>
          <w:color w:val="auto"/>
        </w:rPr>
        <w:t>A requirement to maintain a minimum amount of stockholder’s equity; and</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23"/>
        </w:numPr>
        <w:rPr>
          <w:rFonts w:ascii="Arial" w:cs="Arial" w:eastAsia="Arial" w:hAnsi="Arial"/>
          <w:sz w:val="36"/>
          <w:szCs w:val="36"/>
          <w:color w:val="auto"/>
          <w:vertAlign w:val="subscript"/>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70" w:lineRule="exact"/>
        <w:rPr>
          <w:sz w:val="20"/>
          <w:szCs w:val="20"/>
          <w:color w:val="auto"/>
        </w:rPr>
      </w:pPr>
    </w:p>
    <w:p>
      <w:pPr>
        <w:jc w:val="both"/>
        <w:ind w:right="20" w:firstLine="674"/>
        <w:spacing w:after="0" w:line="238" w:lineRule="auto"/>
        <w:rPr>
          <w:sz w:val="20"/>
          <w:szCs w:val="20"/>
          <w:color w:val="auto"/>
        </w:rPr>
      </w:pPr>
      <w:r>
        <w:rPr>
          <w:rFonts w:ascii="Arial" w:cs="Arial" w:eastAsia="Arial" w:hAnsi="Arial"/>
          <w:sz w:val="14"/>
          <w:szCs w:val="14"/>
          <w:color w:val="auto"/>
        </w:rPr>
        <w:t>In addition to the Credit Facility, we have issued the 2019 Notes and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15" w:lineRule="exact"/>
        <w:rPr>
          <w:sz w:val="20"/>
          <w:szCs w:val="20"/>
          <w:color w:val="auto"/>
        </w:rPr>
      </w:pPr>
    </w:p>
    <w:p>
      <w:pPr>
        <w:ind w:right="180" w:firstLine="674"/>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the 2019 Notes and the 2025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60" w:firstLine="674"/>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80" w:firstLine="674"/>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0" w:firstLine="674"/>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120" w:firstLine="674"/>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right="20" w:firstLine="674"/>
        <w:spacing w:after="0" w:line="245" w:lineRule="auto"/>
        <w:rPr>
          <w:sz w:val="20"/>
          <w:szCs w:val="20"/>
          <w:color w:val="auto"/>
        </w:rPr>
      </w:pPr>
      <w:r>
        <w:rPr>
          <w:rFonts w:ascii="Arial" w:cs="Arial" w:eastAsia="Arial" w:hAnsi="Arial"/>
          <w:sz w:val="13"/>
          <w:szCs w:val="13"/>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04" w:lineRule="exact"/>
        <w:rPr>
          <w:sz w:val="20"/>
          <w:szCs w:val="20"/>
          <w:color w:val="auto"/>
        </w:rPr>
      </w:pPr>
    </w:p>
    <w:p>
      <w:pPr>
        <w:ind w:right="60" w:firstLine="674"/>
        <w:spacing w:after="0" w:line="253" w:lineRule="auto"/>
        <w:rPr>
          <w:sz w:val="20"/>
          <w:szCs w:val="20"/>
          <w:color w:val="auto"/>
        </w:rPr>
      </w:pPr>
      <w:r>
        <w:rPr>
          <w:rFonts w:ascii="Arial" w:cs="Arial" w:eastAsia="Arial" w:hAnsi="Arial"/>
          <w:sz w:val="14"/>
          <w:szCs w:val="14"/>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2019 Notes and 2025 Notes.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be the target of securities litigation.</w:t>
      </w:r>
    </w:p>
    <w:p>
      <w:pPr>
        <w:spacing w:after="0" w:line="136" w:lineRule="exact"/>
        <w:rPr>
          <w:sz w:val="20"/>
          <w:szCs w:val="20"/>
          <w:color w:val="auto"/>
        </w:rPr>
      </w:pPr>
    </w:p>
    <w:p>
      <w:pPr>
        <w:ind w:right="480" w:firstLine="674"/>
        <w:spacing w:after="0" w:line="290" w:lineRule="auto"/>
        <w:rPr>
          <w:sz w:val="20"/>
          <w:szCs w:val="20"/>
          <w:color w:val="auto"/>
        </w:rPr>
      </w:pPr>
      <w:r>
        <w:rPr>
          <w:rFonts w:ascii="Arial" w:cs="Arial" w:eastAsia="Arial" w:hAnsi="Arial"/>
          <w:sz w:val="13"/>
          <w:szCs w:val="13"/>
          <w:color w:val="auto"/>
        </w:rPr>
        <w:t>If the trading price of our stock, 2019 Notes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24"/>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06" w:lineRule="exact"/>
        <w:rPr>
          <w:sz w:val="20"/>
          <w:szCs w:val="20"/>
          <w:color w:val="auto"/>
        </w:rPr>
      </w:pPr>
    </w:p>
    <w:p>
      <w:pPr>
        <w:ind w:firstLine="674"/>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280" w:firstLine="674"/>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36" w:lineRule="exact"/>
        <w:rPr>
          <w:sz w:val="20"/>
          <w:szCs w:val="20"/>
          <w:color w:val="auto"/>
        </w:rPr>
      </w:pPr>
    </w:p>
    <w:p>
      <w:pPr>
        <w:ind w:firstLine="674"/>
        <w:spacing w:after="0" w:line="245"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16"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2" w:lineRule="exact"/>
        <w:rPr>
          <w:sz w:val="20"/>
          <w:szCs w:val="20"/>
          <w:color w:val="auto"/>
        </w:rPr>
      </w:pPr>
    </w:p>
    <w:p>
      <w:pPr>
        <w:ind w:right="120" w:firstLine="674"/>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36" w:lineRule="exact"/>
        <w:rPr>
          <w:sz w:val="20"/>
          <w:szCs w:val="20"/>
          <w:color w:val="auto"/>
        </w:rPr>
      </w:pPr>
    </w:p>
    <w:p>
      <w:pPr>
        <w:ind w:firstLine="674"/>
        <w:spacing w:after="0" w:line="227" w:lineRule="auto"/>
        <w:rPr>
          <w:sz w:val="20"/>
          <w:szCs w:val="20"/>
          <w:color w:val="auto"/>
        </w:rPr>
      </w:pPr>
      <w:r>
        <w:rPr>
          <w:rFonts w:ascii="Arial" w:cs="Arial" w:eastAsia="Arial" w:hAnsi="Arial"/>
          <w:sz w:val="14"/>
          <w:szCs w:val="14"/>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400" w:firstLine="674"/>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and funds with which our investment professionals have been affiliated.</w:t>
      </w:r>
    </w:p>
    <w:p>
      <w:pPr>
        <w:spacing w:after="0" w:line="123" w:lineRule="exact"/>
        <w:rPr>
          <w:sz w:val="20"/>
          <w:szCs w:val="20"/>
          <w:color w:val="auto"/>
        </w:rPr>
      </w:pPr>
    </w:p>
    <w:p>
      <w:pPr>
        <w:ind w:right="60" w:firstLine="674"/>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firstLine="674"/>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distributions.</w:t>
      </w:r>
    </w:p>
    <w:p>
      <w:pPr>
        <w:spacing w:after="0" w:line="123" w:lineRule="exact"/>
        <w:rPr>
          <w:sz w:val="20"/>
          <w:szCs w:val="20"/>
          <w:color w:val="auto"/>
        </w:rPr>
      </w:pPr>
    </w:p>
    <w:p>
      <w:pPr>
        <w:ind w:right="20" w:firstLine="674"/>
        <w:spacing w:after="0" w:line="245" w:lineRule="auto"/>
        <w:rPr>
          <w:sz w:val="20"/>
          <w:szCs w:val="20"/>
          <w:color w:val="auto"/>
        </w:rPr>
      </w:pPr>
      <w:r>
        <w:rPr>
          <w:rFonts w:ascii="Arial" w:cs="Arial" w:eastAsia="Arial" w:hAnsi="Arial"/>
          <w:sz w:val="13"/>
          <w:szCs w:val="13"/>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 (2) 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136"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104" w:lineRule="exact"/>
        <w:rPr>
          <w:sz w:val="20"/>
          <w:szCs w:val="20"/>
          <w:color w:val="auto"/>
        </w:rPr>
      </w:pPr>
    </w:p>
    <w:p>
      <w:pPr>
        <w:ind w:right="200" w:firstLine="674"/>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5"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17" w:lineRule="exact"/>
        <w:rPr>
          <w:sz w:val="20"/>
          <w:szCs w:val="20"/>
          <w:color w:val="auto"/>
        </w:rPr>
      </w:pPr>
    </w:p>
    <w:p>
      <w:pPr>
        <w:jc w:val="both"/>
        <w:ind w:right="20" w:firstLine="224"/>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93" w:lineRule="exact"/>
        <w:rPr>
          <w:sz w:val="20"/>
          <w:szCs w:val="20"/>
          <w:color w:val="auto"/>
        </w:rPr>
      </w:pPr>
    </w:p>
    <w:p>
      <w:pPr>
        <w:jc w:val="both"/>
        <w:ind w:right="20" w:firstLine="674"/>
        <w:spacing w:after="0" w:line="248" w:lineRule="auto"/>
        <w:rPr>
          <w:sz w:val="20"/>
          <w:szCs w:val="20"/>
          <w:color w:val="auto"/>
        </w:rPr>
      </w:pPr>
      <w:r>
        <w:rPr>
          <w:rFonts w:ascii="Arial" w:cs="Arial" w:eastAsia="Arial" w:hAnsi="Arial"/>
          <w:sz w:val="13"/>
          <w:szCs w:val="13"/>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3" w:lineRule="exact"/>
        <w:rPr>
          <w:sz w:val="20"/>
          <w:szCs w:val="20"/>
          <w:color w:val="auto"/>
        </w:rPr>
      </w:pPr>
    </w:p>
    <w:p>
      <w:pPr>
        <w:jc w:val="both"/>
        <w:ind w:right="80" w:firstLine="674"/>
        <w:spacing w:after="0" w:line="233" w:lineRule="auto"/>
        <w:rPr>
          <w:sz w:val="20"/>
          <w:szCs w:val="20"/>
          <w:color w:val="auto"/>
        </w:rPr>
      </w:pPr>
      <w:r>
        <w:rPr>
          <w:rFonts w:ascii="Arial" w:cs="Arial" w:eastAsia="Arial" w:hAnsi="Arial"/>
          <w:sz w:val="14"/>
          <w:szCs w:val="14"/>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right="120" w:firstLine="674"/>
        <w:spacing w:after="0" w:line="227"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under the 1940 Act, exclusive of the SBA debentures pursuant to our SEC exemptive relief. Our ability to pay distributions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18" w:lineRule="exact"/>
        <w:rPr>
          <w:sz w:val="20"/>
          <w:szCs w:val="20"/>
          <w:color w:val="auto"/>
        </w:rPr>
      </w:pPr>
    </w:p>
    <w:p>
      <w:pPr>
        <w:ind w:left="340" w:right="60" w:hanging="332"/>
        <w:spacing w:after="0" w:line="180" w:lineRule="auto"/>
        <w:tabs>
          <w:tab w:leader="none" w:pos="340" w:val="left"/>
        </w:tabs>
        <w:numPr>
          <w:ilvl w:val="0"/>
          <w:numId w:val="24"/>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including the 2019 Notes and 2025 Notes, we are exposed to typical risks associated with leverage, including an increased risk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7" w:lineRule="exact"/>
        <w:rPr>
          <w:rFonts w:ascii="Arial" w:cs="Arial" w:eastAsia="Arial" w:hAnsi="Arial"/>
          <w:sz w:val="34"/>
          <w:szCs w:val="34"/>
          <w:color w:val="auto"/>
          <w:vertAlign w:val="subscript"/>
        </w:rPr>
      </w:pPr>
    </w:p>
    <w:p>
      <w:pPr>
        <w:ind w:left="340" w:hanging="332"/>
        <w:spacing w:after="0" w:line="218" w:lineRule="auto"/>
        <w:tabs>
          <w:tab w:leader="none" w:pos="340" w:val="left"/>
        </w:tabs>
        <w:numPr>
          <w:ilvl w:val="0"/>
          <w:numId w:val="24"/>
        </w:numPr>
        <w:rPr>
          <w:rFonts w:ascii="Arial" w:cs="Arial" w:eastAsia="Arial" w:hAnsi="Arial"/>
          <w:sz w:val="32"/>
          <w:szCs w:val="32"/>
          <w:color w:val="auto"/>
          <w:vertAlign w:val="subscript"/>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8" w:lineRule="exact"/>
        <w:rPr>
          <w:rFonts w:ascii="Arial" w:cs="Arial" w:eastAsia="Arial" w:hAnsi="Arial"/>
          <w:sz w:val="32"/>
          <w:szCs w:val="32"/>
          <w:color w:val="auto"/>
          <w:vertAlign w:val="subscript"/>
        </w:rPr>
      </w:pPr>
    </w:p>
    <w:p>
      <w:pPr>
        <w:ind w:left="340" w:right="20" w:hanging="332"/>
        <w:spacing w:after="0" w:line="218" w:lineRule="auto"/>
        <w:tabs>
          <w:tab w:leader="none" w:pos="340" w:val="left"/>
        </w:tabs>
        <w:numPr>
          <w:ilvl w:val="0"/>
          <w:numId w:val="24"/>
        </w:numPr>
        <w:rPr>
          <w:rFonts w:ascii="Arial" w:cs="Arial" w:eastAsia="Arial" w:hAnsi="Arial"/>
          <w:sz w:val="32"/>
          <w:szCs w:val="32"/>
          <w:color w:val="auto"/>
          <w:vertAlign w:val="subscript"/>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 generate 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5" w:lineRule="exact"/>
        <w:rPr>
          <w:rFonts w:ascii="Arial" w:cs="Arial" w:eastAsia="Arial" w:hAnsi="Arial"/>
          <w:sz w:val="32"/>
          <w:szCs w:val="32"/>
          <w:color w:val="auto"/>
          <w:vertAlign w:val="subscript"/>
        </w:rPr>
      </w:pPr>
    </w:p>
    <w:p>
      <w:pPr>
        <w:ind w:left="340" w:right="40" w:hanging="332"/>
        <w:spacing w:after="0" w:line="184" w:lineRule="auto"/>
        <w:tabs>
          <w:tab w:leader="none" w:pos="340" w:val="left"/>
        </w:tabs>
        <w:numPr>
          <w:ilvl w:val="0"/>
          <w:numId w:val="24"/>
        </w:numPr>
        <w:rPr>
          <w:rFonts w:ascii="Arial" w:cs="Arial" w:eastAsia="Arial" w:hAnsi="Arial"/>
          <w:sz w:val="32"/>
          <w:szCs w:val="32"/>
          <w:color w:val="auto"/>
          <w:vertAlign w:val="subscript"/>
        </w:rPr>
      </w:pPr>
      <w:r>
        <w:rPr>
          <w:rFonts w:ascii="Arial" w:cs="Arial" w:eastAsia="Arial" w:hAnsi="Arial"/>
          <w:sz w:val="13"/>
          <w:szCs w:val="13"/>
          <w:b w:val="1"/>
          <w:bCs w:val="1"/>
          <w:i w:val="1"/>
          <w:iCs w:val="1"/>
          <w:color w:val="auto"/>
        </w:rPr>
        <w:t xml:space="preserve">SBA Debentures. </w:t>
      </w:r>
      <w:r>
        <w:rPr>
          <w:rFonts w:ascii="Arial" w:cs="Arial" w:eastAsia="Arial" w:hAnsi="Arial"/>
          <w:sz w:val="13"/>
          <w:szCs w:val="13"/>
          <w:color w:val="auto"/>
        </w:rPr>
        <w:t>In addition to issuing securities and using securitizations to raise capital as described above, we have issued and may in the future issue, as permitted under SBA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SBIC Funds may be unable to make distributions to us that will enable us to meet or maintain RIC status.</w:t>
      </w:r>
    </w:p>
    <w:p>
      <w:pPr>
        <w:spacing w:after="0" w:line="136" w:lineRule="exact"/>
        <w:rPr>
          <w:sz w:val="20"/>
          <w:szCs w:val="20"/>
          <w:color w:val="auto"/>
        </w:rPr>
      </w:pPr>
    </w:p>
    <w:p>
      <w:pPr>
        <w:ind w:right="100" w:firstLine="674"/>
        <w:spacing w:after="0" w:line="251" w:lineRule="auto"/>
        <w:rPr>
          <w:sz w:val="20"/>
          <w:szCs w:val="20"/>
          <w:color w:val="auto"/>
        </w:rPr>
      </w:pPr>
      <w:r>
        <w:rPr>
          <w:rFonts w:ascii="Arial" w:cs="Arial" w:eastAsia="Arial" w:hAnsi="Arial"/>
          <w:sz w:val="13"/>
          <w:szCs w:val="13"/>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SBIC Funds are licensed by the SBA and are subject to SBA regulations.</w:t>
      </w:r>
    </w:p>
    <w:p>
      <w:pPr>
        <w:spacing w:after="0" w:line="123"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15"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16" w:lineRule="exact"/>
        <w:rPr>
          <w:sz w:val="20"/>
          <w:szCs w:val="20"/>
          <w:color w:val="auto"/>
        </w:rPr>
      </w:pPr>
    </w:p>
    <w:p>
      <w:pPr>
        <w:ind w:right="120" w:firstLine="674"/>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SBIC may borrow to a maximum of $150 million for any one SBIC, which is up to twice its regulatory capital, and a maximum of $225 million as part of a group of SBICs under common control.</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36" w:lineRule="exact"/>
        <w:rPr>
          <w:sz w:val="20"/>
          <w:szCs w:val="20"/>
          <w:color w:val="auto"/>
        </w:rPr>
      </w:pPr>
    </w:p>
    <w:p>
      <w:pPr>
        <w:ind w:right="80" w:firstLine="674"/>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cash that we use to service our indebtedness is not available for distribution to our common stockholders.</w:t>
      </w:r>
    </w:p>
    <w:p>
      <w:pPr>
        <w:spacing w:after="0" w:line="101" w:lineRule="exact"/>
        <w:rPr>
          <w:sz w:val="20"/>
          <w:szCs w:val="20"/>
          <w:color w:val="auto"/>
        </w:rPr>
      </w:pPr>
    </w:p>
    <w:p>
      <w:pPr>
        <w:ind w:right="180" w:firstLine="674"/>
        <w:spacing w:after="0" w:line="238" w:lineRule="auto"/>
        <w:rPr>
          <w:sz w:val="20"/>
          <w:szCs w:val="20"/>
          <w:color w:val="auto"/>
        </w:rPr>
      </w:pPr>
      <w:r>
        <w:rPr>
          <w:rFonts w:ascii="Arial" w:cs="Arial" w:eastAsia="Arial" w:hAnsi="Arial"/>
          <w:sz w:val="14"/>
          <w:szCs w:val="14"/>
          <w:color w:val="auto"/>
        </w:rPr>
        <w:t>Our current debt is governed by the terms of our 2019 Notes, 2025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02" w:lineRule="exact"/>
        <w:rPr>
          <w:sz w:val="20"/>
          <w:szCs w:val="20"/>
          <w:color w:val="auto"/>
        </w:rPr>
      </w:pPr>
    </w:p>
    <w:p>
      <w:pPr>
        <w:ind w:right="60" w:firstLine="674"/>
        <w:spacing w:after="0" w:line="233" w:lineRule="auto"/>
        <w:rPr>
          <w:sz w:val="20"/>
          <w:szCs w:val="20"/>
          <w:color w:val="auto"/>
        </w:rPr>
      </w:pPr>
      <w:r>
        <w:rPr>
          <w:rFonts w:ascii="Arial" w:cs="Arial" w:eastAsia="Arial" w:hAnsi="Arial"/>
          <w:sz w:val="14"/>
          <w:szCs w:val="14"/>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firstLine="674"/>
        <w:spacing w:after="0" w:line="243" w:lineRule="auto"/>
        <w:rPr>
          <w:sz w:val="20"/>
          <w:szCs w:val="20"/>
          <w:color w:val="auto"/>
        </w:rPr>
      </w:pPr>
      <w:r>
        <w:rPr>
          <w:rFonts w:ascii="Arial" w:cs="Arial" w:eastAsia="Arial" w:hAnsi="Arial"/>
          <w:sz w:val="13"/>
          <w:szCs w:val="13"/>
          <w:color w:val="auto"/>
        </w:rPr>
        <w:t>We have indebtedness outstanding pursuant to our 2019 Notes,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4" w:lineRule="exact"/>
        <w:rPr>
          <w:sz w:val="20"/>
          <w:szCs w:val="20"/>
          <w:color w:val="auto"/>
        </w:rPr>
      </w:pPr>
    </w:p>
    <w:p>
      <w:pPr>
        <w:ind w:right="100" w:firstLine="674"/>
        <w:spacing w:after="0" w:line="229" w:lineRule="auto"/>
        <w:rPr>
          <w:sz w:val="20"/>
          <w:szCs w:val="20"/>
          <w:color w:val="auto"/>
        </w:rPr>
      </w:pPr>
      <w:r>
        <w:rPr>
          <w:rFonts w:ascii="Arial" w:cs="Arial" w:eastAsia="Arial" w:hAnsi="Arial"/>
          <w:sz w:val="14"/>
          <w:szCs w:val="14"/>
          <w:color w:val="auto"/>
        </w:rPr>
        <w:t>As of September 30, 2014, we had outstanding borrowings of $55.2 million under our Credit Facility, $250.0 million outstanding under our 2019 Notes, $71.3 million outstanding under our 2025 Notes and $150 million outstanding under the SBA debentures. Our consolidated debt outstanding was $526.5 million and had a weighted average annual interest rate at the time of 4.33% exclusive of the fee on undrawn commitment on our Credit Facility of 0.375% and 3.43% of upfront fees on the SBA debentures. Accordingly, to cover the annual interest on our borrowings outstanding at September 30, 2014, at the then current rate, we would have to receive an annual yield of at least 1.68%.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The following table is designed to illustrate the effect on return to a holder of our common stock of the leverage created by our use of borrowing at September 30, 2014 of 37% of total assets (including such borrowed funds), at a weighted average rate at the time of 4.33%,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12"/>
                <w:szCs w:val="12"/>
                <w:color w:val="auto"/>
              </w:rPr>
              <w:t>(1)</w:t>
            </w:r>
          </w:p>
        </w:tc>
        <w:tc>
          <w:tcPr>
            <w:tcW w:w="1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(10.0)%</w:t>
            </w:r>
          </w:p>
        </w:tc>
        <w:tc>
          <w:tcPr>
            <w:tcW w:w="10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w:t>
            </w: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408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12"/>
                <w:szCs w:val="12"/>
                <w:color w:val="auto"/>
              </w:rPr>
              <w:t>(2)</w:t>
            </w:r>
          </w:p>
        </w:tc>
        <w:tc>
          <w:tcPr>
            <w:tcW w:w="1980" w:type="dxa"/>
            <w:vAlign w:val="bottom"/>
          </w:tcPr>
          <w:p>
            <w:pPr>
              <w:jc w:val="right"/>
              <w:ind w:right="208"/>
              <w:spacing w:after="0"/>
              <w:rPr>
                <w:sz w:val="20"/>
                <w:szCs w:val="20"/>
                <w:color w:val="auto"/>
              </w:rPr>
            </w:pPr>
            <w:r>
              <w:rPr>
                <w:rFonts w:ascii="Arial" w:cs="Arial" w:eastAsia="Arial" w:hAnsi="Arial"/>
                <w:sz w:val="14"/>
                <w:szCs w:val="14"/>
                <w:color w:val="auto"/>
              </w:rPr>
              <w:t>(19.8)%</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(11.3)%</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(2.8)%</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5.8%</w:t>
            </w:r>
          </w:p>
        </w:tc>
        <w:tc>
          <w:tcPr>
            <w:tcW w:w="700" w:type="dxa"/>
            <w:vAlign w:val="bottom"/>
          </w:tcPr>
          <w:p>
            <w:pPr>
              <w:jc w:val="right"/>
              <w:spacing w:after="0"/>
              <w:rPr>
                <w:sz w:val="20"/>
                <w:szCs w:val="20"/>
                <w:color w:val="auto"/>
              </w:rPr>
            </w:pPr>
            <w:r>
              <w:rPr>
                <w:rFonts w:ascii="Arial" w:cs="Arial" w:eastAsia="Arial" w:hAnsi="Arial"/>
                <w:sz w:val="14"/>
                <w:szCs w:val="14"/>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40" w:right="260" w:hanging="332"/>
        <w:spacing w:after="0" w:line="255" w:lineRule="auto"/>
        <w:tabs>
          <w:tab w:leader="none" w:pos="340" w:val="left"/>
        </w:tabs>
        <w:numPr>
          <w:ilvl w:val="0"/>
          <w:numId w:val="25"/>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would magnify the potential for loss and the risks of investing in us.</w:t>
      </w:r>
    </w:p>
    <w:p>
      <w:pPr>
        <w:spacing w:after="0" w:line="123" w:lineRule="exact"/>
        <w:rPr>
          <w:sz w:val="20"/>
          <w:szCs w:val="20"/>
          <w:color w:val="auto"/>
        </w:rPr>
      </w:pPr>
    </w:p>
    <w:p>
      <w:pPr>
        <w:ind w:right="40" w:firstLine="674"/>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20" w:firstLine="674"/>
        <w:spacing w:after="0" w:line="229" w:lineRule="auto"/>
        <w:rPr>
          <w:sz w:val="20"/>
          <w:szCs w:val="20"/>
          <w:color w:val="auto"/>
        </w:rPr>
      </w:pPr>
      <w:r>
        <w:rPr>
          <w:rFonts w:ascii="Arial" w:cs="Arial" w:eastAsia="Arial" w:hAnsi="Arial"/>
          <w:sz w:val="14"/>
          <w:szCs w:val="14"/>
          <w:color w:val="auto"/>
        </w:rPr>
        <w:t>As a result of the issuance of the 2019 Notes,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15" w:lineRule="exact"/>
        <w:rPr>
          <w:sz w:val="20"/>
          <w:szCs w:val="20"/>
          <w:color w:val="auto"/>
        </w:rPr>
      </w:pPr>
    </w:p>
    <w:p>
      <w:pPr>
        <w:ind w:right="40" w:firstLine="224"/>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93" w:lineRule="exact"/>
        <w:rPr>
          <w:sz w:val="20"/>
          <w:szCs w:val="20"/>
          <w:color w:val="auto"/>
        </w:rPr>
      </w:pPr>
    </w:p>
    <w:p>
      <w:pPr>
        <w:ind w:right="40" w:firstLine="674"/>
        <w:spacing w:after="0" w:line="247" w:lineRule="auto"/>
        <w:rPr>
          <w:sz w:val="20"/>
          <w:szCs w:val="20"/>
          <w:color w:val="auto"/>
        </w:rPr>
      </w:pPr>
      <w:r>
        <w:rPr>
          <w:rFonts w:ascii="Arial" w:cs="Arial" w:eastAsia="Arial" w:hAnsi="Arial"/>
          <w:sz w:val="13"/>
          <w:szCs w:val="13"/>
          <w:color w:val="auto"/>
        </w:rPr>
        <w:t>Our credit ratings are an assessment by rating agencies of our ability to pay our debts when due. Consequently, real or anticipated changes in our credit ratings will generally affect the market value of the 2019 Notes and 2025 Notes. These credit ratings may not reflect the potential impact of risks relating to the structure or marketing of the 2019 Notes and 2025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2019 Notes and 2025 Notes of any changes in our credit ratings. The 2019 Notes and 2025 Notes will be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59" w:lineRule="exact"/>
        <w:rPr>
          <w:sz w:val="20"/>
          <w:szCs w:val="20"/>
          <w:color w:val="auto"/>
        </w:rPr>
      </w:pPr>
    </w:p>
    <w:p>
      <w:pPr>
        <w:ind w:right="180" w:firstLine="674"/>
        <w:spacing w:after="0" w:line="227" w:lineRule="auto"/>
        <w:rPr>
          <w:sz w:val="20"/>
          <w:szCs w:val="20"/>
          <w:color w:val="auto"/>
        </w:rPr>
      </w:pPr>
      <w:r>
        <w:rPr>
          <w:rFonts w:ascii="Arial" w:cs="Arial" w:eastAsia="Arial" w:hAnsi="Arial"/>
          <w:sz w:val="14"/>
          <w:szCs w:val="14"/>
          <w:color w:val="auto"/>
        </w:rPr>
        <w:t>Our Credit Facility expires in June 2019.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issue preferred stock, other debt securities, convertible debt securities or units, the NAV and market value of our common stock may become more volatile.</w:t>
      </w:r>
    </w:p>
    <w:p>
      <w:pPr>
        <w:spacing w:after="0" w:line="136" w:lineRule="exact"/>
        <w:rPr>
          <w:sz w:val="20"/>
          <w:szCs w:val="20"/>
          <w:color w:val="auto"/>
        </w:rPr>
      </w:pPr>
    </w:p>
    <w:p>
      <w:pPr>
        <w:ind w:right="60" w:firstLine="674"/>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40" w:firstLine="674"/>
        <w:spacing w:after="0" w:line="248" w:lineRule="auto"/>
        <w:rPr>
          <w:sz w:val="20"/>
          <w:szCs w:val="20"/>
          <w:color w:val="auto"/>
        </w:rPr>
      </w:pPr>
      <w:r>
        <w:rPr>
          <w:rFonts w:ascii="Arial" w:cs="Arial" w:eastAsia="Arial" w:hAnsi="Arial"/>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right="180" w:firstLine="674"/>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in the future issue other securities for which there is no public market and for which we expect no public market to develop.</w:t>
      </w:r>
    </w:p>
    <w:p>
      <w:pPr>
        <w:spacing w:after="0" w:line="123" w:lineRule="exact"/>
        <w:rPr>
          <w:sz w:val="20"/>
          <w:szCs w:val="20"/>
          <w:color w:val="auto"/>
        </w:rPr>
      </w:pPr>
    </w:p>
    <w:p>
      <w:pPr>
        <w:ind w:right="40" w:firstLine="674"/>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firstLine="674"/>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104"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7" w:lineRule="exact"/>
        <w:rPr>
          <w:sz w:val="20"/>
          <w:szCs w:val="20"/>
          <w:color w:val="auto"/>
        </w:rPr>
      </w:pPr>
    </w:p>
    <w:p>
      <w:pPr>
        <w:ind w:right="100" w:firstLine="674"/>
        <w:spacing w:after="0" w:line="231" w:lineRule="auto"/>
        <w:rPr>
          <w:sz w:val="20"/>
          <w:szCs w:val="20"/>
          <w:color w:val="auto"/>
        </w:rPr>
      </w:pPr>
      <w:r>
        <w:rPr>
          <w:rFonts w:ascii="Arial" w:cs="Arial" w:eastAsia="Arial" w:hAnsi="Arial"/>
          <w:sz w:val="14"/>
          <w:szCs w:val="14"/>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ind w:right="280" w:firstLine="674"/>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280" w:firstLine="674"/>
        <w:spacing w:after="0" w:line="238" w:lineRule="auto"/>
        <w:rPr>
          <w:sz w:val="20"/>
          <w:szCs w:val="20"/>
          <w:color w:val="auto"/>
        </w:rPr>
      </w:pPr>
      <w:r>
        <w:rPr>
          <w:rFonts w:ascii="Arial" w:cs="Arial" w:eastAsia="Arial" w:hAnsi="Arial"/>
          <w:sz w:val="14"/>
          <w:szCs w:val="14"/>
          <w:color w:val="auto"/>
        </w:rPr>
        <w:t>If we publicly issue debt or convertible debt securities, such as the 2025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These factors include the following:</w:t>
      </w:r>
    </w:p>
    <w:p>
      <w:pPr>
        <w:ind w:left="1100" w:hanging="431"/>
        <w:spacing w:after="0" w:line="184"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the time remaining to the maturity of these debt securities;</w:t>
      </w:r>
    </w:p>
    <w:p>
      <w:pPr>
        <w:spacing w:after="0" w:line="53"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the outstanding principal amount of debt securities with terms identical to these debt securities;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the supply of debt securities trading in the secondary market, if any;</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the redemption, repayment or convertible features, if any, of these debt securities;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the level, direction and volatility of market interest rates; and</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26"/>
        </w:numPr>
        <w:rPr>
          <w:rFonts w:ascii="Arial" w:cs="Arial" w:eastAsia="Arial" w:hAnsi="Arial"/>
          <w:sz w:val="36"/>
          <w:szCs w:val="36"/>
          <w:color w:val="auto"/>
          <w:vertAlign w:val="subscript"/>
        </w:rPr>
      </w:pPr>
      <w:r>
        <w:rPr>
          <w:rFonts w:ascii="Arial" w:cs="Arial" w:eastAsia="Arial" w:hAnsi="Arial"/>
          <w:sz w:val="14"/>
          <w:szCs w:val="14"/>
          <w:color w:val="auto"/>
        </w:rPr>
        <w:t>market rates of interest higher or lower than rates borne by the debt securities.</w:t>
      </w:r>
    </w:p>
    <w:p>
      <w:pPr>
        <w:spacing w:after="0" w:line="170" w:lineRule="exact"/>
        <w:rPr>
          <w:sz w:val="20"/>
          <w:szCs w:val="20"/>
          <w:color w:val="auto"/>
        </w:rPr>
      </w:pPr>
    </w:p>
    <w:p>
      <w:pPr>
        <w:ind w:right="160" w:firstLine="674"/>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136"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36"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2019 Notes and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2019 Notes and 2025 Notes. This will tend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23" w:lineRule="exact"/>
        <w:rPr>
          <w:sz w:val="20"/>
          <w:szCs w:val="20"/>
          <w:color w:val="auto"/>
        </w:rPr>
      </w:pPr>
    </w:p>
    <w:p>
      <w:pPr>
        <w:ind w:right="100" w:firstLine="674"/>
        <w:spacing w:after="0" w:line="251"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136" w:lineRule="exact"/>
        <w:rPr>
          <w:sz w:val="20"/>
          <w:szCs w:val="20"/>
          <w:color w:val="auto"/>
        </w:rPr>
      </w:pPr>
    </w:p>
    <w:p>
      <w:pPr>
        <w:ind w:right="40" w:firstLine="674"/>
        <w:spacing w:after="0" w:line="290" w:lineRule="auto"/>
        <w:rPr>
          <w:sz w:val="20"/>
          <w:szCs w:val="20"/>
          <w:color w:val="auto"/>
        </w:rPr>
      </w:pPr>
      <w:r>
        <w:rPr>
          <w:rFonts w:ascii="Arial" w:cs="Arial" w:eastAsia="Arial" w:hAnsi="Arial"/>
          <w:sz w:val="13"/>
          <w:szCs w:val="13"/>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“Business—Regulation” for more information.</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300" w:firstLine="224"/>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04" w:lineRule="exact"/>
        <w:rPr>
          <w:sz w:val="20"/>
          <w:szCs w:val="20"/>
          <w:color w:val="auto"/>
        </w:rPr>
      </w:pPr>
    </w:p>
    <w:p>
      <w:pPr>
        <w:ind w:right="40" w:firstLine="674"/>
        <w:spacing w:after="0" w:line="251"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09" w:lineRule="exact"/>
        <w:rPr>
          <w:sz w:val="20"/>
          <w:szCs w:val="20"/>
          <w:color w:val="auto"/>
        </w:rPr>
      </w:pPr>
    </w:p>
    <w:p>
      <w:pPr>
        <w:ind w:right="240" w:firstLine="674"/>
        <w:spacing w:after="0" w:line="253"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06" w:lineRule="exact"/>
        <w:rPr>
          <w:sz w:val="20"/>
          <w:szCs w:val="20"/>
          <w:color w:val="auto"/>
        </w:rPr>
      </w:pPr>
    </w:p>
    <w:p>
      <w:pPr>
        <w:ind w:right="20" w:firstLine="674"/>
        <w:spacing w:after="0" w:line="248" w:lineRule="auto"/>
        <w:rPr>
          <w:sz w:val="20"/>
          <w:szCs w:val="20"/>
          <w:color w:val="auto"/>
        </w:rPr>
      </w:pPr>
      <w:r>
        <w:rPr>
          <w:rFonts w:ascii="Arial" w:cs="Arial" w:eastAsia="Arial" w:hAnsi="Arial"/>
          <w:sz w:val="13"/>
          <w:szCs w:val="13"/>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right="40" w:firstLine="674"/>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15" w:lineRule="exact"/>
        <w:rPr>
          <w:sz w:val="20"/>
          <w:szCs w:val="20"/>
          <w:color w:val="auto"/>
        </w:rPr>
      </w:pPr>
    </w:p>
    <w:p>
      <w:pPr>
        <w:ind w:right="60" w:firstLine="674"/>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4" w:lineRule="exact"/>
        <w:rPr>
          <w:sz w:val="20"/>
          <w:szCs w:val="20"/>
          <w:color w:val="auto"/>
        </w:rPr>
      </w:pPr>
    </w:p>
    <w:p>
      <w:pPr>
        <w:jc w:val="both"/>
        <w:ind w:right="100" w:firstLine="674"/>
        <w:spacing w:after="0" w:line="296" w:lineRule="auto"/>
        <w:rPr>
          <w:sz w:val="20"/>
          <w:szCs w:val="20"/>
          <w:color w:val="auto"/>
        </w:rPr>
      </w:pPr>
      <w:r>
        <w:rPr>
          <w:rFonts w:ascii="Arial" w:cs="Arial" w:eastAsia="Arial" w:hAnsi="Arial"/>
          <w:sz w:val="12"/>
          <w:szCs w:val="12"/>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04"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rely in part on our over-the-counter securities, which have and may continue to face liquidity constraints under recent market conditions, to provide us with adequate liquidity.</w:t>
      </w:r>
    </w:p>
    <w:p>
      <w:pPr>
        <w:spacing w:after="0" w:line="159" w:lineRule="exact"/>
        <w:rPr>
          <w:sz w:val="20"/>
          <w:szCs w:val="20"/>
          <w:color w:val="auto"/>
        </w:rPr>
      </w:pPr>
    </w:p>
    <w:p>
      <w:pPr>
        <w:ind w:right="160" w:firstLine="674"/>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intend to invest primarily in senior secured loans, mezzanine debt and selected equity investments issued by U.S. middle-market companies.</w:t>
      </w:r>
    </w:p>
    <w:p>
      <w:pPr>
        <w:spacing w:after="0" w:line="136" w:lineRule="exact"/>
        <w:rPr>
          <w:sz w:val="20"/>
          <w:szCs w:val="20"/>
          <w:color w:val="auto"/>
        </w:rPr>
      </w:pPr>
    </w:p>
    <w:p>
      <w:pPr>
        <w:ind w:left="1120" w:right="20" w:hanging="451"/>
        <w:spacing w:after="0" w:line="227" w:lineRule="auto"/>
        <w:tabs>
          <w:tab w:leader="none" w:pos="1120" w:val="left"/>
        </w:tabs>
        <w:numPr>
          <w:ilvl w:val="0"/>
          <w:numId w:val="2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Secured Loans: </w:t>
      </w:r>
      <w:r>
        <w:rPr>
          <w:rFonts w:ascii="Arial" w:cs="Arial" w:eastAsia="Arial" w:hAnsi="Arial"/>
          <w:sz w:val="14"/>
          <w:szCs w:val="14"/>
          <w:color w:val="auto"/>
        </w:rPr>
        <w:t>When we extend senior secured loans, which we define to include first lien debt, we will generally take a security interest in the available assets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1120" w:right="80" w:hanging="451"/>
        <w:spacing w:after="0" w:line="248" w:lineRule="auto"/>
        <w:tabs>
          <w:tab w:leader="none" w:pos="112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Mezzanine Debt: </w:t>
      </w:r>
      <w:r>
        <w:rPr>
          <w:rFonts w:ascii="Arial" w:cs="Arial" w:eastAsia="Arial" w:hAnsi="Arial"/>
          <w:sz w:val="13"/>
          <w:szCs w:val="13"/>
          <w:color w:val="auto"/>
        </w:rPr>
        <w:t>Our mezzanine debt investments, which we define to include second lien secured and subordinated debt, will generally be subordinated to senior secured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12" w:lineRule="exact"/>
        <w:rPr>
          <w:rFonts w:ascii="Arial" w:cs="Arial" w:eastAsia="Arial" w:hAnsi="Arial"/>
          <w:sz w:val="13"/>
          <w:szCs w:val="13"/>
          <w:color w:val="auto"/>
        </w:rPr>
      </w:pPr>
    </w:p>
    <w:p>
      <w:pPr>
        <w:ind w:left="1120" w:hanging="451"/>
        <w:spacing w:after="0" w:line="251" w:lineRule="auto"/>
        <w:tabs>
          <w:tab w:leader="none" w:pos="112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36" w:lineRule="exact"/>
        <w:rPr>
          <w:sz w:val="20"/>
          <w:szCs w:val="20"/>
          <w:color w:val="auto"/>
        </w:rPr>
      </w:pPr>
    </w:p>
    <w:p>
      <w:pPr>
        <w:ind w:left="1100" w:right="320" w:hanging="431"/>
        <w:spacing w:after="0" w:line="185" w:lineRule="auto"/>
        <w:tabs>
          <w:tab w:leader="none" w:pos="1100" w:val="left"/>
        </w:tabs>
        <w:numPr>
          <w:ilvl w:val="0"/>
          <w:numId w:val="28"/>
        </w:numPr>
        <w:rPr>
          <w:rFonts w:ascii="Arial" w:cs="Arial" w:eastAsia="Arial" w:hAnsi="Arial"/>
          <w:sz w:val="28"/>
          <w:szCs w:val="28"/>
          <w:color w:val="auto"/>
          <w:vertAlign w:val="subscript"/>
        </w:rPr>
      </w:pPr>
      <w:r>
        <w:rPr>
          <w:rFonts w:ascii="Arial" w:cs="Arial" w:eastAsia="Arial" w:hAnsi="Arial"/>
          <w:sz w:val="13"/>
          <w:szCs w:val="13"/>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28"/>
          <w:szCs w:val="28"/>
          <w:color w:val="auto"/>
          <w:vertAlign w:val="subscript"/>
        </w:rPr>
      </w:pPr>
    </w:p>
    <w:p>
      <w:pPr>
        <w:ind w:left="1100" w:right="260" w:hanging="431"/>
        <w:spacing w:after="0" w:line="181" w:lineRule="auto"/>
        <w:tabs>
          <w:tab w:leader="none" w:pos="1100" w:val="left"/>
        </w:tabs>
        <w:numPr>
          <w:ilvl w:val="0"/>
          <w:numId w:val="28"/>
        </w:numPr>
        <w:rPr>
          <w:rFonts w:ascii="Arial" w:cs="Arial" w:eastAsia="Arial" w:hAnsi="Arial"/>
          <w:sz w:val="26"/>
          <w:szCs w:val="26"/>
          <w:color w:val="auto"/>
          <w:vertAlign w:val="subscript"/>
        </w:rPr>
      </w:pPr>
      <w:r>
        <w:rPr>
          <w:rFonts w:ascii="Arial" w:cs="Arial" w:eastAsia="Arial" w:hAnsi="Arial"/>
          <w:sz w:val="12"/>
          <w:szCs w:val="12"/>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15" w:lineRule="exact"/>
        <w:rPr>
          <w:rFonts w:ascii="Arial" w:cs="Arial" w:eastAsia="Arial" w:hAnsi="Arial"/>
          <w:sz w:val="26"/>
          <w:szCs w:val="26"/>
          <w:color w:val="auto"/>
          <w:vertAlign w:val="subscript"/>
        </w:rPr>
      </w:pPr>
    </w:p>
    <w:p>
      <w:pPr>
        <w:ind w:left="1100" w:right="140" w:hanging="431"/>
        <w:spacing w:after="0" w:line="181" w:lineRule="auto"/>
        <w:tabs>
          <w:tab w:leader="none" w:pos="1100" w:val="left"/>
        </w:tabs>
        <w:numPr>
          <w:ilvl w:val="0"/>
          <w:numId w:val="28"/>
        </w:numPr>
        <w:rPr>
          <w:rFonts w:ascii="Arial" w:cs="Arial" w:eastAsia="Arial" w:hAnsi="Arial"/>
          <w:sz w:val="26"/>
          <w:szCs w:val="26"/>
          <w:color w:val="auto"/>
          <w:vertAlign w:val="subscript"/>
        </w:rPr>
      </w:pPr>
      <w:r>
        <w:rPr>
          <w:rFonts w:ascii="Arial" w:cs="Arial" w:eastAsia="Arial" w:hAnsi="Arial"/>
          <w:sz w:val="12"/>
          <w:szCs w:val="12"/>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5" w:lineRule="exact"/>
        <w:rPr>
          <w:rFonts w:ascii="Arial" w:cs="Arial" w:eastAsia="Arial" w:hAnsi="Arial"/>
          <w:sz w:val="26"/>
          <w:szCs w:val="26"/>
          <w:color w:val="auto"/>
          <w:vertAlign w:val="subscript"/>
        </w:rPr>
      </w:pPr>
    </w:p>
    <w:p>
      <w:pPr>
        <w:ind w:left="1100" w:hanging="431"/>
        <w:spacing w:after="0" w:line="184" w:lineRule="auto"/>
        <w:tabs>
          <w:tab w:leader="none" w:pos="1100" w:val="left"/>
        </w:tabs>
        <w:numPr>
          <w:ilvl w:val="0"/>
          <w:numId w:val="28"/>
        </w:numPr>
        <w:rPr>
          <w:rFonts w:ascii="Arial" w:cs="Arial" w:eastAsia="Arial" w:hAnsi="Arial"/>
          <w:sz w:val="32"/>
          <w:szCs w:val="32"/>
          <w:color w:val="auto"/>
          <w:vertAlign w:val="subscript"/>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16" w:lineRule="exact"/>
        <w:rPr>
          <w:rFonts w:ascii="Arial" w:cs="Arial" w:eastAsia="Arial" w:hAnsi="Arial"/>
          <w:sz w:val="32"/>
          <w:szCs w:val="32"/>
          <w:color w:val="auto"/>
          <w:vertAlign w:val="subscript"/>
        </w:rPr>
      </w:pPr>
    </w:p>
    <w:p>
      <w:pPr>
        <w:ind w:left="1100" w:right="400" w:hanging="431"/>
        <w:spacing w:after="0"/>
        <w:tabs>
          <w:tab w:leader="none" w:pos="1100" w:val="left"/>
        </w:tabs>
        <w:numPr>
          <w:ilvl w:val="0"/>
          <w:numId w:val="28"/>
        </w:numPr>
        <w:rPr>
          <w:rFonts w:ascii="Arial" w:cs="Arial" w:eastAsia="Arial" w:hAnsi="Arial"/>
          <w:sz w:val="27"/>
          <w:szCs w:val="27"/>
          <w:color w:val="auto"/>
          <w:vertAlign w:val="subscript"/>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135" w:lineRule="exact"/>
        <w:rPr>
          <w:sz w:val="20"/>
          <w:szCs w:val="20"/>
          <w:color w:val="auto"/>
        </w:rPr>
      </w:pPr>
    </w:p>
    <w:p>
      <w:pPr>
        <w:ind w:right="300" w:firstLine="224"/>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106"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4"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0" w:firstLine="224"/>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right="20" w:firstLine="674"/>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jc w:val="both"/>
        <w:ind w:right="60" w:firstLine="674"/>
        <w:spacing w:after="0" w:line="244" w:lineRule="auto"/>
        <w:rPr>
          <w:sz w:val="20"/>
          <w:szCs w:val="20"/>
          <w:color w:val="auto"/>
        </w:rPr>
      </w:pPr>
      <w:r>
        <w:rPr>
          <w:rFonts w:ascii="Arial" w:cs="Arial" w:eastAsia="Arial" w:hAnsi="Arial"/>
          <w:sz w:val="13"/>
          <w:szCs w:val="13"/>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w:t>
      </w:r>
    </w:p>
    <w:p>
      <w:pPr>
        <w:spacing w:after="0" w:line="2" w:lineRule="exact"/>
        <w:rPr>
          <w:sz w:val="20"/>
          <w:szCs w:val="20"/>
          <w:color w:val="auto"/>
        </w:rPr>
      </w:pPr>
    </w:p>
    <w:p>
      <w:pPr>
        <w:ind w:right="320"/>
        <w:spacing w:after="0" w:line="237" w:lineRule="auto"/>
        <w:rPr>
          <w:sz w:val="20"/>
          <w:szCs w:val="20"/>
          <w:color w:val="auto"/>
        </w:rPr>
      </w:pPr>
      <w:r>
        <w:rPr>
          <w:rFonts w:ascii="Arial" w:cs="Arial" w:eastAsia="Arial" w:hAnsi="Arial"/>
          <w:sz w:val="14"/>
          <w:szCs w:val="14"/>
          <w:color w:val="auto"/>
        </w:rPr>
        <w:t>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60" w:firstLine="674"/>
        <w:spacing w:after="0" w:line="251"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ind w:left="1120" w:hanging="329"/>
        <w:spacing w:after="0" w:line="184" w:lineRule="auto"/>
        <w:tabs>
          <w:tab w:leader="none" w:pos="1120" w:val="left"/>
        </w:tabs>
        <w:numPr>
          <w:ilvl w:val="0"/>
          <w:numId w:val="29"/>
        </w:numPr>
        <w:rPr>
          <w:rFonts w:ascii="Arial" w:cs="Arial" w:eastAsia="Arial" w:hAnsi="Arial"/>
          <w:sz w:val="36"/>
          <w:szCs w:val="36"/>
          <w:color w:val="auto"/>
          <w:vertAlign w:val="subscript"/>
        </w:rPr>
      </w:pPr>
      <w:r>
        <w:rPr>
          <w:rFonts w:ascii="Arial" w:cs="Arial" w:eastAsia="Arial" w:hAnsi="Arial"/>
          <w:sz w:val="14"/>
          <w:szCs w:val="14"/>
          <w:color w:val="auto"/>
        </w:rPr>
        <w:t>increase or maintain in whole or in part our equity ownership percentage;</w:t>
      </w:r>
    </w:p>
    <w:p>
      <w:pPr>
        <w:spacing w:after="0" w:line="53"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29"/>
        </w:numPr>
        <w:rPr>
          <w:rFonts w:ascii="Arial" w:cs="Arial" w:eastAsia="Arial" w:hAnsi="Arial"/>
          <w:sz w:val="36"/>
          <w:szCs w:val="36"/>
          <w:color w:val="auto"/>
          <w:vertAlign w:val="subscript"/>
        </w:rPr>
      </w:pPr>
      <w:r>
        <w:rPr>
          <w:rFonts w:ascii="Arial" w:cs="Arial" w:eastAsia="Arial" w:hAnsi="Arial"/>
          <w:sz w:val="14"/>
          <w:szCs w:val="14"/>
          <w:color w:val="auto"/>
        </w:rPr>
        <w:t>exercise warrants, options or convertible securities that were acquired in the original or subsequent financing; or</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29"/>
        </w:numPr>
        <w:rPr>
          <w:rFonts w:ascii="Arial" w:cs="Arial" w:eastAsia="Arial" w:hAnsi="Arial"/>
          <w:sz w:val="36"/>
          <w:szCs w:val="36"/>
          <w:color w:val="auto"/>
          <w:vertAlign w:val="subscript"/>
        </w:rPr>
      </w:pPr>
      <w:r>
        <w:rPr>
          <w:rFonts w:ascii="Arial" w:cs="Arial" w:eastAsia="Arial" w:hAnsi="Arial"/>
          <w:sz w:val="14"/>
          <w:szCs w:val="14"/>
          <w:color w:val="auto"/>
        </w:rPr>
        <w:t>attempt to preserve or enhance the value of our investment.</w:t>
      </w:r>
    </w:p>
    <w:p>
      <w:pPr>
        <w:spacing w:after="0" w:line="184"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116" w:lineRule="exact"/>
        <w:rPr>
          <w:sz w:val="20"/>
          <w:szCs w:val="20"/>
          <w:color w:val="auto"/>
        </w:rPr>
      </w:pPr>
    </w:p>
    <w:p>
      <w:pPr>
        <w:ind w:right="80" w:firstLine="224"/>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3"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7" w:lineRule="exact"/>
        <w:rPr>
          <w:sz w:val="20"/>
          <w:szCs w:val="20"/>
          <w:color w:val="auto"/>
        </w:rPr>
      </w:pPr>
    </w:p>
    <w:p>
      <w:pPr>
        <w:ind w:right="240" w:firstLine="224"/>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60"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136"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right="40" w:firstLine="674"/>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160" w:firstLine="674"/>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36" w:lineRule="exact"/>
        <w:rPr>
          <w:sz w:val="20"/>
          <w:szCs w:val="20"/>
          <w:color w:val="auto"/>
        </w:rPr>
      </w:pPr>
    </w:p>
    <w:p>
      <w:pPr>
        <w:ind w:right="60" w:firstLine="674"/>
        <w:spacing w:after="0" w:line="231"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20" w:firstLine="674"/>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159"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right="100" w:firstLine="674"/>
        <w:spacing w:after="0" w:line="229"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or we incur a net loss for that quarter.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36" w:lineRule="exact"/>
        <w:rPr>
          <w:sz w:val="20"/>
          <w:szCs w:val="20"/>
          <w:color w:val="auto"/>
        </w:rPr>
      </w:pPr>
    </w:p>
    <w:p>
      <w:pPr>
        <w:jc w:val="both"/>
        <w:ind w:right="120" w:firstLine="674"/>
        <w:spacing w:after="0" w:line="244" w:lineRule="auto"/>
        <w:rPr>
          <w:sz w:val="20"/>
          <w:szCs w:val="20"/>
          <w:color w:val="auto"/>
        </w:rPr>
      </w:pPr>
      <w:r>
        <w:rPr>
          <w:rFonts w:ascii="Arial" w:cs="Arial" w:eastAsia="Arial" w:hAnsi="Arial"/>
          <w:sz w:val="13"/>
          <w:szCs w:val="13"/>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w:t>
      </w:r>
    </w:p>
    <w:p>
      <w:pPr>
        <w:spacing w:after="0" w:line="2"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674"/>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firstLine="674"/>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40" w:firstLine="224"/>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200" w:firstLine="674"/>
        <w:spacing w:after="0" w:line="238" w:lineRule="auto"/>
        <w:rPr>
          <w:sz w:val="20"/>
          <w:szCs w:val="20"/>
          <w:color w:val="auto"/>
        </w:rPr>
      </w:pPr>
      <w:r>
        <w:rPr>
          <w:rFonts w:ascii="Arial" w:cs="Arial" w:eastAsia="Arial" w:hAnsi="Arial"/>
          <w:sz w:val="14"/>
          <w:szCs w:val="14"/>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02" w:lineRule="exact"/>
        <w:rPr>
          <w:sz w:val="20"/>
          <w:szCs w:val="20"/>
          <w:color w:val="auto"/>
        </w:rPr>
      </w:pPr>
    </w:p>
    <w:p>
      <w:pPr>
        <w:ind w:right="60" w:firstLine="674"/>
        <w:spacing w:after="0" w:line="248" w:lineRule="auto"/>
        <w:rPr>
          <w:sz w:val="20"/>
          <w:szCs w:val="20"/>
          <w:color w:val="auto"/>
        </w:rPr>
      </w:pPr>
      <w:r>
        <w:rPr>
          <w:rFonts w:ascii="Arial" w:cs="Arial" w:eastAsia="Arial" w:hAnsi="Arial"/>
          <w:sz w:val="13"/>
          <w:szCs w:val="13"/>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3" w:lineRule="exact"/>
        <w:rPr>
          <w:sz w:val="20"/>
          <w:szCs w:val="20"/>
          <w:color w:val="auto"/>
        </w:rPr>
      </w:pPr>
    </w:p>
    <w:p>
      <w:pPr>
        <w:ind w:right="80" w:firstLine="674"/>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weekends and holidays) of the sale.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23" w:lineRule="exact"/>
        <w:rPr>
          <w:sz w:val="20"/>
          <w:szCs w:val="20"/>
          <w:color w:val="auto"/>
        </w:rPr>
      </w:pPr>
    </w:p>
    <w:p>
      <w:pPr>
        <w:ind w:right="100" w:firstLine="674"/>
        <w:spacing w:after="0" w:line="248" w:lineRule="auto"/>
        <w:rPr>
          <w:sz w:val="20"/>
          <w:szCs w:val="20"/>
          <w:color w:val="auto"/>
        </w:rPr>
      </w:pPr>
      <w:r>
        <w:rPr>
          <w:rFonts w:ascii="Arial" w:cs="Arial" w:eastAsia="Arial" w:hAnsi="Arial"/>
          <w:sz w:val="13"/>
          <w:szCs w:val="13"/>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Our investments in portfolio companies may be highly speculative and aggressive and therefore, an investment in our shares may not be suitable for someone with lower risk tolerance.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20" w:firstLine="674"/>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36" w:lineRule="exact"/>
        <w:rPr>
          <w:sz w:val="20"/>
          <w:szCs w:val="20"/>
          <w:color w:val="auto"/>
        </w:rPr>
      </w:pPr>
    </w:p>
    <w:p>
      <w:pPr>
        <w:ind w:right="140" w:firstLine="674"/>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$10.91 and $11.28 on September 30, 2014 and 2013, respectively. Our NAV per share was $11.03 and $10.49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firstLine="674"/>
        <w:spacing w:after="0" w:line="246"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5" w:lineRule="exact"/>
        <w:rPr>
          <w:sz w:val="20"/>
          <w:szCs w:val="20"/>
          <w:color w:val="auto"/>
        </w:rPr>
      </w:pPr>
    </w:p>
    <w:p>
      <w:pPr>
        <w:ind w:left="1120" w:right="580" w:hanging="329"/>
        <w:spacing w:after="0" w:line="181" w:lineRule="auto"/>
        <w:tabs>
          <w:tab w:leader="none" w:pos="1120" w:val="left"/>
        </w:tabs>
        <w:numPr>
          <w:ilvl w:val="0"/>
          <w:numId w:val="30"/>
        </w:numPr>
        <w:rPr>
          <w:rFonts w:ascii="Arial" w:cs="Arial" w:eastAsia="Arial" w:hAnsi="Arial"/>
          <w:sz w:val="26"/>
          <w:szCs w:val="26"/>
          <w:color w:val="auto"/>
          <w:vertAlign w:val="subscript"/>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1" w:lineRule="exact"/>
        <w:rPr>
          <w:rFonts w:ascii="Arial" w:cs="Arial" w:eastAsia="Arial" w:hAnsi="Arial"/>
          <w:sz w:val="26"/>
          <w:szCs w:val="26"/>
          <w:color w:val="auto"/>
          <w:vertAlign w:val="subscript"/>
        </w:rPr>
      </w:pPr>
    </w:p>
    <w:p>
      <w:pPr>
        <w:ind w:left="1120" w:hanging="329"/>
        <w:spacing w:after="0" w:line="182" w:lineRule="auto"/>
        <w:tabs>
          <w:tab w:leader="none" w:pos="1120" w:val="left"/>
        </w:tabs>
        <w:numPr>
          <w:ilvl w:val="0"/>
          <w:numId w:val="30"/>
        </w:numPr>
        <w:rPr>
          <w:rFonts w:ascii="Arial" w:cs="Arial" w:eastAsia="Arial" w:hAnsi="Arial"/>
          <w:sz w:val="34"/>
          <w:szCs w:val="34"/>
          <w:color w:val="auto"/>
          <w:vertAlign w:val="subscript"/>
        </w:rPr>
      </w:pPr>
      <w:r>
        <w:rPr>
          <w:rFonts w:ascii="Arial" w:cs="Arial" w:eastAsia="Arial" w:hAnsi="Arial"/>
          <w:sz w:val="14"/>
          <w:szCs w:val="14"/>
          <w:color w:val="auto"/>
        </w:rPr>
        <w:t>changes in regulatory policies or tax guidelines, particularly with respect to RICs, BDCs or SBICs;</w:t>
      </w:r>
    </w:p>
    <w:p>
      <w:pPr>
        <w:spacing w:after="0" w:line="53" w:lineRule="exact"/>
        <w:rPr>
          <w:rFonts w:ascii="Arial" w:cs="Arial" w:eastAsia="Arial" w:hAnsi="Arial"/>
          <w:sz w:val="34"/>
          <w:szCs w:val="34"/>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any loss of our BDC or RIC status or any loss of our subsidiaries’ SBIC licenses;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changes in earnings or variations in operating results;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changes in prevailing interest rates;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changes in the value of our portfolio of investments;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4" w:lineRule="exact"/>
        <w:rPr>
          <w:rFonts w:ascii="Arial" w:cs="Arial" w:eastAsia="Arial" w:hAnsi="Arial"/>
          <w:sz w:val="36"/>
          <w:szCs w:val="36"/>
          <w:color w:val="auto"/>
          <w:vertAlign w:val="subscript"/>
        </w:rPr>
      </w:pPr>
    </w:p>
    <w:p>
      <w:pPr>
        <w:ind w:left="1120" w:hanging="329"/>
        <w:spacing w:after="0" w:line="203" w:lineRule="auto"/>
        <w:tabs>
          <w:tab w:leader="none" w:pos="1120" w:val="left"/>
        </w:tabs>
        <w:numPr>
          <w:ilvl w:val="0"/>
          <w:numId w:val="30"/>
        </w:numPr>
        <w:rPr>
          <w:rFonts w:ascii="Arial" w:cs="Arial" w:eastAsia="Arial" w:hAnsi="Arial"/>
          <w:sz w:val="32"/>
          <w:szCs w:val="32"/>
          <w:color w:val="auto"/>
          <w:vertAlign w:val="subscript"/>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53" w:lineRule="exact"/>
        <w:rPr>
          <w:rFonts w:ascii="Arial" w:cs="Arial" w:eastAsia="Arial" w:hAnsi="Arial"/>
          <w:sz w:val="32"/>
          <w:szCs w:val="32"/>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operating performance of companies comparable to us;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general national and international economic trends and other external factors;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general price and volume fluctuations in the stock markets, including as a result of short sales;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conversion features of subscription rights, warrants or convertible debt; and</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0"/>
        </w:numPr>
        <w:rPr>
          <w:rFonts w:ascii="Arial" w:cs="Arial" w:eastAsia="Arial" w:hAnsi="Arial"/>
          <w:sz w:val="36"/>
          <w:szCs w:val="36"/>
          <w:color w:val="auto"/>
          <w:vertAlign w:val="subscript"/>
        </w:rPr>
      </w:pPr>
      <w:r>
        <w:rPr>
          <w:rFonts w:ascii="Arial" w:cs="Arial" w:eastAsia="Arial" w:hAnsi="Arial"/>
          <w:sz w:val="14"/>
          <w:szCs w:val="14"/>
          <w:color w:val="auto"/>
        </w:rPr>
        <w:t>loss of a major funding source.</w:t>
      </w:r>
    </w:p>
    <w:p>
      <w:pPr>
        <w:spacing w:after="0" w:line="184" w:lineRule="exact"/>
        <w:rPr>
          <w:sz w:val="20"/>
          <w:szCs w:val="20"/>
          <w:color w:val="auto"/>
        </w:rPr>
      </w:pPr>
    </w:p>
    <w:p>
      <w:pPr>
        <w:ind w:right="460" w:firstLine="674"/>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23" w:lineRule="exact"/>
        <w:rPr>
          <w:sz w:val="20"/>
          <w:szCs w:val="20"/>
          <w:color w:val="auto"/>
        </w:rPr>
      </w:pPr>
    </w:p>
    <w:p>
      <w:pPr>
        <w:ind w:right="20" w:firstLine="674"/>
        <w:spacing w:after="0" w:line="264"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ind w:left="1120" w:hanging="329"/>
        <w:spacing w:after="0" w:line="207" w:lineRule="auto"/>
        <w:tabs>
          <w:tab w:leader="none" w:pos="1120" w:val="left"/>
        </w:tabs>
        <w:numPr>
          <w:ilvl w:val="0"/>
          <w:numId w:val="31"/>
        </w:numPr>
        <w:rPr>
          <w:rFonts w:ascii="Arial" w:cs="Arial" w:eastAsia="Arial" w:hAnsi="Arial"/>
          <w:sz w:val="32"/>
          <w:szCs w:val="32"/>
          <w:color w:val="auto"/>
          <w:vertAlign w:val="subscript"/>
        </w:rPr>
      </w:pPr>
      <w:r>
        <w:rPr>
          <w:rFonts w:ascii="Arial" w:cs="Arial" w:eastAsia="Arial" w:hAnsi="Arial"/>
          <w:sz w:val="13"/>
          <w:szCs w:val="13"/>
          <w:color w:val="auto"/>
        </w:rPr>
        <w:t>direct obligations of, or obligations guaranteed as to principal and interest by, the U.S. government, which mature within 15 months from the date of the investment;</w:t>
      </w:r>
    </w:p>
    <w:p>
      <w:pPr>
        <w:spacing w:after="0" w:line="183" w:lineRule="exact"/>
        <w:rPr>
          <w:rFonts w:ascii="Arial" w:cs="Arial" w:eastAsia="Arial" w:hAnsi="Arial"/>
          <w:sz w:val="32"/>
          <w:szCs w:val="32"/>
          <w:color w:val="auto"/>
          <w:vertAlign w:val="subscript"/>
        </w:rPr>
      </w:pPr>
    </w:p>
    <w:p>
      <w:pPr>
        <w:ind w:left="1120" w:right="520" w:hanging="329"/>
        <w:spacing w:after="0" w:line="181" w:lineRule="auto"/>
        <w:tabs>
          <w:tab w:leader="none" w:pos="1120" w:val="left"/>
        </w:tabs>
        <w:numPr>
          <w:ilvl w:val="0"/>
          <w:numId w:val="31"/>
        </w:numPr>
        <w:rPr>
          <w:rFonts w:ascii="Arial" w:cs="Arial" w:eastAsia="Arial" w:hAnsi="Arial"/>
          <w:sz w:val="26"/>
          <w:szCs w:val="26"/>
          <w:color w:val="auto"/>
          <w:vertAlign w:val="subscript"/>
        </w:rPr>
      </w:pPr>
      <w:r>
        <w:rPr>
          <w:rFonts w:ascii="Arial" w:cs="Arial" w:eastAsia="Arial" w:hAnsi="Arial"/>
          <w:sz w:val="12"/>
          <w:szCs w:val="12"/>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 w:lineRule="exact"/>
        <w:rPr>
          <w:rFonts w:ascii="Arial" w:cs="Arial" w:eastAsia="Arial" w:hAnsi="Arial"/>
          <w:sz w:val="26"/>
          <w:szCs w:val="26"/>
          <w:color w:val="auto"/>
          <w:vertAlign w:val="subscript"/>
        </w:rPr>
      </w:pPr>
    </w:p>
    <w:p>
      <w:pPr>
        <w:ind w:left="1120" w:hanging="329"/>
        <w:spacing w:after="0" w:line="182" w:lineRule="auto"/>
        <w:tabs>
          <w:tab w:leader="none" w:pos="1120" w:val="left"/>
        </w:tabs>
        <w:numPr>
          <w:ilvl w:val="0"/>
          <w:numId w:val="31"/>
        </w:numPr>
        <w:rPr>
          <w:rFonts w:ascii="Arial" w:cs="Arial" w:eastAsia="Arial" w:hAnsi="Arial"/>
          <w:sz w:val="34"/>
          <w:szCs w:val="34"/>
          <w:color w:val="auto"/>
          <w:vertAlign w:val="subscript"/>
        </w:rPr>
      </w:pPr>
      <w:r>
        <w:rPr>
          <w:rFonts w:ascii="Arial" w:cs="Arial" w:eastAsia="Arial" w:hAnsi="Arial"/>
          <w:sz w:val="14"/>
          <w:szCs w:val="14"/>
          <w:color w:val="auto"/>
        </w:rPr>
        <w:t>certificates of deposit with a maturity of one year or less, issued by a federally insured institution; or</w:t>
      </w:r>
    </w:p>
    <w:p>
      <w:pPr>
        <w:spacing w:after="0" w:line="53" w:lineRule="exact"/>
        <w:rPr>
          <w:rFonts w:ascii="Arial" w:cs="Arial" w:eastAsia="Arial" w:hAnsi="Arial"/>
          <w:sz w:val="34"/>
          <w:szCs w:val="34"/>
          <w:color w:val="auto"/>
          <w:vertAlign w:val="subscript"/>
        </w:rPr>
      </w:pPr>
    </w:p>
    <w:p>
      <w:pPr>
        <w:ind w:left="1120" w:hanging="329"/>
        <w:spacing w:after="0" w:line="180" w:lineRule="auto"/>
        <w:tabs>
          <w:tab w:leader="none" w:pos="1120" w:val="left"/>
        </w:tabs>
        <w:numPr>
          <w:ilvl w:val="0"/>
          <w:numId w:val="31"/>
        </w:numPr>
        <w:rPr>
          <w:rFonts w:ascii="Arial" w:cs="Arial" w:eastAsia="Arial" w:hAnsi="Arial"/>
          <w:sz w:val="36"/>
          <w:szCs w:val="36"/>
          <w:color w:val="auto"/>
          <w:vertAlign w:val="subscript"/>
        </w:rPr>
      </w:pPr>
      <w:r>
        <w:rPr>
          <w:rFonts w:ascii="Arial" w:cs="Arial" w:eastAsia="Arial" w:hAnsi="Arial"/>
          <w:sz w:val="14"/>
          <w:szCs w:val="14"/>
          <w:color w:val="auto"/>
        </w:rPr>
        <w:t>a deposit account in a federally insured institution that is subject to a withdrawal restriction of one year or less.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23" w:lineRule="exact"/>
        <w:rPr>
          <w:sz w:val="20"/>
          <w:szCs w:val="20"/>
          <w:color w:val="auto"/>
        </w:rPr>
      </w:pPr>
    </w:p>
    <w:p>
      <w:pPr>
        <w:ind w:right="280" w:firstLine="674"/>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36"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34"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36"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NYSE.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100" w:firstLine="674"/>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3" w:lineRule="exact"/>
        <w:rPr>
          <w:sz w:val="20"/>
          <w:szCs w:val="20"/>
          <w:color w:val="auto"/>
        </w:rPr>
      </w:pPr>
    </w:p>
    <w:p>
      <w:pPr>
        <w:ind w:right="240" w:firstLine="674"/>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2019 Notes and 2025 Notes are unsecured and therefore are effectively subordinated to any secured indebtedness we have currently incurred or may incur in the future.</w:t>
      </w:r>
    </w:p>
    <w:p>
      <w:pPr>
        <w:spacing w:after="0" w:line="148" w:lineRule="exact"/>
        <w:rPr>
          <w:sz w:val="20"/>
          <w:szCs w:val="20"/>
          <w:color w:val="auto"/>
        </w:rPr>
      </w:pPr>
    </w:p>
    <w:p>
      <w:pPr>
        <w:ind w:right="20" w:firstLine="674"/>
        <w:spacing w:after="0" w:line="247" w:lineRule="auto"/>
        <w:rPr>
          <w:sz w:val="20"/>
          <w:szCs w:val="20"/>
          <w:color w:val="auto"/>
        </w:rPr>
      </w:pPr>
      <w:r>
        <w:rPr>
          <w:rFonts w:ascii="Arial" w:cs="Arial" w:eastAsia="Arial" w:hAnsi="Arial"/>
          <w:sz w:val="13"/>
          <w:szCs w:val="13"/>
          <w:color w:val="auto"/>
        </w:rPr>
        <w:t>The 2019 Notes and 2025 Notes are not secured by any of our assets or any of the assets of our subsidiaries. As a result, the 2019 Notes and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2019 Notes and 2025 Notes. As of September 30, 2014, we had $55.2 million outstanding under the Credit Facility. The Credit Facility is secured by substantially all of the assets in our portfolio (other than assets held by our SBIC Funds), and the indebtedness under the Credit Facility is therefore effectively senior in right of payment to the 2019 Notes and 2025 Notes to the extent of the value of such assets.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2019 Notes and 2025 Notes are structurally subordinated to the indebtedness and other liabilities of our subsidiaries.</w:t>
      </w:r>
    </w:p>
    <w:p>
      <w:pPr>
        <w:spacing w:after="0" w:line="136" w:lineRule="exact"/>
        <w:rPr>
          <w:sz w:val="20"/>
          <w:szCs w:val="20"/>
          <w:color w:val="auto"/>
        </w:rPr>
      </w:pPr>
    </w:p>
    <w:p>
      <w:pPr>
        <w:ind w:right="140" w:firstLine="674"/>
        <w:spacing w:after="0" w:line="233" w:lineRule="auto"/>
        <w:rPr>
          <w:sz w:val="20"/>
          <w:szCs w:val="20"/>
          <w:color w:val="auto"/>
        </w:rPr>
      </w:pPr>
      <w:r>
        <w:rPr>
          <w:rFonts w:ascii="Arial" w:cs="Arial" w:eastAsia="Arial" w:hAnsi="Arial"/>
          <w:sz w:val="14"/>
          <w:szCs w:val="14"/>
          <w:color w:val="auto"/>
        </w:rPr>
        <w:t>The 2019 Notes and 2025 Notes are obligations exclusively of PennantPark Investment Corporation and not of any of our subsidiaries. None of our subsidiaries are or act as guarantors of the 2019 Notes and 2025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2019 Notes and 2025 Notes.</w:t>
      </w:r>
    </w:p>
    <w:p>
      <w:pPr>
        <w:spacing w:after="0" w:line="117" w:lineRule="exact"/>
        <w:rPr>
          <w:sz w:val="20"/>
          <w:szCs w:val="20"/>
          <w:color w:val="auto"/>
        </w:rPr>
      </w:pPr>
    </w:p>
    <w:p>
      <w:pPr>
        <w:ind w:right="20" w:firstLine="674"/>
        <w:spacing w:after="0" w:line="247" w:lineRule="auto"/>
        <w:rPr>
          <w:sz w:val="20"/>
          <w:szCs w:val="20"/>
          <w:color w:val="auto"/>
        </w:rPr>
      </w:pPr>
      <w:r>
        <w:rPr>
          <w:rFonts w:ascii="Arial" w:cs="Arial" w:eastAsia="Arial" w:hAnsi="Arial"/>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2019 Notes and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2019 Notes and 2025 Notes are structurally subordinated to all indebtedness and other liabilities (including trade payables) of our subsidiaries and any subsidiaries that we may in the future acquire or establish as financing vehicles or otherwise. As of September 30, 2014, SBIC LP had $150 million of SBA debentures outstanding. All of such indebtedness is structurally senior to the 2019 Notes and 2025 Notes. In addition, our subsidiaries may incur substantial additional indebtedness in the future, all of which would be structurally senior to the 2019 Notes and 2025 Notes.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The indenture under which the 2019 Notes and 2025 Notes were issued contains limited protection for their respective holders.</w:t>
      </w:r>
    </w:p>
    <w:p>
      <w:pPr>
        <w:spacing w:after="0" w:line="136" w:lineRule="exact"/>
        <w:rPr>
          <w:sz w:val="20"/>
          <w:szCs w:val="20"/>
          <w:color w:val="auto"/>
        </w:rPr>
      </w:pPr>
    </w:p>
    <w:p>
      <w:pPr>
        <w:jc w:val="both"/>
        <w:ind w:right="140" w:firstLine="674"/>
        <w:spacing w:after="0" w:line="233" w:lineRule="auto"/>
        <w:rPr>
          <w:sz w:val="20"/>
          <w:szCs w:val="20"/>
          <w:color w:val="auto"/>
        </w:rPr>
      </w:pPr>
      <w:r>
        <w:rPr>
          <w:rFonts w:ascii="Arial" w:cs="Arial" w:eastAsia="Arial" w:hAnsi="Arial"/>
          <w:sz w:val="14"/>
          <w:szCs w:val="14"/>
          <w:color w:val="auto"/>
        </w:rPr>
        <w:t>The indenture under which the 2019 Notes and 2025 Notes were issued offers limited protection to their respective holders. The terms of the indenture and the 2019 Notes and 2025 Notes do not restrict our or any of our subsidiaries’ ability to engage in, or otherwise be a party to, a variety of corporate transactions, circumstances or events that could have an adverse impact on an investment in the 2019 Notes and 2025 Notes. In particular, the terms of the indentures and the 2019 Notes and 2025 Notes do not place any restrictions on our or our subsidiaries’ ability to:</w:t>
      </w:r>
    </w:p>
    <w:p>
      <w:pPr>
        <w:spacing w:after="0" w:line="117" w:lineRule="exact"/>
        <w:rPr>
          <w:sz w:val="20"/>
          <w:szCs w:val="20"/>
          <w:color w:val="auto"/>
        </w:rPr>
      </w:pPr>
    </w:p>
    <w:p>
      <w:pPr>
        <w:ind w:left="1120" w:hanging="329"/>
        <w:spacing w:after="0" w:line="186" w:lineRule="auto"/>
        <w:tabs>
          <w:tab w:leader="none" w:pos="1120" w:val="left"/>
        </w:tabs>
        <w:numPr>
          <w:ilvl w:val="0"/>
          <w:numId w:val="32"/>
        </w:numPr>
        <w:rPr>
          <w:rFonts w:ascii="Arial" w:cs="Arial" w:eastAsia="Arial" w:hAnsi="Arial"/>
          <w:sz w:val="36"/>
          <w:szCs w:val="36"/>
          <w:color w:val="auto"/>
          <w:vertAlign w:val="subscript"/>
        </w:rPr>
      </w:pPr>
      <w:r>
        <w:rPr>
          <w:rFonts w:ascii="Arial" w:cs="Arial" w:eastAsia="Arial" w:hAnsi="Arial"/>
          <w:sz w:val="14"/>
          <w:szCs w:val="14"/>
          <w:color w:val="auto"/>
        </w:rPr>
        <w:t>issue securities or otherwise incur additional indebtedness or other obligations, including (1) any indebtedness or other obligations that would be equal in right of payment to the 2019 Notes and 2025 Notes, (2) any indebtedness or other obligations that would be secured and therefore rank effectively senior in right of payment to the 2019 Notes and 2025 Notes to the extent of the values of the assets securing such debt, (3) indebtedness of ours that is guaranteed by one or more of our subsidiaries and which therefore would rank structurally senior to the 2019 Notes and 2025 Notes and (4) securities, indebtedness or other obligations issued or incurred by our subsidiaries that would be senior in right of payment to our equity interests in our subsidiaries and therefore would rank structurally senior in right of payment to the 2019 Notes and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18" w:lineRule="exact"/>
        <w:rPr>
          <w:rFonts w:ascii="Arial" w:cs="Arial" w:eastAsia="Arial" w:hAnsi="Arial"/>
          <w:sz w:val="36"/>
          <w:szCs w:val="36"/>
          <w:color w:val="auto"/>
          <w:vertAlign w:val="subscript"/>
        </w:rPr>
      </w:pPr>
    </w:p>
    <w:p>
      <w:pPr>
        <w:ind w:left="1120" w:right="60" w:hanging="329"/>
        <w:spacing w:after="0"/>
        <w:tabs>
          <w:tab w:leader="none" w:pos="1120" w:val="left"/>
        </w:tabs>
        <w:numPr>
          <w:ilvl w:val="0"/>
          <w:numId w:val="32"/>
        </w:numPr>
        <w:rPr>
          <w:rFonts w:ascii="Arial" w:cs="Arial" w:eastAsia="Arial" w:hAnsi="Arial"/>
          <w:sz w:val="27"/>
          <w:szCs w:val="27"/>
          <w:color w:val="auto"/>
          <w:vertAlign w:val="subscript"/>
        </w:rPr>
      </w:pPr>
      <w:r>
        <w:rPr>
          <w:rFonts w:ascii="Arial" w:cs="Arial" w:eastAsia="Arial" w:hAnsi="Arial"/>
          <w:sz w:val="12"/>
          <w:szCs w:val="12"/>
          <w:color w:val="auto"/>
        </w:rPr>
        <w:t>pay distributions on, or purchase or redeem or make any payments in respect of, capital stock or other securities ranking junior in right of payment to the 2019 Notes and 2025 Notes;</w:t>
      </w:r>
    </w:p>
    <w:p>
      <w:pPr>
        <w:spacing w:after="0" w:line="20" w:lineRule="exact"/>
        <w:rPr>
          <w:rFonts w:ascii="Arial" w:cs="Arial" w:eastAsia="Arial" w:hAnsi="Arial"/>
          <w:sz w:val="27"/>
          <w:szCs w:val="27"/>
          <w:color w:val="auto"/>
          <w:vertAlign w:val="subscript"/>
        </w:rPr>
      </w:pPr>
    </w:p>
    <w:p>
      <w:pPr>
        <w:ind w:left="1120" w:hanging="329"/>
        <w:spacing w:after="0" w:line="182" w:lineRule="auto"/>
        <w:tabs>
          <w:tab w:leader="none" w:pos="1120" w:val="left"/>
        </w:tabs>
        <w:numPr>
          <w:ilvl w:val="0"/>
          <w:numId w:val="32"/>
        </w:numPr>
        <w:rPr>
          <w:rFonts w:ascii="Arial" w:cs="Arial" w:eastAsia="Arial" w:hAnsi="Arial"/>
          <w:sz w:val="34"/>
          <w:szCs w:val="34"/>
          <w:color w:val="auto"/>
          <w:vertAlign w:val="subscript"/>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53" w:lineRule="exact"/>
        <w:rPr>
          <w:rFonts w:ascii="Arial" w:cs="Arial" w:eastAsia="Arial" w:hAnsi="Arial"/>
          <w:sz w:val="34"/>
          <w:szCs w:val="34"/>
          <w:color w:val="auto"/>
          <w:vertAlign w:val="subscript"/>
        </w:rPr>
      </w:pPr>
    </w:p>
    <w:p>
      <w:pPr>
        <w:ind w:left="1120" w:hanging="329"/>
        <w:spacing w:after="0" w:line="180" w:lineRule="auto"/>
        <w:tabs>
          <w:tab w:leader="none" w:pos="1120" w:val="left"/>
        </w:tabs>
        <w:numPr>
          <w:ilvl w:val="0"/>
          <w:numId w:val="32"/>
        </w:numPr>
        <w:rPr>
          <w:rFonts w:ascii="Arial" w:cs="Arial" w:eastAsia="Arial" w:hAnsi="Arial"/>
          <w:sz w:val="36"/>
          <w:szCs w:val="36"/>
          <w:color w:val="auto"/>
          <w:vertAlign w:val="subscript"/>
        </w:rPr>
      </w:pPr>
      <w:r>
        <w:rPr>
          <w:rFonts w:ascii="Arial" w:cs="Arial" w:eastAsia="Arial" w:hAnsi="Arial"/>
          <w:sz w:val="14"/>
          <w:szCs w:val="14"/>
          <w:color w:val="auto"/>
        </w:rPr>
        <w:t>enter into transactions with affiliates;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2"/>
        </w:numPr>
        <w:rPr>
          <w:rFonts w:ascii="Arial" w:cs="Arial" w:eastAsia="Arial" w:hAnsi="Arial"/>
          <w:sz w:val="36"/>
          <w:szCs w:val="36"/>
          <w:color w:val="auto"/>
          <w:vertAlign w:val="subscript"/>
        </w:rPr>
      </w:pPr>
      <w:r>
        <w:rPr>
          <w:rFonts w:ascii="Arial" w:cs="Arial" w:eastAsia="Arial" w:hAnsi="Arial"/>
          <w:sz w:val="14"/>
          <w:szCs w:val="14"/>
          <w:color w:val="auto"/>
        </w:rPr>
        <w:t>create liens (including liens on the shares of our subsidiaries) or enter into sale and leaseback transactions;</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2"/>
        </w:numPr>
        <w:rPr>
          <w:rFonts w:ascii="Arial" w:cs="Arial" w:eastAsia="Arial" w:hAnsi="Arial"/>
          <w:sz w:val="36"/>
          <w:szCs w:val="36"/>
          <w:color w:val="auto"/>
          <w:vertAlign w:val="subscript"/>
        </w:rPr>
      </w:pPr>
      <w:r>
        <w:rPr>
          <w:rFonts w:ascii="Arial" w:cs="Arial" w:eastAsia="Arial" w:hAnsi="Arial"/>
          <w:sz w:val="14"/>
          <w:szCs w:val="14"/>
          <w:color w:val="auto"/>
        </w:rPr>
        <w:t>make investments; or</w:t>
      </w:r>
    </w:p>
    <w:p>
      <w:pPr>
        <w:spacing w:after="0" w:line="54" w:lineRule="exact"/>
        <w:rPr>
          <w:rFonts w:ascii="Arial" w:cs="Arial" w:eastAsia="Arial" w:hAnsi="Arial"/>
          <w:sz w:val="36"/>
          <w:szCs w:val="36"/>
          <w:color w:val="auto"/>
          <w:vertAlign w:val="subscript"/>
        </w:rPr>
      </w:pPr>
    </w:p>
    <w:p>
      <w:pPr>
        <w:ind w:left="1120" w:hanging="329"/>
        <w:spacing w:after="0" w:line="180" w:lineRule="auto"/>
        <w:tabs>
          <w:tab w:leader="none" w:pos="1120" w:val="left"/>
        </w:tabs>
        <w:numPr>
          <w:ilvl w:val="0"/>
          <w:numId w:val="32"/>
        </w:numPr>
        <w:rPr>
          <w:rFonts w:ascii="Arial" w:cs="Arial" w:eastAsia="Arial" w:hAnsi="Arial"/>
          <w:sz w:val="36"/>
          <w:szCs w:val="36"/>
          <w:color w:val="auto"/>
          <w:vertAlign w:val="subscript"/>
        </w:rPr>
      </w:pPr>
      <w:r>
        <w:rPr>
          <w:rFonts w:ascii="Arial" w:cs="Arial" w:eastAsia="Arial" w:hAnsi="Arial"/>
          <w:sz w:val="14"/>
          <w:szCs w:val="14"/>
          <w:color w:val="auto"/>
        </w:rPr>
        <w:t>create restrictions on the payment of distributions or other amounts to us from our subsidiaries.</w:t>
      </w:r>
    </w:p>
    <w:p>
      <w:pPr>
        <w:spacing w:after="0" w:line="184" w:lineRule="exact"/>
        <w:rPr>
          <w:sz w:val="20"/>
          <w:szCs w:val="20"/>
          <w:color w:val="auto"/>
        </w:rPr>
      </w:pPr>
    </w:p>
    <w:p>
      <w:pPr>
        <w:ind w:right="100" w:firstLine="674"/>
        <w:spacing w:after="0" w:line="238" w:lineRule="auto"/>
        <w:rPr>
          <w:sz w:val="20"/>
          <w:szCs w:val="20"/>
          <w:color w:val="auto"/>
        </w:rPr>
      </w:pPr>
      <w:r>
        <w:rPr>
          <w:rFonts w:ascii="Arial" w:cs="Arial" w:eastAsia="Arial" w:hAnsi="Arial"/>
          <w:sz w:val="14"/>
          <w:szCs w:val="14"/>
          <w:color w:val="auto"/>
        </w:rPr>
        <w:t>Furthermore, the terms of the indenture and the 2019 Notes and 2025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2" w:lineRule="exact"/>
        <w:rPr>
          <w:sz w:val="20"/>
          <w:szCs w:val="20"/>
          <w:color w:val="auto"/>
        </w:rPr>
      </w:pPr>
    </w:p>
    <w:p>
      <w:pPr>
        <w:ind w:right="440" w:firstLine="674"/>
        <w:spacing w:after="0" w:line="290" w:lineRule="auto"/>
        <w:rPr>
          <w:sz w:val="20"/>
          <w:szCs w:val="20"/>
          <w:color w:val="auto"/>
        </w:rPr>
      </w:pPr>
      <w:r>
        <w:rPr>
          <w:rFonts w:ascii="Arial" w:cs="Arial" w:eastAsia="Arial" w:hAnsi="Arial"/>
          <w:sz w:val="13"/>
          <w:szCs w:val="13"/>
          <w:color w:val="auto"/>
        </w:rPr>
        <w:t>Our ability to recapitalize, incur additional debt and take a number of other actions that are not limited by the terms of the 2019 Notes and 2025 Notes may have important consequences for their holders, including making it more difficult for us to satisfy our obligations with respect to the 2019 Notes and 2025 Notes or negatively affecting their trading value.</w:t>
      </w:r>
    </w:p>
    <w:p>
      <w:pPr>
        <w:spacing w:after="0" w:line="84"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the 2019 Notes and 2025 Notes. In addition, other debt we issue or incur in the future could contain more protections for its holders than the indenture and the 2019 Notes and 2025 Notes, including additional covenants and events of default. The issuance or incurrence of any such debt with incremental protections could affect the market for and trading levels and prices of the 2019 Notes and 2025 Notes.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24"/>
        <w:spacing w:after="0" w:line="290" w:lineRule="auto"/>
        <w:rPr>
          <w:sz w:val="20"/>
          <w:szCs w:val="20"/>
          <w:color w:val="auto"/>
        </w:rPr>
      </w:pPr>
      <w:r>
        <w:rPr>
          <w:rFonts w:ascii="Arial" w:cs="Arial" w:eastAsia="Arial" w:hAnsi="Arial"/>
          <w:sz w:val="13"/>
          <w:szCs w:val="13"/>
          <w:b w:val="1"/>
          <w:bCs w:val="1"/>
          <w:i w:val="1"/>
          <w:iCs w:val="1"/>
          <w:color w:val="auto"/>
        </w:rPr>
        <w:t>An active trading market for the 2019 Notes and 2025 Notes may not develop, which could limit their market price or the ability of their respective holders to sell them. If a rating agency assigns the 2019 Notes and 2025 Notes a non-investment grade rating, they may be subject to greater price volatility than similar securities without such a rating.</w:t>
      </w:r>
    </w:p>
    <w:p>
      <w:pPr>
        <w:spacing w:after="0" w:line="84" w:lineRule="exact"/>
        <w:rPr>
          <w:sz w:val="20"/>
          <w:szCs w:val="20"/>
          <w:color w:val="auto"/>
        </w:rPr>
      </w:pPr>
    </w:p>
    <w:p>
      <w:pPr>
        <w:ind w:right="20" w:firstLine="674"/>
        <w:spacing w:after="0" w:line="227" w:lineRule="auto"/>
        <w:rPr>
          <w:sz w:val="20"/>
          <w:szCs w:val="20"/>
          <w:color w:val="auto"/>
        </w:rPr>
      </w:pPr>
      <w:r>
        <w:rPr>
          <w:rFonts w:ascii="Arial" w:cs="Arial" w:eastAsia="Arial" w:hAnsi="Arial"/>
          <w:sz w:val="14"/>
          <w:szCs w:val="14"/>
          <w:color w:val="auto"/>
        </w:rPr>
        <w:t>We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The 2019 Notes and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2019 Notes and 2025 Notes a non-investment grade rating, they may be subject to greater price volatility than securities of similar maturity without such a non-investment grade rating. We cannot assure holders of the 2019 Notes and 2025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the 2019 Notes and 2025 Notes may be harmed. Accordingly, holders of the 2019 Notes and 2025 Notes may be required to bear the financial risk for an indefinite period of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2019 Notes and 2025 Notes.</w:t>
      </w:r>
    </w:p>
    <w:p>
      <w:pPr>
        <w:spacing w:after="0" w:line="123" w:lineRule="exact"/>
        <w:rPr>
          <w:sz w:val="20"/>
          <w:szCs w:val="20"/>
          <w:color w:val="auto"/>
        </w:rPr>
      </w:pPr>
    </w:p>
    <w:p>
      <w:pPr>
        <w:ind w:right="20" w:firstLine="674"/>
        <w:spacing w:after="0" w:line="243" w:lineRule="auto"/>
        <w:rPr>
          <w:sz w:val="20"/>
          <w:szCs w:val="20"/>
          <w:color w:val="auto"/>
        </w:rPr>
      </w:pPr>
      <w:r>
        <w:rPr>
          <w:rFonts w:ascii="Arial" w:cs="Arial" w:eastAsia="Arial" w:hAnsi="Arial"/>
          <w:sz w:val="13"/>
          <w:szCs w:val="13"/>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2019 Notes and 2025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Payments made under the 2019 Notes and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2019 Notes and 2025 Notes, unless the foreign financial institution or non-financial foreign entity complies with certain information reporting, withholding, identification, certification and related requirements imposed by FATCA. Holders of the 2019 Notes and 2025 Notes should consult their own tax advisors regarding FATCA and how it may affect their investment in the 2019 Notes and 2025 Notes.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right="260" w:firstLine="674"/>
        <w:spacing w:after="0" w:line="253" w:lineRule="auto"/>
        <w:rPr>
          <w:sz w:val="20"/>
          <w:szCs w:val="20"/>
          <w:color w:val="auto"/>
        </w:rPr>
      </w:pPr>
      <w:r>
        <w:rPr>
          <w:rFonts w:ascii="Arial" w:cs="Arial" w:eastAsia="Arial" w:hAnsi="Arial"/>
          <w:sz w:val="14"/>
          <w:szCs w:val="14"/>
          <w:color w:val="auto"/>
        </w:rPr>
        <w:t>As of September 30, 2014,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27"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180"/>
          </w:cols>
          <w:pgMar w:left="32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PRICE RANGE OF COMMON STOCK</w:t>
      </w:r>
    </w:p>
    <w:p>
      <w:pPr>
        <w:spacing w:after="0" w:line="140" w:lineRule="exact"/>
        <w:rPr>
          <w:sz w:val="20"/>
          <w:szCs w:val="20"/>
          <w:color w:val="auto"/>
        </w:rPr>
      </w:pPr>
    </w:p>
    <w:p>
      <w:pPr>
        <w:ind w:right="160" w:firstLine="674"/>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quarterly distributions per share since October 1,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Premium /</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Premium /</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Closing Sale Prices</w:t>
            </w:r>
          </w:p>
        </w:tc>
        <w:tc>
          <w:tcPr>
            <w:tcW w:w="360" w:type="dxa"/>
            <w:vAlign w:val="bottom"/>
            <w:vMerge w:val="restart"/>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(Discount)</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(Discount)</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Borders>
              <w:bottom w:val="single" w:sz="8" w:color="auto"/>
            </w:tcBorders>
            <w:gridSpan w:val="3"/>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of High Sale</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of Low Sale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Low</w:t>
            </w:r>
          </w:p>
        </w:tc>
        <w:tc>
          <w:tcPr>
            <w:tcW w:w="118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w w:val="94"/>
              </w:rPr>
              <w:t>Price to NAV</w:t>
            </w:r>
          </w:p>
        </w:tc>
        <w:tc>
          <w:tcPr>
            <w:tcW w:w="1120" w:type="dxa"/>
            <w:vAlign w:val="bottom"/>
            <w:gridSpan w:val="2"/>
          </w:tcPr>
          <w:p>
            <w:pPr>
              <w:jc w:val="center"/>
              <w:ind w:right="440"/>
              <w:spacing w:after="0" w:line="122" w:lineRule="exact"/>
              <w:rPr>
                <w:sz w:val="20"/>
                <w:szCs w:val="20"/>
                <w:color w:val="auto"/>
              </w:rPr>
            </w:pPr>
            <w:r>
              <w:rPr>
                <w:rFonts w:ascii="Arial" w:cs="Arial" w:eastAsia="Arial" w:hAnsi="Arial"/>
                <w:sz w:val="14"/>
                <w:szCs w:val="14"/>
                <w:b w:val="1"/>
                <w:bCs w:val="1"/>
                <w:color w:val="auto"/>
                <w:w w:val="93"/>
              </w:rPr>
              <w:t>Price to</w:t>
            </w:r>
          </w:p>
        </w:tc>
        <w:tc>
          <w:tcPr>
            <w:tcW w:w="98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62"/>
        </w:trPr>
        <w:tc>
          <w:tcPr>
            <w:tcW w:w="44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 xml:space="preserve">NAV </w:t>
            </w:r>
            <w:r>
              <w:rPr>
                <w:rFonts w:ascii="Arial" w:cs="Arial" w:eastAsia="Arial" w:hAnsi="Arial"/>
                <w:sz w:val="12"/>
                <w:szCs w:val="12"/>
                <w:b w:val="1"/>
                <w:bCs w:val="1"/>
                <w:color w:val="auto"/>
                <w:w w:val="99"/>
              </w:rPr>
              <w:t>(2)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2014</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$11.03</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  11.91</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  10.91</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  0.28</w:t>
            </w: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11.33</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11.49</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10.46</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11.13</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11.65</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10.89</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12.17</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10.83</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2013</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11.83</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10.97</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440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10.43</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11.83</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10.45</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12.18</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11.01</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2"/>
        </w:trPr>
        <w:tc>
          <w:tcPr>
            <w:tcW w:w="4400" w:type="dxa"/>
            <w:vAlign w:val="bottom"/>
            <w:gridSpan w:val="2"/>
          </w:tcPr>
          <w:p>
            <w:pPr>
              <w:spacing w:after="0"/>
              <w:rPr>
                <w:sz w:val="20"/>
                <w:szCs w:val="20"/>
                <w:color w:val="auto"/>
              </w:rPr>
            </w:pPr>
            <w:r>
              <w:rPr>
                <w:rFonts w:ascii="Arial" w:cs="Arial" w:eastAsia="Arial" w:hAnsi="Arial"/>
                <w:sz w:val="14"/>
                <w:szCs w:val="14"/>
                <w:color w:val="auto"/>
              </w:rPr>
              <w:t>First quarter</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10.38</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11.10</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10.07</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7</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637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3" w:lineRule="exact"/>
        <w:rPr>
          <w:sz w:val="20"/>
          <w:szCs w:val="20"/>
          <w:color w:val="auto"/>
        </w:rPr>
      </w:pPr>
    </w:p>
    <w:p>
      <w:pPr>
        <w:ind w:left="340" w:right="300" w:hanging="332"/>
        <w:spacing w:after="0" w:line="230"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Calculated as of the respective high or low closing sale prices less NAV per share, divided by the quarter-end NAV per share.</w:t>
      </w:r>
    </w:p>
    <w:p>
      <w:pPr>
        <w:spacing w:after="0" w:line="273" w:lineRule="exact"/>
        <w:rPr>
          <w:sz w:val="20"/>
          <w:szCs w:val="20"/>
          <w:color w:val="auto"/>
        </w:rPr>
      </w:pPr>
    </w:p>
    <w:p>
      <w:pPr>
        <w:ind w:firstLine="674"/>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$10.91 and $11.28 as of September 30, 2014 and 2013, respectively. Our NAV per share was $11.03 and $10.49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12, 2014, we had eleven stockholders of record.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in the last two fiscal years.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Distributions</w:t>
            </w:r>
          </w:p>
        </w:tc>
        <w:tc>
          <w:tcPr>
            <w:tcW w:w="0" w:type="dxa"/>
            <w:vAlign w:val="bottom"/>
          </w:tcPr>
          <w:p>
            <w:pPr>
              <w:spacing w:after="0"/>
              <w:rPr>
                <w:sz w:val="1"/>
                <w:szCs w:val="1"/>
                <w:color w:val="auto"/>
              </w:rPr>
            </w:pPr>
          </w:p>
        </w:tc>
      </w:tr>
      <w:tr>
        <w:trPr>
          <w:trHeight w:val="171"/>
        </w:trPr>
        <w:tc>
          <w:tcPr>
            <w:tcW w:w="70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6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2014</w:t>
            </w:r>
          </w:p>
        </w:tc>
        <w:tc>
          <w:tcPr>
            <w:tcW w:w="4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September 26, 2014</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October 1, 2014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7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June 19, 2014</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1, 2014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9"/>
        </w:trPr>
        <w:tc>
          <w:tcPr>
            <w:tcW w:w="7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March 20, 2014</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April 1, 2014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7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December 20, 2013</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2, 2014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76"/>
        </w:trPr>
        <w:tc>
          <w:tcPr>
            <w:tcW w:w="7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6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2013</w:t>
            </w: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September 20, 2013</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October 1, 2013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7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June 21, 2013</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1, 2013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7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March 22, 2013</w:t>
            </w: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April 1, 2013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7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December 21, 2012</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2, 2013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76"/>
        </w:trPr>
        <w:tc>
          <w:tcPr>
            <w:tcW w:w="7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20" w:firstLine="674"/>
        <w:spacing w:after="0" w:line="253" w:lineRule="auto"/>
        <w:rPr>
          <w:sz w:val="20"/>
          <w:szCs w:val="20"/>
          <w:color w:val="auto"/>
        </w:rPr>
      </w:pPr>
      <w:r>
        <w:rPr>
          <w:rFonts w:ascii="Arial" w:cs="Arial" w:eastAsia="Arial" w:hAnsi="Arial"/>
          <w:sz w:val="14"/>
          <w:szCs w:val="14"/>
          <w:color w:val="auto"/>
        </w:rPr>
        <w:t>In January 2015, a Form 1099-DIV will be sent to stockholders that will state the amount and composition of distributions and provide information with respect to appropriate tax treatment of our distributions.</w:t>
      </w:r>
    </w:p>
    <w:p>
      <w:pPr>
        <w:spacing w:after="0" w:line="93" w:lineRule="exact"/>
        <w:rPr>
          <w:sz w:val="20"/>
          <w:szCs w:val="20"/>
          <w:color w:val="auto"/>
        </w:rPr>
      </w:pPr>
    </w:p>
    <w:p>
      <w:pPr>
        <w:jc w:val="both"/>
        <w:ind w:firstLine="674"/>
        <w:spacing w:after="0" w:line="238"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2014, 2013 and 2012 were solely from ordinary income and totaled $76.9 million, or $1.12 per share, $74.4 million, or $1.12 per share and $60.1 million, or $1.12 per share, respectively, based on weighted average shares outstanding for the respective periods.</w:t>
      </w:r>
    </w:p>
    <w:p>
      <w:pPr>
        <w:spacing w:after="0" w:line="115" w:lineRule="exact"/>
        <w:rPr>
          <w:sz w:val="20"/>
          <w:szCs w:val="20"/>
          <w:color w:val="auto"/>
        </w:rPr>
      </w:pPr>
    </w:p>
    <w:p>
      <w:pPr>
        <w:ind w:right="180" w:firstLine="674"/>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4"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distributions or distributions at a particular level.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2014.</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60"/>
          </w:cols>
          <w:pgMar w:left="32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36" w:lineRule="exact"/>
        <w:rPr>
          <w:sz w:val="20"/>
          <w:szCs w:val="20"/>
          <w:color w:val="auto"/>
        </w:rPr>
      </w:pPr>
    </w:p>
    <w:p>
      <w:pPr>
        <w:ind w:right="80" w:firstLine="674"/>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2009,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170180</wp:posOffset>
            </wp:positionV>
            <wp:extent cx="5194935" cy="2245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9493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74"/>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40"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years ended September 30,</w:t>
            </w: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06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10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   147,936</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   129,187</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   113,392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91,738</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60,140</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76,608</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62,189</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56,323</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39,093</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28,065</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71,329</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66,998</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57,069</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52,645</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32,075</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39,655</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24,780</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6,284</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5"/>
              </w:rPr>
              <w:t>(42,382)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(15,539)</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110,983</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91,778</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63,353</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10,263</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16,535</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11.03</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10.49</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10.22</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10.13</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10.69</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1.06</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1.01</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1.08</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1.25</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0.60</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0.38</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0.12</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(1.01)</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1.66</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1.39</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1.20</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0.24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0.56</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1.15</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1.12</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1.13</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1.10</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w:t>
            </w: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w:t>
            </w: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1,411,827</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1,153,327</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1,018,968</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98"/>
              </w:rPr>
              <w:t>928,738</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711,494</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1,318,055</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1,078,176</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990,480</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8"/>
              </w:rPr>
              <w:t>827,549</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664,724</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(3)</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526,668</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363,900</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294,452</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w w:val="98"/>
              </w:rPr>
              <w:t>388,792</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233,641</w:t>
            </w: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10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828,010</w:t>
            </w:r>
          </w:p>
        </w:tc>
        <w:tc>
          <w:tcPr>
            <w:tcW w:w="12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697,506</w:t>
            </w: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669,717</w:t>
            </w:r>
          </w:p>
        </w:tc>
        <w:tc>
          <w:tcPr>
            <w:tcW w:w="320" w:type="dxa"/>
            <w:vAlign w:val="bottom"/>
          </w:tcPr>
          <w:p>
            <w:pPr>
              <w:spacing w:after="0"/>
              <w:rPr>
                <w:sz w:val="12"/>
                <w:szCs w:val="12"/>
                <w:color w:val="auto"/>
              </w:rPr>
            </w:pPr>
          </w:p>
        </w:tc>
        <w:tc>
          <w:tcPr>
            <w:tcW w:w="860" w:type="dxa"/>
            <w:vAlign w:val="bottom"/>
          </w:tcPr>
          <w:p>
            <w:pPr>
              <w:jc w:val="right"/>
              <w:ind w:right="268"/>
              <w:spacing w:after="0" w:line="149" w:lineRule="exact"/>
              <w:rPr>
                <w:sz w:val="20"/>
                <w:szCs w:val="20"/>
                <w:color w:val="auto"/>
              </w:rPr>
            </w:pPr>
            <w:r>
              <w:rPr>
                <w:rFonts w:ascii="Arial" w:cs="Arial" w:eastAsia="Arial" w:hAnsi="Arial"/>
                <w:sz w:val="14"/>
                <w:szCs w:val="14"/>
                <w:color w:val="auto"/>
                <w:w w:val="98"/>
              </w:rPr>
              <w:t>462,657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386,575</w:t>
            </w: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10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(4)</w:t>
            </w: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6.76%</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17.37%</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28.71%</w:t>
            </w:r>
          </w:p>
        </w:tc>
        <w:tc>
          <w:tcPr>
            <w:tcW w:w="32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(7.37)%</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44.79%</w:t>
            </w: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10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67</w:t>
            </w:r>
          </w:p>
        </w:tc>
        <w:tc>
          <w:tcPr>
            <w:tcW w:w="12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61</w:t>
            </w:r>
          </w:p>
        </w:tc>
        <w:tc>
          <w:tcPr>
            <w:tcW w:w="12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54</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48</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w:t>
            </w:r>
          </w:p>
        </w:tc>
      </w:tr>
      <w:tr>
        <w:trPr>
          <w:trHeight w:val="182"/>
        </w:trPr>
        <w:tc>
          <w:tcPr>
            <w:tcW w:w="540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13.0%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13.2%</w:t>
            </w:r>
          </w:p>
        </w:tc>
        <w:tc>
          <w:tcPr>
            <w:tcW w:w="32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13.3%</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637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460" w:hanging="452"/>
        <w:spacing w:after="0" w:line="221" w:lineRule="auto"/>
        <w:tabs>
          <w:tab w:leader="none" w:pos="4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which may differ from amounts determined under GAAP.</w:t>
      </w:r>
    </w:p>
    <w:p>
      <w:pPr>
        <w:ind w:left="460" w:hanging="452"/>
        <w:spacing w:after="0" w:line="221" w:lineRule="auto"/>
        <w:tabs>
          <w:tab w:leader="none" w:pos="4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At fair value.</w:t>
      </w:r>
    </w:p>
    <w:p>
      <w:pPr>
        <w:ind w:left="460" w:hanging="452"/>
        <w:spacing w:after="0" w:line="221" w:lineRule="auto"/>
        <w:tabs>
          <w:tab w:leader="none" w:pos="4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34"/>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520"/>
        <w:spacing w:after="0" w:line="335" w:lineRule="auto"/>
        <w:rPr>
          <w:sz w:val="20"/>
          <w:szCs w:val="20"/>
          <w:color w:val="auto"/>
        </w:rPr>
      </w:pPr>
      <w:r>
        <w:rPr>
          <w:rFonts w:ascii="Arial" w:cs="Arial" w:eastAsia="Arial" w:hAnsi="Arial"/>
          <w:sz w:val="14"/>
          <w:szCs w:val="14"/>
          <w:b w:val="1"/>
          <w:bCs w:val="1"/>
          <w:color w:val="auto"/>
        </w:rPr>
        <w:t>Item 7. MANAGEMENT’S DISCUSSION AND ANALYSIS OF FINANCIAL CONDITION AND RESULTS OF OPERATIONS FORWARD-LOOKING STATEMENTS</w:t>
      </w:r>
    </w:p>
    <w:p>
      <w:pPr>
        <w:ind w:right="80" w:firstLine="67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ind w:left="2240" w:hanging="1004"/>
        <w:spacing w:after="0" w:line="183" w:lineRule="auto"/>
        <w:tabs>
          <w:tab w:leader="none" w:pos="2240" w:val="left"/>
        </w:tabs>
        <w:numPr>
          <w:ilvl w:val="0"/>
          <w:numId w:val="35"/>
        </w:numPr>
        <w:rPr>
          <w:rFonts w:ascii="Arial" w:cs="Arial" w:eastAsia="Arial" w:hAnsi="Arial"/>
          <w:sz w:val="34"/>
          <w:szCs w:val="34"/>
          <w:color w:val="auto"/>
          <w:vertAlign w:val="subscript"/>
        </w:rPr>
      </w:pPr>
      <w:r>
        <w:rPr>
          <w:rFonts w:ascii="Arial" w:cs="Arial" w:eastAsia="Arial" w:hAnsi="Arial"/>
          <w:sz w:val="14"/>
          <w:szCs w:val="14"/>
          <w:color w:val="auto"/>
        </w:rPr>
        <w:t>our future operating results;</w:t>
      </w:r>
    </w:p>
    <w:p>
      <w:pPr>
        <w:spacing w:after="0" w:line="53" w:lineRule="exact"/>
        <w:rPr>
          <w:rFonts w:ascii="Arial" w:cs="Arial" w:eastAsia="Arial" w:hAnsi="Arial"/>
          <w:sz w:val="34"/>
          <w:szCs w:val="34"/>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our business prospects and the prospects of our prospective portfolio companies;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dependence of our future success on the general economy and its impact on the industries in which we invest;</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a protracted decline in the liquidity of credit markets on our business;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investments that we expect to make;</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fluctuations in interest rates and foreign exchange rates on our business and our portfolio companies;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our contractual arrangements and relationships with third parties;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valuation of our investments in portfolio companies, particularly those having no liquid trading market;</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ability of our prospective portfolio companies to achieve their objectives;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our expected financings and investments;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adequacy of our cash resources and working capital;</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timing of cash flows, if any, from the operations of our prospective portfolio companies;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price and volume fluctuations in the stock market;</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future legislation and regulation on our business and our portfolio companies; and</w:t>
      </w:r>
    </w:p>
    <w:p>
      <w:pPr>
        <w:spacing w:after="0" w:line="54" w:lineRule="exact"/>
        <w:rPr>
          <w:rFonts w:ascii="Arial" w:cs="Arial" w:eastAsia="Arial" w:hAnsi="Arial"/>
          <w:sz w:val="36"/>
          <w:szCs w:val="36"/>
          <w:color w:val="auto"/>
          <w:vertAlign w:val="subscript"/>
        </w:rPr>
      </w:pPr>
    </w:p>
    <w:p>
      <w:pPr>
        <w:ind w:left="2240" w:hanging="1004"/>
        <w:spacing w:after="0" w:line="180" w:lineRule="auto"/>
        <w:tabs>
          <w:tab w:leader="none" w:pos="2240" w:val="left"/>
        </w:tabs>
        <w:numPr>
          <w:ilvl w:val="0"/>
          <w:numId w:val="35"/>
        </w:numPr>
        <w:rPr>
          <w:rFonts w:ascii="Arial" w:cs="Arial" w:eastAsia="Arial" w:hAnsi="Arial"/>
          <w:sz w:val="36"/>
          <w:szCs w:val="36"/>
          <w:color w:val="auto"/>
          <w:vertAlign w:val="subscript"/>
        </w:rPr>
      </w:pPr>
      <w:r>
        <w:rPr>
          <w:rFonts w:ascii="Arial" w:cs="Arial" w:eastAsia="Arial" w:hAnsi="Arial"/>
          <w:sz w:val="14"/>
          <w:szCs w:val="14"/>
          <w:color w:val="auto"/>
        </w:rPr>
        <w:t>the impact of European sovereign debt issues.</w:t>
      </w:r>
    </w:p>
    <w:p>
      <w:pPr>
        <w:spacing w:after="0" w:line="184" w:lineRule="exact"/>
        <w:rPr>
          <w:sz w:val="20"/>
          <w:szCs w:val="20"/>
          <w:color w:val="auto"/>
        </w:rPr>
      </w:pPr>
    </w:p>
    <w:p>
      <w:pPr>
        <w:ind w:right="100" w:firstLine="674"/>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17" w:lineRule="exact"/>
        <w:rPr>
          <w:sz w:val="20"/>
          <w:szCs w:val="20"/>
          <w:color w:val="auto"/>
        </w:rPr>
      </w:pPr>
    </w:p>
    <w:p>
      <w:pPr>
        <w:ind w:right="180" w:firstLine="67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260" w:firstLine="674"/>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3" w:lineRule="exact"/>
        <w:rPr>
          <w:sz w:val="20"/>
          <w:szCs w:val="20"/>
          <w:color w:val="auto"/>
        </w:rPr>
      </w:pPr>
    </w:p>
    <w:p>
      <w:pPr>
        <w:ind w:right="300" w:firstLine="67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124" w:lineRule="exact"/>
        <w:rPr>
          <w:sz w:val="20"/>
          <w:szCs w:val="20"/>
          <w:color w:val="auto"/>
        </w:rPr>
      </w:pPr>
    </w:p>
    <w:p>
      <w:pPr>
        <w:ind w:right="40" w:firstLine="674"/>
        <w:spacing w:after="0" w:line="228" w:lineRule="auto"/>
        <w:rPr>
          <w:sz w:val="20"/>
          <w:szCs w:val="20"/>
          <w:color w:val="auto"/>
        </w:rPr>
      </w:pPr>
      <w:r>
        <w:rPr>
          <w:rFonts w:ascii="Arial" w:cs="Arial" w:eastAsia="Arial" w:hAnsi="Arial"/>
          <w:sz w:val="14"/>
          <w:szCs w:val="14"/>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7" w:lineRule="exact"/>
        <w:rPr>
          <w:sz w:val="20"/>
          <w:szCs w:val="20"/>
          <w:color w:val="auto"/>
        </w:rPr>
      </w:pPr>
    </w:p>
    <w:p>
      <w:pPr>
        <w:jc w:val="both"/>
        <w:ind w:right="120" w:firstLine="674"/>
        <w:spacing w:after="0" w:line="264"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ectPr>
          <w:pgSz w:w="11900" w:h="16838" w:orient="portrait"/>
          <w:cols w:equalWidth="0" w:num="1">
            <w:col w:w="11200"/>
          </w:cols>
          <w:pgMar w:left="320" w:top="459" w:right="379" w:bottom="1440" w:gutter="0" w:footer="0" w:header="0"/>
        </w:sectPr>
      </w:pP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200"/>
          </w:cols>
          <w:pgMar w:left="320" w:top="459" w:right="3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60" w:firstLine="67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02" w:lineRule="exact"/>
        <w:rPr>
          <w:sz w:val="20"/>
          <w:szCs w:val="20"/>
          <w:color w:val="auto"/>
        </w:rPr>
      </w:pPr>
    </w:p>
    <w:p>
      <w:pPr>
        <w:ind w:right="80" w:firstLine="67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ind w:left="1100" w:hanging="431"/>
        <w:spacing w:after="0" w:line="183" w:lineRule="auto"/>
        <w:tabs>
          <w:tab w:leader="none" w:pos="1100" w:val="left"/>
        </w:tabs>
        <w:numPr>
          <w:ilvl w:val="0"/>
          <w:numId w:val="36"/>
        </w:numPr>
        <w:rPr>
          <w:rFonts w:ascii="Arial" w:cs="Arial" w:eastAsia="Arial" w:hAnsi="Arial"/>
          <w:sz w:val="34"/>
          <w:szCs w:val="34"/>
          <w:color w:val="auto"/>
          <w:vertAlign w:val="subscript"/>
        </w:rPr>
      </w:pPr>
      <w:r>
        <w:rPr>
          <w:rFonts w:ascii="Arial" w:cs="Arial" w:eastAsia="Arial" w:hAnsi="Arial"/>
          <w:sz w:val="14"/>
          <w:szCs w:val="14"/>
          <w:color w:val="auto"/>
        </w:rPr>
        <w:t>the cost of calculating our net asset value, including the cost of any third-party valuation services;</w:t>
      </w:r>
    </w:p>
    <w:p>
      <w:pPr>
        <w:spacing w:after="0" w:line="53" w:lineRule="exact"/>
        <w:rPr>
          <w:rFonts w:ascii="Arial" w:cs="Arial" w:eastAsia="Arial" w:hAnsi="Arial"/>
          <w:sz w:val="34"/>
          <w:szCs w:val="34"/>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the cost of effecting sales and repurchases of shares of our common stock and other securities;</w:t>
      </w:r>
    </w:p>
    <w:p>
      <w:pPr>
        <w:spacing w:after="0" w:line="183" w:lineRule="exact"/>
        <w:rPr>
          <w:rFonts w:ascii="Arial" w:cs="Arial" w:eastAsia="Arial" w:hAnsi="Arial"/>
          <w:sz w:val="36"/>
          <w:szCs w:val="36"/>
          <w:color w:val="auto"/>
          <w:vertAlign w:val="subscript"/>
        </w:rPr>
      </w:pPr>
    </w:p>
    <w:p>
      <w:pPr>
        <w:ind w:left="1100" w:right="620" w:hanging="431"/>
        <w:spacing w:after="0" w:line="181" w:lineRule="auto"/>
        <w:tabs>
          <w:tab w:leader="none" w:pos="1100" w:val="left"/>
        </w:tabs>
        <w:numPr>
          <w:ilvl w:val="0"/>
          <w:numId w:val="36"/>
        </w:numPr>
        <w:rPr>
          <w:rFonts w:ascii="Arial" w:cs="Arial" w:eastAsia="Arial" w:hAnsi="Arial"/>
          <w:sz w:val="26"/>
          <w:szCs w:val="26"/>
          <w:color w:val="auto"/>
          <w:vertAlign w:val="subscript"/>
        </w:rPr>
      </w:pPr>
      <w:r>
        <w:rPr>
          <w:rFonts w:ascii="Arial" w:cs="Arial" w:eastAsia="Arial" w:hAnsi="Arial"/>
          <w:sz w:val="12"/>
          <w:szCs w:val="12"/>
          <w:color w:val="auto"/>
        </w:rPr>
        <w:t>fees payable to third parties relating to, or associated with, making investments, including fees and expenses associated with performing due diligence and reviews of prospective investments or complimentary businesses;</w:t>
      </w:r>
    </w:p>
    <w:p>
      <w:pPr>
        <w:spacing w:after="0" w:line="1" w:lineRule="exact"/>
        <w:rPr>
          <w:rFonts w:ascii="Arial" w:cs="Arial" w:eastAsia="Arial" w:hAnsi="Arial"/>
          <w:sz w:val="26"/>
          <w:szCs w:val="26"/>
          <w:color w:val="auto"/>
          <w:vertAlign w:val="subscript"/>
        </w:rPr>
      </w:pPr>
    </w:p>
    <w:p>
      <w:pPr>
        <w:ind w:left="1100" w:hanging="431"/>
        <w:spacing w:after="0" w:line="182" w:lineRule="auto"/>
        <w:tabs>
          <w:tab w:leader="none" w:pos="1100" w:val="left"/>
        </w:tabs>
        <w:numPr>
          <w:ilvl w:val="0"/>
          <w:numId w:val="36"/>
        </w:numPr>
        <w:rPr>
          <w:rFonts w:ascii="Arial" w:cs="Arial" w:eastAsia="Arial" w:hAnsi="Arial"/>
          <w:sz w:val="34"/>
          <w:szCs w:val="34"/>
          <w:color w:val="auto"/>
          <w:vertAlign w:val="subscript"/>
        </w:rPr>
      </w:pPr>
      <w:r>
        <w:rPr>
          <w:rFonts w:ascii="Arial" w:cs="Arial" w:eastAsia="Arial" w:hAnsi="Arial"/>
          <w:sz w:val="14"/>
          <w:szCs w:val="14"/>
          <w:color w:val="auto"/>
        </w:rPr>
        <w:t>expenses incurred by the Investment Adviser in performing due diligence and reviews of investments;</w:t>
      </w:r>
    </w:p>
    <w:p>
      <w:pPr>
        <w:spacing w:after="0" w:line="53" w:lineRule="exact"/>
        <w:rPr>
          <w:rFonts w:ascii="Arial" w:cs="Arial" w:eastAsia="Arial" w:hAnsi="Arial"/>
          <w:sz w:val="34"/>
          <w:szCs w:val="34"/>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transfer agent and custodial fees;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fees and expenses associated with marketing efforts;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federal and state registration fees and any exchange listing fees;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federal, state, local and foreign taxes;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independent directors’ fees and expenses;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brokerage commissions;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fidelity bond, directors and officers, errors and omissions liability insurance and other insurance premiums;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direct costs such as printing, mailing, long distance telephone and staff;</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fees and expenses associated with independent audits and outside legal costs;</w:t>
      </w:r>
    </w:p>
    <w:p>
      <w:pPr>
        <w:spacing w:after="0" w:line="54" w:lineRule="exact"/>
        <w:rPr>
          <w:rFonts w:ascii="Arial" w:cs="Arial" w:eastAsia="Arial" w:hAnsi="Arial"/>
          <w:sz w:val="36"/>
          <w:szCs w:val="36"/>
          <w:color w:val="auto"/>
          <w:vertAlign w:val="subscript"/>
        </w:rPr>
      </w:pPr>
    </w:p>
    <w:p>
      <w:pPr>
        <w:ind w:left="1100" w:hanging="431"/>
        <w:spacing w:after="0" w:line="180" w:lineRule="auto"/>
        <w:tabs>
          <w:tab w:leader="none" w:pos="1100" w:val="left"/>
        </w:tabs>
        <w:numPr>
          <w:ilvl w:val="0"/>
          <w:numId w:val="36"/>
        </w:numPr>
        <w:rPr>
          <w:rFonts w:ascii="Arial" w:cs="Arial" w:eastAsia="Arial" w:hAnsi="Arial"/>
          <w:sz w:val="36"/>
          <w:szCs w:val="36"/>
          <w:color w:val="auto"/>
          <w:vertAlign w:val="subscript"/>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83" w:lineRule="exact"/>
        <w:rPr>
          <w:rFonts w:ascii="Arial" w:cs="Arial" w:eastAsia="Arial" w:hAnsi="Arial"/>
          <w:sz w:val="36"/>
          <w:szCs w:val="36"/>
          <w:color w:val="auto"/>
          <w:vertAlign w:val="subscript"/>
        </w:rPr>
      </w:pPr>
    </w:p>
    <w:p>
      <w:pPr>
        <w:ind w:left="1100" w:right="80" w:hanging="431"/>
        <w:spacing w:after="0" w:line="185" w:lineRule="auto"/>
        <w:tabs>
          <w:tab w:leader="none" w:pos="1100" w:val="left"/>
        </w:tabs>
        <w:numPr>
          <w:ilvl w:val="0"/>
          <w:numId w:val="36"/>
        </w:numPr>
        <w:rPr>
          <w:rFonts w:ascii="Arial" w:cs="Arial" w:eastAsia="Arial" w:hAnsi="Arial"/>
          <w:sz w:val="28"/>
          <w:szCs w:val="28"/>
          <w:color w:val="auto"/>
          <w:vertAlign w:val="subscript"/>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firstLine="67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03"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As of September 30, 2013, our portfolio totaled $1,078.2 million and consisted of $299.5 million of senior secured loans, $357.5 million of second lien secured debt, $302.5 million of subordinated debt and $118.7 million of preferred and common equity.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w:t>
      </w:r>
    </w:p>
    <w:p>
      <w:pPr>
        <w:spacing w:after="0" w:line="117" w:lineRule="exact"/>
        <w:rPr>
          <w:sz w:val="20"/>
          <w:szCs w:val="20"/>
          <w:color w:val="auto"/>
        </w:rPr>
      </w:pPr>
    </w:p>
    <w:p>
      <w:pPr>
        <w:ind w:right="500" w:firstLine="674"/>
        <w:spacing w:after="0" w:line="253" w:lineRule="auto"/>
        <w:rPr>
          <w:sz w:val="20"/>
          <w:szCs w:val="20"/>
          <w:color w:val="auto"/>
        </w:rPr>
      </w:pPr>
      <w:r>
        <w:rPr>
          <w:rFonts w:ascii="Arial" w:cs="Arial" w:eastAsia="Arial" w:hAnsi="Arial"/>
          <w:sz w:val="14"/>
          <w:szCs w:val="14"/>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106" w:lineRule="exact"/>
        <w:rPr>
          <w:sz w:val="20"/>
          <w:szCs w:val="20"/>
          <w:color w:val="auto"/>
        </w:rPr>
      </w:pPr>
    </w:p>
    <w:p>
      <w:pPr>
        <w:ind w:right="500" w:firstLine="674"/>
        <w:spacing w:after="0" w:line="253" w:lineRule="auto"/>
        <w:rPr>
          <w:sz w:val="20"/>
          <w:szCs w:val="20"/>
          <w:color w:val="auto"/>
        </w:rPr>
      </w:pPr>
      <w:r>
        <w:rPr>
          <w:rFonts w:ascii="Arial" w:cs="Arial" w:eastAsia="Arial" w:hAnsi="Arial"/>
          <w:sz w:val="14"/>
          <w:szCs w:val="14"/>
          <w:color w:val="auto"/>
        </w:rPr>
        <w:t>For the fiscal year ended September 30, 2013, we invested $504.4 million of investments in 14 new and 26 existing portfolio companies with a weighted average yield on debt investments of 12.7%. Sales and repayments of investments for the year ended September 30, 2013 totaled $437.1 million.</w:t>
      </w:r>
    </w:p>
    <w:p>
      <w:pPr>
        <w:spacing w:after="0" w:line="93" w:lineRule="exact"/>
        <w:rPr>
          <w:sz w:val="20"/>
          <w:szCs w:val="20"/>
          <w:color w:val="auto"/>
        </w:rPr>
      </w:pPr>
    </w:p>
    <w:p>
      <w:pPr>
        <w:ind w:right="500" w:firstLine="674"/>
        <w:spacing w:after="0" w:line="253" w:lineRule="auto"/>
        <w:rPr>
          <w:sz w:val="20"/>
          <w:szCs w:val="20"/>
          <w:color w:val="auto"/>
        </w:rPr>
      </w:pPr>
      <w:r>
        <w:rPr>
          <w:rFonts w:ascii="Arial" w:cs="Arial" w:eastAsia="Arial" w:hAnsi="Arial"/>
          <w:sz w:val="14"/>
          <w:szCs w:val="14"/>
          <w:color w:val="auto"/>
        </w:rPr>
        <w:t>For the fiscal year ended September 30, 2012, we invested $347.5 million of investments in 13 new and 17 existing portfolio companies with a weighted average yield on debt investments of 13.3%. Sales and repayments of investments for the year ended September 30, 2012 totaled $201.7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100" w:firstLine="674"/>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136" w:lineRule="exact"/>
        <w:rPr>
          <w:sz w:val="20"/>
          <w:szCs w:val="20"/>
          <w:color w:val="auto"/>
        </w:rPr>
      </w:pPr>
    </w:p>
    <w:p>
      <w:pPr>
        <w:ind w:firstLine="67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firstLine="674"/>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1120" w:right="20" w:hanging="451"/>
        <w:spacing w:after="0" w:line="253" w:lineRule="auto"/>
        <w:tabs>
          <w:tab w:leader="none" w:pos="11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1120" w:hanging="451"/>
        <w:spacing w:after="0"/>
        <w:tabs>
          <w:tab w:leader="none" w:pos="11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1120" w:right="80" w:hanging="451"/>
        <w:spacing w:after="0" w:line="264" w:lineRule="auto"/>
        <w:tabs>
          <w:tab w:leader="none" w:pos="11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1120" w:right="140" w:hanging="451"/>
        <w:spacing w:after="0" w:line="238" w:lineRule="auto"/>
        <w:tabs>
          <w:tab w:leader="none" w:pos="11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1120" w:right="140" w:hanging="451"/>
        <w:spacing w:after="0" w:line="253" w:lineRule="auto"/>
        <w:tabs>
          <w:tab w:leader="none" w:pos="11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3" w:lineRule="exact"/>
        <w:rPr>
          <w:sz w:val="20"/>
          <w:szCs w:val="20"/>
          <w:color w:val="auto"/>
        </w:rPr>
      </w:pPr>
    </w:p>
    <w:p>
      <w:pPr>
        <w:ind w:right="60" w:firstLine="674"/>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67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760" w:hanging="890"/>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740" w:hanging="890"/>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06" w:lineRule="exact"/>
        <w:rPr>
          <w:sz w:val="20"/>
          <w:szCs w:val="20"/>
          <w:color w:val="auto"/>
        </w:rPr>
      </w:pPr>
    </w:p>
    <w:p>
      <w:pPr>
        <w:ind w:right="160" w:firstLine="674"/>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4"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674"/>
        <w:spacing w:after="0"/>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w:t>
      </w:r>
    </w:p>
    <w:p>
      <w:pPr>
        <w:spacing w:after="0" w:line="4" w:lineRule="exact"/>
        <w:rPr>
          <w:sz w:val="20"/>
          <w:szCs w:val="20"/>
          <w:color w:val="auto"/>
        </w:rPr>
      </w:pPr>
    </w:p>
    <w:p>
      <w:pPr>
        <w:ind w:right="200"/>
        <w:spacing w:after="0" w:line="249" w:lineRule="auto"/>
        <w:rPr>
          <w:sz w:val="20"/>
          <w:szCs w:val="20"/>
          <w:color w:val="auto"/>
        </w:rPr>
      </w:pPr>
      <w:r>
        <w:rPr>
          <w:rFonts w:ascii="Arial" w:cs="Arial" w:eastAsia="Arial" w:hAnsi="Arial"/>
          <w:sz w:val="13"/>
          <w:szCs w:val="13"/>
          <w:color w:val="auto"/>
        </w:rPr>
        <w:t>September 30, 2014, 2013 and 2012, our Credit Facility, 2019 Notes and 2025 Notes, collectively, had a net change in unrealized (appreciation) depreciation of $(3.0) million, $2.3 million and $(1.6) million, respectively. As of September 30, 2014 and 2013, net unrealized (appreciation) depreciation on our Credit Facility, 2019 Notes and 2025 Notes totaled $(0.2) million and $2.9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ind w:right="220" w:firstLine="674"/>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300" w:firstLine="67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00" w:hanging="209"/>
        <w:spacing w:after="0"/>
        <w:tabs>
          <w:tab w:leader="none" w:pos="1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000" w:hanging="209"/>
        <w:spacing w:after="0"/>
        <w:tabs>
          <w:tab w:leader="none" w:pos="1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ind w:right="60" w:firstLine="674"/>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ind w:right="60" w:firstLine="674"/>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right="20" w:firstLine="674"/>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firstLine="8"/>
        <w:spacing w:after="0" w:line="249" w:lineRule="auto"/>
        <w:tabs>
          <w:tab w:leader="none" w:pos="2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0" w:lineRule="exact"/>
        <w:rPr>
          <w:sz w:val="20"/>
          <w:szCs w:val="20"/>
          <w:color w:val="auto"/>
        </w:rPr>
      </w:pPr>
    </w:p>
    <w:p>
      <w:pPr>
        <w:jc w:val="both"/>
        <w:ind w:right="100" w:firstLine="674"/>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Set forth below are our results of operations for the fiscal years ended September 30, 2014, 2013 and 2012.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23"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Investment income for the fiscal year ended September 30, 2014 was $147.9 million and was attributable to $43.0 million from senior secured loans, $55.2 million from second lien secured debt, $46.4 million from subordinated debt and $3.3 million from preferred and common equity. The increase in investment income over the prior year was primarily due to the growth of our portfolio.</w:t>
      </w:r>
    </w:p>
    <w:p>
      <w:pPr>
        <w:spacing w:after="0" w:line="115" w:lineRule="exact"/>
        <w:rPr>
          <w:sz w:val="20"/>
          <w:szCs w:val="20"/>
          <w:color w:val="auto"/>
        </w:rPr>
      </w:pPr>
    </w:p>
    <w:p>
      <w:pPr>
        <w:ind w:right="140" w:firstLine="674"/>
        <w:spacing w:after="0" w:line="238" w:lineRule="auto"/>
        <w:rPr>
          <w:sz w:val="20"/>
          <w:szCs w:val="20"/>
          <w:color w:val="auto"/>
        </w:rPr>
      </w:pPr>
      <w:r>
        <w:rPr>
          <w:rFonts w:ascii="Arial" w:cs="Arial" w:eastAsia="Arial" w:hAnsi="Arial"/>
          <w:sz w:val="14"/>
          <w:szCs w:val="14"/>
          <w:color w:val="auto"/>
        </w:rPr>
        <w:t>Investment income for the fiscal year ended September 30, 2013 was $129.2 million and was attributable to $38.9 million from senior secured loans, $31.9 million from second lien secured debt, $55.1 million from subordinated debt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15" w:lineRule="exact"/>
        <w:rPr>
          <w:sz w:val="20"/>
          <w:szCs w:val="20"/>
          <w:color w:val="auto"/>
        </w:rPr>
      </w:pPr>
    </w:p>
    <w:p>
      <w:pPr>
        <w:jc w:val="both"/>
        <w:ind w:right="200" w:firstLine="674"/>
        <w:spacing w:after="0" w:line="238" w:lineRule="auto"/>
        <w:rPr>
          <w:sz w:val="20"/>
          <w:szCs w:val="20"/>
          <w:color w:val="auto"/>
        </w:rPr>
      </w:pPr>
      <w:r>
        <w:rPr>
          <w:rFonts w:ascii="Arial" w:cs="Arial" w:eastAsia="Arial" w:hAnsi="Arial"/>
          <w:sz w:val="14"/>
          <w:szCs w:val="14"/>
          <w:color w:val="auto"/>
        </w:rPr>
        <w:t>Investment income for the fiscal year ended September 30, 2012 was $113.4 million and was primarily attributable to $42.8 million from senior secured loans, $21.2 million from second lien secured debt, and $49.4 million from subordinated debt. The increase in investment income over the prior year was due to the growth of our portfolio which was also driven by the investment of the proceeds from our equity offerings.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20" w:firstLine="674"/>
        <w:spacing w:after="0" w:line="264" w:lineRule="auto"/>
        <w:rPr>
          <w:sz w:val="20"/>
          <w:szCs w:val="20"/>
          <w:color w:val="auto"/>
        </w:rPr>
      </w:pPr>
      <w:r>
        <w:rPr>
          <w:rFonts w:ascii="Arial" w:cs="Arial" w:eastAsia="Arial" w:hAnsi="Arial"/>
          <w:sz w:val="13"/>
          <w:szCs w:val="13"/>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 The increase in expenses over the prior year was primarily due to increased borrowing costs, debt issuance costs and the growth of our portfolio.</w:t>
      </w:r>
    </w:p>
    <w:p>
      <w:pPr>
        <w:spacing w:after="0" w:line="101"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Expenses for the fiscal year ended September 30, 2013 totaled $62.2 million. Base management fee for the same period totaled $21.3 million, incentive fee totaled $16.8 million, debt related interest and expenses totaled $18.1 million (including $2.8 million associated with the 2025 Notes and expansion of our Credit Facility) and general and administrative expenses totaled $6.0 million. The increase in expenses over the prior year was primarily due to increased borrowing costs and the growth of our portfolio.</w:t>
      </w:r>
    </w:p>
    <w:p>
      <w:pPr>
        <w:spacing w:after="0" w:line="102"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Expenses for the fiscal year ended September 30, 2012 totaled $56.3 million. Base management fee for the same period totaled $17.5 million, incentive fee totaled $14.2 million, Credit Facility and SBA debentures related expenses totaled $17.1 million (including $5.4 million of upfront fees associated with amending and extending our Credit Facility), general and administrative expenses totaled $7.2 million and an excise tax of $0.3 million. The increase in expenses over the prior year was primarily due to the upfront costs of amending our Credit Facility, increased borrowing costs and the growth of our portfolio.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120" w:firstLine="674"/>
        <w:spacing w:after="0" w:line="290" w:lineRule="auto"/>
        <w:rPr>
          <w:sz w:val="20"/>
          <w:szCs w:val="20"/>
          <w:color w:val="auto"/>
        </w:rPr>
      </w:pPr>
      <w:r>
        <w:rPr>
          <w:rFonts w:ascii="Arial" w:cs="Arial" w:eastAsia="Arial" w:hAnsi="Arial"/>
          <w:sz w:val="13"/>
          <w:szCs w:val="13"/>
          <w:color w:val="auto"/>
        </w:rPr>
        <w:t>Net investment income totaled $71.3 million or $1.06 per share, $67.0 million or $1.01 per share and $57.1 million or $1.08 per share for the fiscal years ended September 30, 2014, 2013 and 2012, respectively. The increase in net investment income over the prior year was due to the growth of our portfolio offset by higher financing costs and debt issuance costs.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80" w:firstLine="674"/>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2014, 2013 and 2012 totaled $625.6 million, $437.1 million and $201.7 million, respectively, and net realized gains (losses) totaled $30.2 million, $17.7 million and $(12.8) million, respectively. The increase in realized gains over the prior year is primarily due to the improved merger and acquisition environment and a higher volume of sales and repayments.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2019 Notes and 2025 Notes</w:t>
      </w:r>
    </w:p>
    <w:p>
      <w:pPr>
        <w:spacing w:after="0" w:line="123" w:lineRule="exact"/>
        <w:rPr>
          <w:sz w:val="20"/>
          <w:szCs w:val="20"/>
          <w:color w:val="auto"/>
        </w:rPr>
      </w:pPr>
    </w:p>
    <w:p>
      <w:pPr>
        <w:ind w:right="120" w:firstLine="674"/>
        <w:spacing w:after="0" w:line="233" w:lineRule="auto"/>
        <w:rPr>
          <w:sz w:val="20"/>
          <w:szCs w:val="20"/>
          <w:color w:val="auto"/>
        </w:rPr>
      </w:pPr>
      <w:r>
        <w:rPr>
          <w:rFonts w:ascii="Arial" w:cs="Arial" w:eastAsia="Arial" w:hAnsi="Arial"/>
          <w:sz w:val="14"/>
          <w:szCs w:val="14"/>
          <w:color w:val="auto"/>
        </w:rPr>
        <w:t>Net unrealized appreciation on investments totaled $12.5 million, $4.8 million and $20.6 million for the fiscal years ended September 30, 2014, 2013 and 2012, respectively. Net unrealized (appreciation) depreciation on our Credit Facility, 2019 Notes and 2025 Notes totaled $(3.0) million, $2.3 million and $(1.6) million for the same periods, respectively. Net change in unrealized appreciation on investments over the prior year was a result of the overall variation in the leveraged finance markets. The increase in unrealized appreciation on the Credit Facility, 2019 Notes and 2025 Notes over the prior year was due to the fluctuating interest rate environment.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136" w:lineRule="exact"/>
        <w:rPr>
          <w:sz w:val="20"/>
          <w:szCs w:val="20"/>
          <w:color w:val="auto"/>
        </w:rPr>
      </w:pPr>
    </w:p>
    <w:p>
      <w:pPr>
        <w:ind w:right="60" w:firstLine="674"/>
        <w:spacing w:after="0" w:line="290" w:lineRule="auto"/>
        <w:rPr>
          <w:sz w:val="20"/>
          <w:szCs w:val="20"/>
          <w:color w:val="auto"/>
        </w:rPr>
      </w:pPr>
      <w:r>
        <w:rPr>
          <w:rFonts w:ascii="Arial" w:cs="Arial" w:eastAsia="Arial" w:hAnsi="Arial"/>
          <w:sz w:val="13"/>
          <w:szCs w:val="13"/>
          <w:color w:val="auto"/>
        </w:rPr>
        <w:t>Net increase in net assets resulting from operations totaled $111.0 million or $1.66 per share, $91.8 million or $1.39 per share and $63.4 million or $1.20 per share for the fiscal years ended September 30, 2014, 2013 and 2012, respectively. The increase compared to the prior year was due to realized gains, the continued growth of our portfolio and net investment income.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ind w:firstLine="674"/>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01" w:lineRule="exact"/>
        <w:rPr>
          <w:sz w:val="20"/>
          <w:szCs w:val="20"/>
          <w:color w:val="auto"/>
        </w:rPr>
      </w:pPr>
    </w:p>
    <w:p>
      <w:pPr>
        <w:ind w:right="40" w:firstLine="674"/>
        <w:spacing w:after="0" w:line="229" w:lineRule="auto"/>
        <w:rPr>
          <w:sz w:val="20"/>
          <w:szCs w:val="20"/>
          <w:color w:val="auto"/>
        </w:rPr>
      </w:pPr>
      <w:r>
        <w:rPr>
          <w:rFonts w:ascii="Arial" w:cs="Arial" w:eastAsia="Arial" w:hAnsi="Arial"/>
          <w:sz w:val="14"/>
          <w:szCs w:val="14"/>
          <w:color w:val="auto"/>
        </w:rPr>
        <w:t>We have a $545 million multi-currency Credit Facility with certain lenders and SunTrust Bank, acting as administrative agent, and JPMorgan Chase Bank, N.A., acting as syndication agent for the lenders. As of September 30, 2014 and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is set at 225 basis points over LIBOR. As of September 30, 2014 and 2013, we had $489.8 million and $284.5 million of unused borrowing capacity, respectively, subject to the regulatory restrictions that the 1940 Act imposes on us as a BDC. The Credit Facility is secured by substantially all of our assets excluding assets held by our SBIC Funds.</w:t>
      </w:r>
    </w:p>
    <w:p>
      <w:pPr>
        <w:spacing w:after="0" w:line="104" w:lineRule="exact"/>
        <w:rPr>
          <w:sz w:val="20"/>
          <w:szCs w:val="20"/>
          <w:color w:val="auto"/>
        </w:rPr>
      </w:pPr>
    </w:p>
    <w:p>
      <w:pPr>
        <w:ind w:right="620" w:firstLine="674"/>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September 30, 2014, we were in compliance with the terms of our Credit Facility.</w:t>
      </w:r>
    </w:p>
    <w:p>
      <w:pPr>
        <w:spacing w:after="0" w:line="106" w:lineRule="exact"/>
        <w:rPr>
          <w:sz w:val="20"/>
          <w:szCs w:val="20"/>
          <w:color w:val="auto"/>
        </w:rPr>
      </w:pPr>
    </w:p>
    <w:p>
      <w:pPr>
        <w:ind w:right="60" w:firstLine="674"/>
        <w:spacing w:after="0" w:line="231"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indenture agreement filed as Exhibit (d)(11) in our post-effective amendment filed on September 23, 2014 for more information.</w:t>
      </w:r>
    </w:p>
    <w:p>
      <w:pPr>
        <w:spacing w:after="0" w:line="116" w:lineRule="exact"/>
        <w:rPr>
          <w:sz w:val="20"/>
          <w:szCs w:val="20"/>
          <w:color w:val="auto"/>
        </w:rPr>
      </w:pPr>
    </w:p>
    <w:p>
      <w:pPr>
        <w:ind w:right="20" w:firstLine="674"/>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 Please see our indenture agreement filed as Exhibit (d)(8) in our post-effective amendment filed on January 22, 2013 for more information.</w:t>
      </w:r>
    </w:p>
    <w:p>
      <w:pPr>
        <w:spacing w:after="0" w:line="103" w:lineRule="exact"/>
        <w:rPr>
          <w:sz w:val="20"/>
          <w:szCs w:val="20"/>
          <w:color w:val="auto"/>
        </w:rPr>
      </w:pPr>
    </w:p>
    <w:p>
      <w:pPr>
        <w:ind w:firstLine="674"/>
        <w:spacing w:after="0" w:line="247"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2019 Notes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11" w:lineRule="exact"/>
        <w:rPr>
          <w:sz w:val="20"/>
          <w:szCs w:val="20"/>
          <w:color w:val="auto"/>
        </w:rPr>
      </w:pPr>
    </w:p>
    <w:p>
      <w:pPr>
        <w:ind w:right="100" w:firstLine="674"/>
        <w:spacing w:after="0" w:line="231" w:lineRule="auto"/>
        <w:rPr>
          <w:sz w:val="20"/>
          <w:szCs w:val="20"/>
          <w:color w:val="auto"/>
        </w:rPr>
      </w:pPr>
      <w:r>
        <w:rPr>
          <w:rFonts w:ascii="Arial" w:cs="Arial" w:eastAsia="Arial" w:hAnsi="Arial"/>
          <w:sz w:val="14"/>
          <w:szCs w:val="14"/>
          <w:color w:val="auto"/>
        </w:rPr>
        <w:t>For the fiscal year ended September 30, 2014, we sold 8.5 million shares of common stock, resulting in net proceeds of $95.4 million. This compares to selling 0.7 million shares of our common stock pursuant to the underwriters’ exercise of the overallotment option resulting in net proceeds of $7.3 million for the fiscal year ended September 30, 2013.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16" w:lineRule="exact"/>
        <w:rPr>
          <w:sz w:val="20"/>
          <w:szCs w:val="20"/>
          <w:color w:val="auto"/>
        </w:rPr>
      </w:pPr>
    </w:p>
    <w:p>
      <w:pPr>
        <w:ind w:right="20" w:firstLine="674"/>
        <w:spacing w:after="0" w:line="244"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as of September 30,</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2014.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674"/>
        <w:spacing w:after="0" w:line="238" w:lineRule="auto"/>
        <w:rPr>
          <w:sz w:val="20"/>
          <w:szCs w:val="20"/>
          <w:color w:val="auto"/>
        </w:rPr>
      </w:pPr>
      <w:r>
        <w:rPr>
          <w:rFonts w:ascii="Arial" w:cs="Arial" w:eastAsia="Arial" w:hAnsi="Arial"/>
          <w:sz w:val="14"/>
          <w:szCs w:val="14"/>
          <w:color w:val="auto"/>
        </w:rPr>
        <w:t>As of September 30, 2014 and September 30, 2013, our SBIC Funds had $225 million and $150 million in debt commitments, respectively, and $150 million was drawn for each period. Both SBA debentures’ upfront fees of 3.43% consist of a commitment fee of 1.00% and an issuance discount of 2.43%, which are being amortized. Our fixed-rate SBA debentures as of September 30, 2014 and September 30, 2013 were as follows:</w:t>
      </w:r>
    </w:p>
    <w:p>
      <w:pPr>
        <w:spacing w:after="0" w:line="300"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Issuance Dates</w:t>
            </w:r>
          </w:p>
        </w:tc>
        <w:tc>
          <w:tcPr>
            <w:tcW w:w="3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Maturity</w:t>
            </w:r>
          </w:p>
        </w:tc>
        <w:tc>
          <w:tcPr>
            <w:tcW w:w="4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9"/>
              </w:rPr>
              <w:t>Fixed All-In Coupon Rate</w:t>
            </w: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7"/>
              </w:rPr>
              <w:t>Principal Balance</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44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ind w:left="1560"/>
              <w:spacing w:after="0" w:line="142" w:lineRule="exact"/>
              <w:rPr>
                <w:sz w:val="20"/>
                <w:szCs w:val="20"/>
                <w:color w:val="auto"/>
              </w:rPr>
            </w:pPr>
            <w:r>
              <w:rPr>
                <w:rFonts w:ascii="Arial" w:cs="Arial" w:eastAsia="Arial" w:hAnsi="Arial"/>
                <w:sz w:val="14"/>
                <w:szCs w:val="14"/>
                <w:color w:val="auto"/>
              </w:rPr>
              <w:t>3.50%</w:t>
            </w:r>
          </w:p>
        </w:tc>
        <w:tc>
          <w:tcPr>
            <w:tcW w:w="2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29, 2011</w:t>
            </w:r>
          </w:p>
        </w:tc>
        <w:tc>
          <w:tcPr>
            <w:tcW w:w="1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March 1, 2021</w:t>
            </w:r>
          </w:p>
        </w:tc>
        <w:tc>
          <w:tcPr>
            <w:tcW w:w="2340" w:type="dxa"/>
            <w:vAlign w:val="bottom"/>
            <w:gridSpan w:val="2"/>
          </w:tcPr>
          <w:p>
            <w:pPr>
              <w:ind w:left="1560"/>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September 21, 2011</w:t>
            </w:r>
          </w:p>
        </w:tc>
        <w:tc>
          <w:tcPr>
            <w:tcW w:w="1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September 1, 2021</w:t>
            </w:r>
          </w:p>
        </w:tc>
        <w:tc>
          <w:tcPr>
            <w:tcW w:w="2340" w:type="dxa"/>
            <w:vAlign w:val="bottom"/>
            <w:gridSpan w:val="2"/>
            <w:shd w:val="clear" w:color="auto" w:fill="CCEEFF"/>
          </w:tcPr>
          <w:p>
            <w:pPr>
              <w:ind w:left="1560"/>
              <w:spacing w:after="0" w:line="149"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Weighted Average Rate / Total</w:t>
            </w: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40" w:type="dxa"/>
            <w:vAlign w:val="bottom"/>
            <w:gridSpan w:val="2"/>
          </w:tcPr>
          <w:p>
            <w:pPr>
              <w:ind w:left="1560"/>
              <w:spacing w:after="0" w:line="155" w:lineRule="exact"/>
              <w:rPr>
                <w:sz w:val="20"/>
                <w:szCs w:val="20"/>
                <w:color w:val="auto"/>
              </w:rPr>
            </w:pPr>
            <w:r>
              <w:rPr>
                <w:rFonts w:ascii="Arial" w:cs="Arial" w:eastAsia="Arial" w:hAnsi="Arial"/>
                <w:sz w:val="14"/>
                <w:szCs w:val="14"/>
                <w:color w:val="auto"/>
              </w:rPr>
              <w:t>3.70%</w:t>
            </w:r>
          </w:p>
        </w:tc>
        <w:tc>
          <w:tcPr>
            <w:tcW w:w="22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03" w:lineRule="exact"/>
        <w:rPr>
          <w:sz w:val="20"/>
          <w:szCs w:val="20"/>
          <w:color w:val="auto"/>
        </w:rPr>
      </w:pPr>
    </w:p>
    <w:p>
      <w:pPr>
        <w:ind w:right="140" w:firstLine="674"/>
        <w:spacing w:after="0" w:line="231"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asset coverage ratio is met after such borrowing. As of September 30, 2014 and September 30, 2013,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320" w:firstLine="674"/>
        <w:spacing w:after="0" w:line="253" w:lineRule="auto"/>
        <w:rPr>
          <w:sz w:val="20"/>
          <w:szCs w:val="20"/>
          <w:color w:val="auto"/>
        </w:rPr>
      </w:pPr>
      <w:r>
        <w:rPr>
          <w:rFonts w:ascii="Arial" w:cs="Arial" w:eastAsia="Arial" w:hAnsi="Arial"/>
          <w:sz w:val="14"/>
          <w:szCs w:val="14"/>
          <w:color w:val="auto"/>
        </w:rPr>
        <w:t>On September 30, 2014 and September 30, 2013, we had cash and cash equivalents of $66.5 million and $58.4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20" w:firstLine="674"/>
        <w:spacing w:after="0" w:line="238" w:lineRule="auto"/>
        <w:rPr>
          <w:sz w:val="20"/>
          <w:szCs w:val="20"/>
          <w:color w:val="auto"/>
        </w:rPr>
      </w:pPr>
      <w:r>
        <w:rPr>
          <w:rFonts w:ascii="Arial" w:cs="Arial" w:eastAsia="Arial" w:hAnsi="Arial"/>
          <w:sz w:val="14"/>
          <w:szCs w:val="14"/>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recent equity offering and net draws under the Credit Facility.</w:t>
      </w:r>
    </w:p>
    <w:p>
      <w:pPr>
        <w:spacing w:after="0" w:line="102" w:lineRule="exact"/>
        <w:rPr>
          <w:sz w:val="20"/>
          <w:szCs w:val="20"/>
          <w:color w:val="auto"/>
        </w:rPr>
      </w:pPr>
    </w:p>
    <w:p>
      <w:pPr>
        <w:ind w:right="20" w:firstLine="674"/>
        <w:spacing w:after="0" w:line="290" w:lineRule="auto"/>
        <w:rPr>
          <w:sz w:val="20"/>
          <w:szCs w:val="20"/>
          <w:color w:val="auto"/>
        </w:rPr>
      </w:pPr>
      <w:r>
        <w:rPr>
          <w:rFonts w:ascii="Arial" w:cs="Arial" w:eastAsia="Arial" w:hAnsi="Arial"/>
          <w:sz w:val="13"/>
          <w:szCs w:val="13"/>
          <w:color w:val="auto"/>
        </w:rPr>
        <w:t>Our operating activities provided cash of $40.3 million for the fiscal year ended September 30, 2013, and our financing activities provided cash proceeds of $10.6 million for the same period. Our operating activities provided cash primarily from sales and repayments on our investments and our financing activities provided cash primarily from the issuance of the 2025 Notes.</w:t>
      </w:r>
    </w:p>
    <w:p>
      <w:pPr>
        <w:spacing w:after="0" w:line="84" w:lineRule="exact"/>
        <w:rPr>
          <w:sz w:val="20"/>
          <w:szCs w:val="20"/>
          <w:color w:val="auto"/>
        </w:rPr>
      </w:pPr>
    </w:p>
    <w:p>
      <w:pPr>
        <w:ind w:right="200" w:firstLine="674"/>
        <w:spacing w:after="0" w:line="253" w:lineRule="auto"/>
        <w:rPr>
          <w:sz w:val="20"/>
          <w:szCs w:val="20"/>
          <w:color w:val="auto"/>
        </w:rPr>
      </w:pPr>
      <w:r>
        <w:rPr>
          <w:rFonts w:ascii="Arial" w:cs="Arial" w:eastAsia="Arial" w:hAnsi="Arial"/>
          <w:sz w:val="14"/>
          <w:szCs w:val="14"/>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summary of our significant contractual payment obligations as of September 30, 2014,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w w:val="90"/>
              </w:rPr>
              <w:t>Payments due by period (in millions)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13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3-5 years</w:t>
            </w:r>
          </w:p>
        </w:tc>
        <w:tc>
          <w:tcPr>
            <w:tcW w:w="12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5"/>
              </w:rPr>
              <w:t>More than 5 years</w:t>
            </w:r>
          </w:p>
        </w:tc>
        <w:tc>
          <w:tcPr>
            <w:tcW w:w="80" w:type="dxa"/>
            <w:vAlign w:val="bottom"/>
          </w:tcPr>
          <w:p>
            <w:pPr>
              <w:spacing w:after="0"/>
              <w:rPr>
                <w:sz w:val="12"/>
                <w:szCs w:val="12"/>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880" w:type="dxa"/>
            <w:vAlign w:val="bottom"/>
            <w:tcBorders>
              <w:top w:val="single" w:sz="8" w:color="auto"/>
            </w:tcBorders>
            <w:shd w:val="clear" w:color="auto" w:fill="CCEEFF"/>
          </w:tcPr>
          <w:p>
            <w:pPr>
              <w:jc w:val="right"/>
              <w:ind w:right="688"/>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w:t>
            </w:r>
          </w:p>
        </w:tc>
        <w:tc>
          <w:tcPr>
            <w:tcW w:w="3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102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3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w w:val="99"/>
              </w:rPr>
              <w:t>—</w:t>
            </w:r>
          </w:p>
        </w:tc>
        <w:tc>
          <w:tcPr>
            <w:tcW w:w="400" w:type="dxa"/>
            <w:vAlign w:val="bottom"/>
            <w:tcBorders>
              <w:top w:val="single" w:sz="8" w:color="CCEEFF"/>
              <w:righ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w:t>
            </w:r>
          </w:p>
        </w:tc>
        <w:tc>
          <w:tcPr>
            <w:tcW w:w="3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88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150.0</w:t>
            </w:r>
          </w:p>
        </w:tc>
        <w:tc>
          <w:tcPr>
            <w:tcW w:w="120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1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250.0</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88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71.3</w:t>
            </w:r>
          </w:p>
        </w:tc>
        <w:tc>
          <w:tcPr>
            <w:tcW w:w="120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526.5</w:t>
            </w:r>
          </w:p>
        </w:tc>
        <w:tc>
          <w:tcPr>
            <w:tcW w:w="1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55.2</w:t>
            </w: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471.3</w:t>
            </w: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8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15.6</w:t>
            </w:r>
          </w:p>
        </w:tc>
        <w:tc>
          <w:tcPr>
            <w:tcW w:w="120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w:t>
            </w:r>
          </w:p>
        </w:tc>
        <w:tc>
          <w:tcPr>
            <w:tcW w:w="5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27"/>
        </w:trPr>
        <w:tc>
          <w:tcPr>
            <w:tcW w:w="3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88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542.1</w:t>
            </w:r>
          </w:p>
        </w:tc>
        <w:tc>
          <w:tcPr>
            <w:tcW w:w="1200" w:type="dxa"/>
            <w:vAlign w:val="bottom"/>
            <w:shd w:val="clear" w:color="auto" w:fill="CCEEFF"/>
          </w:tcPr>
          <w:p>
            <w:pPr>
              <w:jc w:val="right"/>
              <w:ind w:right="102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right w:val="single" w:sz="8" w:color="CCEEFF"/>
            </w:tcBorders>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69.2</w:t>
            </w:r>
          </w:p>
        </w:tc>
        <w:tc>
          <w:tcPr>
            <w:tcW w:w="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472.9</w:t>
            </w:r>
          </w:p>
        </w:tc>
      </w:tr>
      <w:tr>
        <w:trPr>
          <w:trHeight w:val="20"/>
        </w:trPr>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37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4" w:lineRule="exact"/>
        <w:rPr>
          <w:sz w:val="20"/>
          <w:szCs w:val="20"/>
          <w:color w:val="auto"/>
        </w:rPr>
      </w:pPr>
    </w:p>
    <w:p>
      <w:pPr>
        <w:ind w:left="460" w:right="280" w:hanging="452"/>
        <w:spacing w:after="0" w:line="230" w:lineRule="auto"/>
        <w:tabs>
          <w:tab w:leader="none" w:pos="460" w:val="left"/>
        </w:tabs>
        <w:numPr>
          <w:ilvl w:val="0"/>
          <w:numId w:val="40"/>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2014, excluding debt issuance costs, was 4.33% exclusive of the fee on the undrawn commitment of 0.375% on the Credit Facility and 3.43% of upfront fees on SBA debentures.</w:t>
      </w:r>
    </w:p>
    <w:p>
      <w:pPr>
        <w:ind w:left="460" w:hanging="452"/>
        <w:spacing w:after="0"/>
        <w:tabs>
          <w:tab w:leader="none" w:pos="460" w:val="left"/>
        </w:tabs>
        <w:numPr>
          <w:ilvl w:val="0"/>
          <w:numId w:val="40"/>
        </w:numPr>
        <w:rPr>
          <w:rFonts w:ascii="Arial" w:cs="Arial" w:eastAsia="Arial" w:hAnsi="Arial"/>
          <w:sz w:val="11"/>
          <w:szCs w:val="11"/>
          <w:color w:val="auto"/>
        </w:rPr>
      </w:pPr>
      <w:r>
        <w:rPr>
          <w:rFonts w:ascii="Arial" w:cs="Arial" w:eastAsia="Arial" w:hAnsi="Arial"/>
          <w:sz w:val="13"/>
          <w:szCs w:val="13"/>
          <w:color w:val="auto"/>
        </w:rPr>
        <w:t>Unfunded debt and equity investments described in the Consolidated Statement of Assets and Liabilities represent unfunded delayed draws on investments and/or revolving lines of credit.</w:t>
      </w:r>
    </w:p>
    <w:p>
      <w:pPr>
        <w:spacing w:after="0" w:line="122"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18" w:lineRule="exact"/>
        <w:rPr>
          <w:sz w:val="20"/>
          <w:szCs w:val="20"/>
          <w:color w:val="auto"/>
        </w:rPr>
      </w:pPr>
    </w:p>
    <w:p>
      <w:pPr>
        <w:ind w:right="180" w:firstLine="674"/>
        <w:spacing w:after="0" w:line="247" w:lineRule="auto"/>
        <w:rPr>
          <w:sz w:val="20"/>
          <w:szCs w:val="20"/>
          <w:color w:val="auto"/>
        </w:rPr>
      </w:pPr>
      <w:r>
        <w:rPr>
          <w:rFonts w:ascii="Arial" w:cs="Arial" w:eastAsia="Arial" w:hAnsi="Arial"/>
          <w:sz w:val="13"/>
          <w:szCs w:val="13"/>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1" w:lineRule="exact"/>
        <w:rPr>
          <w:sz w:val="20"/>
          <w:szCs w:val="20"/>
          <w:color w:val="auto"/>
        </w:rPr>
      </w:pPr>
    </w:p>
    <w:p>
      <w:pPr>
        <w:jc w:val="both"/>
        <w:ind w:right="160" w:firstLine="674"/>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2"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currently engage in no off-balance sheet arrangements.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40" w:firstLine="674"/>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2014, 2013, and 2012, we elected to retain a portion of our calendar year income and incurred an excise tax of approximately $0.1 million, $(0.1) million and $0.3 million, respectively.</w:t>
      </w:r>
    </w:p>
    <w:p>
      <w:pPr>
        <w:spacing w:after="0" w:line="118" w:lineRule="exact"/>
        <w:rPr>
          <w:sz w:val="20"/>
          <w:szCs w:val="20"/>
          <w:color w:val="auto"/>
        </w:rPr>
      </w:pPr>
    </w:p>
    <w:p>
      <w:pPr>
        <w:ind w:right="120" w:firstLine="674"/>
        <w:spacing w:after="0" w:line="255" w:lineRule="auto"/>
        <w:rPr>
          <w:sz w:val="20"/>
          <w:szCs w:val="20"/>
          <w:color w:val="auto"/>
        </w:rPr>
      </w:pPr>
      <w:r>
        <w:rPr>
          <w:rFonts w:ascii="Arial" w:cs="Arial" w:eastAsia="Arial" w:hAnsi="Arial"/>
          <w:sz w:val="13"/>
          <w:szCs w:val="13"/>
          <w:color w:val="auto"/>
        </w:rPr>
        <w:t>During the fiscal years ended September 30, 2014, 2013 and 2012, we declared distributions of $1.12 per share each year for total distributions of $76.9 million, $74.4 million and $60.1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firstLine="67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right="60" w:firstLine="67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2014, our debt portfolio consisted of 33% fixed-rate investments and 67% variable-rate investments (including 61%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16" w:lineRule="exact"/>
        <w:rPr>
          <w:sz w:val="20"/>
          <w:szCs w:val="20"/>
          <w:color w:val="auto"/>
        </w:rPr>
      </w:pPr>
    </w:p>
    <w:p>
      <w:pPr>
        <w:ind w:right="200" w:firstLine="674"/>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94"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8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Change In Interest Income,</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800" w:type="dxa"/>
            <w:vAlign w:val="bottom"/>
            <w:vMerge w:val="restart"/>
          </w:tcPr>
          <w:p>
            <w:pPr>
              <w:ind w:left="220"/>
              <w:spacing w:after="0"/>
              <w:rPr>
                <w:sz w:val="20"/>
                <w:szCs w:val="20"/>
                <w:color w:val="auto"/>
              </w:rPr>
            </w:pPr>
            <w:r>
              <w:rPr>
                <w:rFonts w:ascii="Arial" w:cs="Arial" w:eastAsia="Arial" w:hAnsi="Arial"/>
                <w:sz w:val="14"/>
                <w:szCs w:val="14"/>
                <w:color w:val="auto"/>
              </w:rPr>
              <w:t>Change In Interest Rates</w:t>
            </w:r>
          </w:p>
        </w:tc>
        <w:tc>
          <w:tcPr>
            <w:tcW w:w="820" w:type="dxa"/>
            <w:vAlign w:val="bottom"/>
          </w:tcPr>
          <w:p>
            <w:pPr>
              <w:spacing w:after="0"/>
              <w:rPr>
                <w:sz w:val="12"/>
                <w:szCs w:val="12"/>
                <w:color w:val="auto"/>
              </w:rPr>
            </w:pPr>
          </w:p>
        </w:tc>
        <w:tc>
          <w:tcPr>
            <w:tcW w:w="246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3"/>
              </w:rPr>
              <w:t>Net Of Interest Expense</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gridSpan w:val="3"/>
          </w:tcPr>
          <w:p>
            <w:pPr>
              <w:jc w:val="center"/>
              <w:ind w:right="900"/>
              <w:spacing w:after="0"/>
              <w:rPr>
                <w:sz w:val="20"/>
                <w:szCs w:val="20"/>
                <w:color w:val="auto"/>
              </w:rPr>
            </w:pPr>
            <w:r>
              <w:rPr>
                <w:rFonts w:ascii="Arial" w:cs="Arial" w:eastAsia="Arial" w:hAnsi="Arial"/>
                <w:sz w:val="14"/>
                <w:szCs w:val="14"/>
                <w:color w:val="auto"/>
                <w:w w:val="93"/>
              </w:rPr>
              <w:t>(In Thousands)</w:t>
            </w: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6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color w:val="auto"/>
              </w:rPr>
              <w:t>Up 1%</w:t>
            </w:r>
          </w:p>
        </w:tc>
        <w:tc>
          <w:tcPr>
            <w:tcW w:w="8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539</w:t>
            </w:r>
          </w:p>
        </w:tc>
        <w:tc>
          <w:tcPr>
            <w:tcW w:w="9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0.01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800" w:type="dxa"/>
            <w:vAlign w:val="bottom"/>
          </w:tcPr>
          <w:p>
            <w:pPr>
              <w:ind w:left="700"/>
              <w:spacing w:after="0" w:line="149" w:lineRule="exact"/>
              <w:rPr>
                <w:sz w:val="20"/>
                <w:szCs w:val="20"/>
                <w:color w:val="auto"/>
              </w:rPr>
            </w:pPr>
            <w:r>
              <w:rPr>
                <w:rFonts w:ascii="Arial" w:cs="Arial" w:eastAsia="Arial" w:hAnsi="Arial"/>
                <w:sz w:val="14"/>
                <w:szCs w:val="14"/>
                <w:color w:val="auto"/>
              </w:rPr>
              <w:t>Up 2%</w:t>
            </w:r>
          </w:p>
        </w:tc>
        <w:tc>
          <w:tcPr>
            <w:tcW w:w="17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8,065</w:t>
            </w:r>
          </w:p>
        </w:tc>
        <w:tc>
          <w:tcPr>
            <w:tcW w:w="900" w:type="dxa"/>
            <w:vAlign w:val="bottom"/>
          </w:tcPr>
          <w:p>
            <w:pPr>
              <w:spacing w:after="0"/>
              <w:rPr>
                <w:sz w:val="12"/>
                <w:szCs w:val="12"/>
                <w:color w:val="auto"/>
              </w:rPr>
            </w:pPr>
          </w:p>
        </w:tc>
        <w:tc>
          <w:tcPr>
            <w:tcW w:w="3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CCEEFF"/>
          </w:tcPr>
          <w:p>
            <w:pPr>
              <w:spacing w:after="0"/>
              <w:rPr>
                <w:sz w:val="12"/>
                <w:szCs w:val="12"/>
                <w:color w:val="auto"/>
              </w:rPr>
            </w:pPr>
          </w:p>
        </w:tc>
        <w:tc>
          <w:tcPr>
            <w:tcW w:w="1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Up 3%</w:t>
            </w:r>
          </w:p>
        </w:tc>
        <w:tc>
          <w:tcPr>
            <w:tcW w:w="17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15,592</w:t>
            </w: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800" w:type="dxa"/>
            <w:vAlign w:val="bottom"/>
          </w:tcPr>
          <w:p>
            <w:pPr>
              <w:ind w:left="700"/>
              <w:spacing w:after="0"/>
              <w:rPr>
                <w:sz w:val="20"/>
                <w:szCs w:val="20"/>
                <w:color w:val="auto"/>
              </w:rPr>
            </w:pPr>
            <w:r>
              <w:rPr>
                <w:rFonts w:ascii="Arial" w:cs="Arial" w:eastAsia="Arial" w:hAnsi="Arial"/>
                <w:sz w:val="14"/>
                <w:szCs w:val="14"/>
                <w:color w:val="auto"/>
              </w:rPr>
              <w:t>Up 4%</w:t>
            </w:r>
          </w:p>
        </w:tc>
        <w:tc>
          <w:tcPr>
            <w:tcW w:w="17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23,119</w:t>
            </w:r>
          </w:p>
        </w:tc>
        <w:tc>
          <w:tcPr>
            <w:tcW w:w="900" w:type="dxa"/>
            <w:vAlign w:val="bottom"/>
          </w:tcPr>
          <w:p>
            <w:pPr>
              <w:spacing w:after="0"/>
              <w:rPr>
                <w:sz w:val="15"/>
                <w:szCs w:val="15"/>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40" w:firstLine="67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ind w:right="320" w:firstLine="67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firstLine="674"/>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680" w:type="dxa"/>
            <w:vAlign w:val="bottom"/>
          </w:tcPr>
          <w:p>
            <w:pPr>
              <w:jc w:val="right"/>
              <w:ind w:right="3508"/>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640" w:type="dxa"/>
            <w:vAlign w:val="bottom"/>
          </w:tcPr>
          <w:p>
            <w:pPr>
              <w:spacing w:after="0"/>
              <w:rPr>
                <w:sz w:val="16"/>
                <w:szCs w:val="16"/>
                <w:color w:val="auto"/>
              </w:rPr>
            </w:pPr>
          </w:p>
        </w:tc>
      </w:tr>
      <w:tr>
        <w:trPr>
          <w:trHeight w:val="448"/>
        </w:trPr>
        <w:tc>
          <w:tcPr>
            <w:tcW w:w="8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6"/>
        </w:trPr>
        <w:tc>
          <w:tcPr>
            <w:tcW w:w="8520" w:type="dxa"/>
            <w:vAlign w:val="bottom"/>
            <w:gridSpan w:val="2"/>
          </w:tcPr>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Management’s Report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Report of Independent Registered Public Accounting Firms</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Consolidated Statements of Assets and Liabilities as of September 30, 2014 and 2013</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Consolidated Statements of Operations for the years ended September 30, 2014, 2013 and 2012</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Consolidated Statements of Changes in Net Assets for the years ended September 30, 2014, 2013 and 2012</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Consolidated Statements of Cash Flows for the years ended September 30, 2014, 2013 and 2012</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Consolidated Schedules of Investments as of September 30, 2014 and 2013</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24"/>
        </w:trPr>
        <w:tc>
          <w:tcPr>
            <w:tcW w:w="8520" w:type="dxa"/>
            <w:vAlign w:val="bottom"/>
            <w:gridSpan w:val="2"/>
          </w:tcPr>
          <w:p>
            <w:pPr>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Notes to the Consolidated Financial Statements</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297"/>
        </w:trPr>
        <w:tc>
          <w:tcPr>
            <w:tcW w:w="840" w:type="dxa"/>
            <w:vAlign w:val="bottom"/>
          </w:tcPr>
          <w:p>
            <w:pPr>
              <w:spacing w:after="0"/>
              <w:rPr>
                <w:sz w:val="24"/>
                <w:szCs w:val="24"/>
                <w:color w:val="auto"/>
              </w:rPr>
            </w:pPr>
          </w:p>
        </w:tc>
        <w:tc>
          <w:tcPr>
            <w:tcW w:w="7680" w:type="dxa"/>
            <w:vAlign w:val="bottom"/>
          </w:tcPr>
          <w:p>
            <w:pPr>
              <w:jc w:val="right"/>
              <w:ind w:right="2748"/>
              <w:spacing w:after="0"/>
              <w:rPr>
                <w:sz w:val="20"/>
                <w:szCs w:val="20"/>
                <w:color w:val="auto"/>
              </w:rPr>
            </w:pPr>
            <w:r>
              <w:rPr>
                <w:rFonts w:ascii="Arial" w:cs="Arial" w:eastAsia="Arial" w:hAnsi="Arial"/>
                <w:sz w:val="14"/>
                <w:szCs w:val="14"/>
                <w:color w:val="auto"/>
              </w:rPr>
              <w:t>52</w:t>
            </w:r>
          </w:p>
        </w:tc>
        <w:tc>
          <w:tcPr>
            <w:tcW w:w="26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right="80" w:firstLine="674"/>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107" w:lineRule="exact"/>
        <w:rPr>
          <w:sz w:val="20"/>
          <w:szCs w:val="20"/>
          <w:color w:val="auto"/>
        </w:rPr>
      </w:pPr>
    </w:p>
    <w:p>
      <w:pPr>
        <w:ind w:right="40" w:firstLine="674"/>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4" w:lineRule="exact"/>
        <w:rPr>
          <w:sz w:val="20"/>
          <w:szCs w:val="20"/>
          <w:color w:val="auto"/>
        </w:rPr>
      </w:pPr>
    </w:p>
    <w:p>
      <w:pPr>
        <w:jc w:val="both"/>
        <w:ind w:right="100" w:firstLine="674"/>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firstLine="674"/>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2014, our internal control over financial reporting is effective based on those criteria.</w:t>
      </w:r>
    </w:p>
    <w:p>
      <w:pPr>
        <w:spacing w:after="0" w:line="115" w:lineRule="exact"/>
        <w:rPr>
          <w:sz w:val="20"/>
          <w:szCs w:val="20"/>
          <w:color w:val="auto"/>
        </w:rPr>
      </w:pPr>
    </w:p>
    <w:p>
      <w:pPr>
        <w:ind w:right="660" w:firstLine="674"/>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2014. This report appears on page 56.</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320" w:firstLine="674"/>
        <w:spacing w:after="0" w:line="268" w:lineRule="auto"/>
        <w:rPr>
          <w:sz w:val="20"/>
          <w:szCs w:val="20"/>
          <w:color w:val="auto"/>
        </w:rPr>
      </w:pPr>
      <w:r>
        <w:rPr>
          <w:rFonts w:ascii="Arial" w:cs="Arial" w:eastAsia="Arial" w:hAnsi="Arial"/>
          <w:sz w:val="12"/>
          <w:szCs w:val="12"/>
          <w:color w:val="auto"/>
        </w:rPr>
        <w:t>We have audited the accompanying consolidated statement of assets and liabilities of PennantPark Investment Corporation and its Subsidiaries (the “Company”), including the consolidated schedule of investments as of September 30, 2014, and the related consolidated statements of operations, changes in net assets, and cash flows for the year ended September 30,</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2014. These consolidated financial statements are the responsibility of the Company’s management. Our responsibility is to express an opinion on these consolidated financial statements based on our audit.</w:t>
      </w:r>
    </w:p>
    <w:p>
      <w:pPr>
        <w:spacing w:after="0" w:line="116" w:lineRule="exact"/>
        <w:rPr>
          <w:sz w:val="20"/>
          <w:szCs w:val="20"/>
          <w:color w:val="auto"/>
        </w:rPr>
      </w:pPr>
    </w:p>
    <w:p>
      <w:pPr>
        <w:ind w:right="160" w:firstLine="674"/>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3"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2014, and the results of their operations, changes in net assets and their cash flows for the year then ended in conformity with U.S. generally accepted accounting principles.</w:t>
      </w:r>
    </w:p>
    <w:p>
      <w:pPr>
        <w:spacing w:after="0" w:line="115"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and our report dated November 12, 2014 expressed an unqualified opinion on the effectiveness of the Company’s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59" w:lineRule="exact"/>
        <w:rPr>
          <w:sz w:val="20"/>
          <w:szCs w:val="20"/>
          <w:color w:val="auto"/>
        </w:rPr>
      </w:pPr>
    </w:p>
    <w:p>
      <w:pPr>
        <w:ind w:right="200" w:firstLine="674"/>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 of investments as of September 30, 2013 and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17"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240" w:firstLine="674"/>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2013 and the results of their operations and their cash flows for the years ended September 30, 2013 and 2012, in conformity with U.S. generally accepted accounting principles.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2013</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92"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(the “Company”)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103" w:lineRule="exact"/>
        <w:rPr>
          <w:sz w:val="20"/>
          <w:szCs w:val="20"/>
          <w:color w:val="auto"/>
        </w:rPr>
      </w:pPr>
    </w:p>
    <w:p>
      <w:pPr>
        <w:ind w:right="100" w:firstLine="674"/>
        <w:spacing w:after="0" w:line="283"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2" w:lineRule="exact"/>
        <w:rPr>
          <w:sz w:val="20"/>
          <w:szCs w:val="20"/>
          <w:color w:val="auto"/>
        </w:rPr>
      </w:pPr>
    </w:p>
    <w:p>
      <w:pPr>
        <w:ind w:right="80" w:firstLine="674"/>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40" w:firstLine="674"/>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right="180" w:firstLine="674"/>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1992.</w:t>
      </w:r>
    </w:p>
    <w:p>
      <w:pPr>
        <w:spacing w:after="0" w:line="10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 of assets and liabilities of PennantPark Investment Corporation and its Subsidiaries, including the schedule of investments as of September 30, 2014, and the related consolidated statements of operations, changes in net assets, and cash flows for the year then ended and our report dated November 12, 2014 expressed an unqualified opinion.</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160"/>
          </w:cols>
          <w:pgMar w:left="32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September 30, 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28"/>
        </w:trPr>
        <w:tc>
          <w:tcPr>
            <w:tcW w:w="8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Non-controlled, non-affiliated investments (cost—$1,171,573,359 and $928,078,589,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1,212,515,400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968,471,042</w:t>
            </w:r>
          </w:p>
        </w:tc>
        <w:tc>
          <w:tcPr>
            <w:tcW w:w="0" w:type="dxa"/>
            <w:vAlign w:val="bottom"/>
          </w:tcPr>
          <w:p>
            <w:pPr>
              <w:spacing w:after="0"/>
              <w:rPr>
                <w:sz w:val="1"/>
                <w:szCs w:val="1"/>
                <w:color w:val="auto"/>
              </w:rPr>
            </w:pPr>
          </w:p>
        </w:tc>
      </w:tr>
      <w:tr>
        <w:trPr>
          <w:trHeight w:val="148"/>
        </w:trPr>
        <w:tc>
          <w:tcPr>
            <w:tcW w:w="8220" w:type="dxa"/>
            <w:vAlign w:val="bottom"/>
          </w:tcPr>
          <w:p>
            <w:pPr>
              <w:ind w:left="360"/>
              <w:spacing w:after="0" w:line="149" w:lineRule="exact"/>
              <w:rPr>
                <w:sz w:val="20"/>
                <w:szCs w:val="20"/>
                <w:color w:val="auto"/>
              </w:rPr>
            </w:pPr>
            <w:r>
              <w:rPr>
                <w:rFonts w:ascii="Arial" w:cs="Arial" w:eastAsia="Arial" w:hAnsi="Arial"/>
                <w:sz w:val="14"/>
                <w:szCs w:val="14"/>
                <w:color w:val="auto"/>
              </w:rPr>
              <w:t>Non-controlled, affiliated investments (cost—$108,572,406 and $99,021,141, respectively)</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67,847,521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76,735,800</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Controlled, affiliated investments (cost—$38,708,555 and $64,418,155, respectively)</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37,691,845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32,968,711</w:t>
            </w:r>
          </w:p>
        </w:tc>
        <w:tc>
          <w:tcPr>
            <w:tcW w:w="0" w:type="dxa"/>
            <w:vAlign w:val="bottom"/>
          </w:tcPr>
          <w:p>
            <w:pPr>
              <w:spacing w:after="0"/>
              <w:rPr>
                <w:sz w:val="1"/>
                <w:szCs w:val="1"/>
                <w:color w:val="auto"/>
              </w:rPr>
            </w:pPr>
          </w:p>
        </w:tc>
      </w:tr>
      <w:tr>
        <w:trPr>
          <w:trHeight w:val="156"/>
        </w:trPr>
        <w:tc>
          <w:tcPr>
            <w:tcW w:w="8220" w:type="dxa"/>
            <w:vAlign w:val="bottom"/>
          </w:tcPr>
          <w:p>
            <w:pPr>
              <w:ind w:left="360"/>
              <w:spacing w:after="0" w:line="155" w:lineRule="exact"/>
              <w:rPr>
                <w:sz w:val="20"/>
                <w:szCs w:val="20"/>
                <w:color w:val="auto"/>
              </w:rPr>
            </w:pPr>
            <w:r>
              <w:rPr>
                <w:rFonts w:ascii="Arial" w:cs="Arial" w:eastAsia="Arial" w:hAnsi="Arial"/>
                <w:sz w:val="14"/>
                <w:szCs w:val="14"/>
                <w:color w:val="auto"/>
              </w:rPr>
              <w:t>Total of investments (cost—$1,318,854,320 and $1,091,517,885, respectively)</w:t>
            </w: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1,318,054,766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1,078,175,553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(cost—$66,600,195 and $58,440,829, respectively) (See Note 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66,518,682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58,440,829</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13,703,525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10,894,893</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13,550,224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5,815,817</w:t>
            </w:r>
          </w:p>
        </w:tc>
        <w:tc>
          <w:tcPr>
            <w:tcW w:w="0" w:type="dxa"/>
            <w:vAlign w:val="bottom"/>
          </w:tcPr>
          <w:p>
            <w:pPr>
              <w:spacing w:after="0"/>
              <w:rPr>
                <w:sz w:val="1"/>
                <w:szCs w:val="1"/>
                <w:color w:val="auto"/>
              </w:rPr>
            </w:pPr>
          </w:p>
        </w:tc>
      </w:tr>
      <w:tr>
        <w:trPr>
          <w:trHeight w:val="163"/>
        </w:trPr>
        <w:tc>
          <w:tcPr>
            <w:tcW w:w="8220" w:type="dxa"/>
            <w:vAlign w:val="bottom"/>
          </w:tcPr>
          <w:p>
            <w:pPr>
              <w:ind w:left="720"/>
              <w:spacing w:after="0" w:line="155"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1,411,827,197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21,026,015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18,619,812</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4,432,500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52,544,704</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15,607,059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7,241,667</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(cost—$55,226,300 and $145,500,000, respectively) (See Notes 5 and 11)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53,497,620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145,500,000</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11)</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150,000,000</w:t>
            </w:r>
          </w:p>
        </w:tc>
        <w:tc>
          <w:tcPr>
            <w:tcW w:w="0" w:type="dxa"/>
            <w:vAlign w:val="bottom"/>
          </w:tcPr>
          <w:p>
            <w:pPr>
              <w:spacing w:after="0"/>
              <w:rPr>
                <w:sz w:val="1"/>
                <w:szCs w:val="1"/>
                <w:color w:val="auto"/>
              </w:rPr>
            </w:pPr>
          </w:p>
        </w:tc>
      </w:tr>
      <w:tr>
        <w:trPr>
          <w:trHeight w:val="149"/>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(cost—$250,000,000) (See Notes 5 and 11)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2025 Notes payable (cost—$71,250,000) (See Notes 5 and 11)</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68,400,000</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6,385,103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5,419,557</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80" w:type="dxa"/>
            <w:vAlign w:val="bottom"/>
          </w:tcPr>
          <w:p>
            <w:pPr>
              <w:spacing w:after="0"/>
              <w:rPr>
                <w:sz w:val="12"/>
                <w:szCs w:val="12"/>
                <w:color w:val="auto"/>
              </w:rPr>
            </w:pP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4,622,754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4,274,881</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1,962,264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1,810,466</w:t>
            </w: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3,113,683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2,009,806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583,817,248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455,820,893</w:t>
            </w:r>
          </w:p>
        </w:tc>
        <w:tc>
          <w:tcPr>
            <w:tcW w:w="0" w:type="dxa"/>
            <w:vAlign w:val="bottom"/>
          </w:tcPr>
          <w:p>
            <w:pPr>
              <w:spacing w:after="0"/>
              <w:rPr>
                <w:sz w:val="1"/>
                <w:szCs w:val="1"/>
                <w:color w:val="auto"/>
              </w:rPr>
            </w:pPr>
          </w:p>
        </w:tc>
      </w:tr>
      <w:tr>
        <w:trPr>
          <w:trHeight w:val="156"/>
        </w:trPr>
        <w:tc>
          <w:tcPr>
            <w:tcW w:w="82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220" w:type="dxa"/>
            <w:vAlign w:val="bottom"/>
          </w:tcPr>
          <w:p>
            <w:pPr>
              <w:spacing w:after="0" w:line="130" w:lineRule="exact"/>
              <w:rPr>
                <w:sz w:val="20"/>
                <w:szCs w:val="20"/>
                <w:color w:val="auto"/>
              </w:rPr>
            </w:pPr>
            <w:r>
              <w:rPr>
                <w:rFonts w:ascii="Arial" w:cs="Arial" w:eastAsia="Arial" w:hAnsi="Arial"/>
                <w:sz w:val="14"/>
                <w:szCs w:val="14"/>
                <w:color w:val="auto"/>
              </w:rPr>
              <w:t>Common stock, 75,092,911 and 66,499,327 shares issued and outstanding, respectively.</w:t>
            </w: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220" w:type="dxa"/>
            <w:vAlign w:val="bottom"/>
          </w:tcPr>
          <w:p>
            <w:pPr>
              <w:ind w:left="520"/>
              <w:spacing w:after="0"/>
              <w:rPr>
                <w:sz w:val="20"/>
                <w:szCs w:val="20"/>
                <w:color w:val="auto"/>
              </w:rPr>
            </w:pPr>
            <w:r>
              <w:rPr>
                <w:rFonts w:ascii="Arial" w:cs="Arial" w:eastAsia="Arial" w:hAnsi="Arial"/>
                <w:sz w:val="14"/>
                <w:szCs w:val="14"/>
                <w:color w:val="auto"/>
              </w:rPr>
              <w:t>Par value $0.001 per share and 100,000,000 shares authorized.</w:t>
            </w:r>
          </w:p>
        </w:tc>
        <w:tc>
          <w:tcPr>
            <w:tcW w:w="8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75,093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66,499</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852,465,375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756,017,096</w:t>
            </w: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80" w:type="dxa"/>
            <w:vAlign w:val="bottom"/>
          </w:tcPr>
          <w:p>
            <w:pPr>
              <w:spacing w:after="0"/>
              <w:rPr>
                <w:sz w:val="12"/>
                <w:szCs w:val="12"/>
                <w:color w:val="auto"/>
              </w:rPr>
            </w:pPr>
          </w:p>
        </w:tc>
        <w:tc>
          <w:tcPr>
            <w:tcW w:w="14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(11,802,580)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(4,675,217)</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(11,655,302)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(43,409,847)</w:t>
            </w:r>
          </w:p>
        </w:tc>
        <w:tc>
          <w:tcPr>
            <w:tcW w:w="0" w:type="dxa"/>
            <w:vAlign w:val="bottom"/>
          </w:tcPr>
          <w:p>
            <w:pPr>
              <w:spacing w:after="0"/>
              <w:rPr>
                <w:sz w:val="1"/>
                <w:szCs w:val="1"/>
                <w:color w:val="auto"/>
              </w:rPr>
            </w:pPr>
          </w:p>
        </w:tc>
      </w:tr>
      <w:tr>
        <w:trPr>
          <w:trHeight w:val="148"/>
        </w:trPr>
        <w:tc>
          <w:tcPr>
            <w:tcW w:w="822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investments and cash</w:t>
            </w:r>
          </w:p>
        </w:tc>
        <w:tc>
          <w:tcPr>
            <w:tcW w:w="80" w:type="dxa"/>
            <w:vAlign w:val="bottom"/>
          </w:tcPr>
          <w:p>
            <w:pPr>
              <w:spacing w:after="0"/>
              <w:rPr>
                <w:sz w:val="12"/>
                <w:szCs w:val="12"/>
                <w:color w:val="auto"/>
              </w:rPr>
            </w:pPr>
          </w:p>
        </w:tc>
        <w:tc>
          <w:tcPr>
            <w:tcW w:w="14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(881,067)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(13,342,332)</w:t>
            </w:r>
          </w:p>
        </w:tc>
        <w:tc>
          <w:tcPr>
            <w:tcW w:w="0" w:type="dxa"/>
            <w:vAlign w:val="bottom"/>
          </w:tcPr>
          <w:p>
            <w:pPr>
              <w:spacing w:after="0"/>
              <w:rPr>
                <w:sz w:val="1"/>
                <w:szCs w:val="1"/>
                <w:color w:val="auto"/>
              </w:rPr>
            </w:pPr>
          </w:p>
        </w:tc>
      </w:tr>
      <w:tr>
        <w:trPr>
          <w:trHeight w:val="148"/>
        </w:trPr>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debt</w:t>
            </w: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(191,570)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2,850,000</w:t>
            </w:r>
          </w:p>
        </w:tc>
        <w:tc>
          <w:tcPr>
            <w:tcW w:w="0" w:type="dxa"/>
            <w:vAlign w:val="bottom"/>
          </w:tcPr>
          <w:p>
            <w:pPr>
              <w:spacing w:after="0"/>
              <w:rPr>
                <w:sz w:val="1"/>
                <w:szCs w:val="1"/>
                <w:color w:val="auto"/>
              </w:rPr>
            </w:pPr>
          </w:p>
        </w:tc>
      </w:tr>
      <w:tr>
        <w:trPr>
          <w:trHeight w:val="163"/>
        </w:trPr>
        <w:tc>
          <w:tcPr>
            <w:tcW w:w="8220" w:type="dxa"/>
            <w:vAlign w:val="bottom"/>
          </w:tcPr>
          <w:p>
            <w:pPr>
              <w:ind w:left="720"/>
              <w:spacing w:after="0" w:line="155" w:lineRule="exact"/>
              <w:rPr>
                <w:sz w:val="20"/>
                <w:szCs w:val="20"/>
                <w:color w:val="auto"/>
              </w:rPr>
            </w:pPr>
            <w:r>
              <w:rPr>
                <w:rFonts w:ascii="Arial" w:cs="Arial" w:eastAsia="Arial" w:hAnsi="Arial"/>
                <w:sz w:val="14"/>
                <w:szCs w:val="14"/>
                <w:b w:val="1"/>
                <w:bCs w:val="1"/>
                <w:color w:val="auto"/>
              </w:rPr>
              <w:t>Total net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697,506,199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1,411,827,197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1,153,327,092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124,850,558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107,058,958</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99,663,198</w:t>
            </w: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9,692,254</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10,883,261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8,486,387</w:t>
            </w: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5,656,300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5,841,127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3,542,583</w:t>
            </w: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597,400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02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7,278,060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4,806,329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1,700,222</w:t>
            </w:r>
          </w:p>
        </w:tc>
        <w:tc>
          <w:tcPr>
            <w:tcW w:w="0" w:type="dxa"/>
            <w:vAlign w:val="bottom"/>
          </w:tcPr>
          <w:p>
            <w:pPr>
              <w:spacing w:after="0"/>
              <w:rPr>
                <w:sz w:val="1"/>
                <w:szCs w:val="1"/>
                <w:color w:val="auto"/>
              </w:rPr>
            </w:pPr>
          </w:p>
        </w:tc>
      </w:tr>
      <w:tr>
        <w:trPr>
          <w:trHeight w:val="149"/>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459,166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147,936,338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129,187,075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113,392,390</w:t>
            </w:r>
          </w:p>
        </w:tc>
        <w:tc>
          <w:tcPr>
            <w:tcW w:w="0" w:type="dxa"/>
            <w:vAlign w:val="bottom"/>
          </w:tcPr>
          <w:p>
            <w:pPr>
              <w:spacing w:after="0"/>
              <w:rPr>
                <w:sz w:val="1"/>
                <w:szCs w:val="1"/>
                <w:color w:val="auto"/>
              </w:rPr>
            </w:pPr>
          </w:p>
        </w:tc>
      </w:tr>
      <w:tr>
        <w:trPr>
          <w:trHeight w:val="156"/>
        </w:trPr>
        <w:tc>
          <w:tcPr>
            <w:tcW w:w="80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24,291,420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21,288,728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17,507,262</w:t>
            </w: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17,832,129</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16,793,089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14,223,777</w:t>
            </w: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20,260,652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15,384,208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11,680,634</w:t>
            </w: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2,953,423</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3,161,158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3,745,741</w:t>
            </w: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2,860,094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2,857,739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3,496,326</w:t>
            </w:r>
          </w:p>
        </w:tc>
        <w:tc>
          <w:tcPr>
            <w:tcW w:w="0" w:type="dxa"/>
            <w:vAlign w:val="bottom"/>
          </w:tcPr>
          <w:p>
            <w:pPr>
              <w:spacing w:after="0"/>
              <w:rPr>
                <w:sz w:val="1"/>
                <w:szCs w:val="1"/>
                <w:color w:val="auto"/>
              </w:rPr>
            </w:pPr>
          </w:p>
        </w:tc>
      </w:tr>
      <w:tr>
        <w:trPr>
          <w:trHeight w:val="155"/>
        </w:trPr>
        <w:tc>
          <w:tcPr>
            <w:tcW w:w="802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59,484,922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50,653,740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Tax expense (benefit)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72,603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(53,468)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307,990</w:t>
            </w:r>
          </w:p>
        </w:tc>
        <w:tc>
          <w:tcPr>
            <w:tcW w:w="0" w:type="dxa"/>
            <w:vAlign w:val="bottom"/>
          </w:tcPr>
          <w:p>
            <w:pPr>
              <w:spacing w:after="0"/>
              <w:rPr>
                <w:sz w:val="1"/>
                <w:szCs w:val="1"/>
                <w:color w:val="auto"/>
              </w:rPr>
            </w:pPr>
          </w:p>
        </w:tc>
      </w:tr>
      <w:tr>
        <w:trPr>
          <w:trHeight w:val="149"/>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Debt issuance costs (See Note 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8,337,500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2,757,500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5,361,319</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Total expenses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76,607,821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62,188,954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56,323,049</w:t>
            </w:r>
          </w:p>
        </w:tc>
        <w:tc>
          <w:tcPr>
            <w:tcW w:w="0" w:type="dxa"/>
            <w:vAlign w:val="bottom"/>
          </w:tcPr>
          <w:p>
            <w:pPr>
              <w:spacing w:after="0"/>
              <w:rPr>
                <w:sz w:val="1"/>
                <w:szCs w:val="1"/>
                <w:color w:val="auto"/>
              </w:rPr>
            </w:pPr>
          </w:p>
        </w:tc>
      </w:tr>
      <w:tr>
        <w:trPr>
          <w:trHeight w:val="163"/>
        </w:trPr>
        <w:tc>
          <w:tcPr>
            <w:tcW w:w="802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71,328,517</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66,998,121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57,069,341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2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30,235,265</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(12,798,035)</w:t>
            </w: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Non-controlled, non-affiliated investments and cash</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468,076</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17,932,839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42,727,722</w:t>
            </w: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11,993,189</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(13,143,019)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(22,085,553)</w:t>
            </w:r>
          </w:p>
        </w:tc>
        <w:tc>
          <w:tcPr>
            <w:tcW w:w="0" w:type="dxa"/>
            <w:vAlign w:val="bottom"/>
          </w:tcPr>
          <w:p>
            <w:pPr>
              <w:spacing w:after="0"/>
              <w:rPr>
                <w:sz w:val="1"/>
                <w:szCs w:val="1"/>
                <w:color w:val="auto"/>
              </w:rPr>
            </w:pPr>
          </w:p>
        </w:tc>
      </w:tr>
      <w:tr>
        <w:trPr>
          <w:trHeight w:val="148"/>
        </w:trPr>
        <w:tc>
          <w:tcPr>
            <w:tcW w:w="8020" w:type="dxa"/>
            <w:vAlign w:val="bottom"/>
          </w:tcPr>
          <w:p>
            <w:pPr>
              <w:ind w:left="480"/>
              <w:spacing w:after="0" w:line="149" w:lineRule="exact"/>
              <w:rPr>
                <w:sz w:val="20"/>
                <w:szCs w:val="20"/>
                <w:color w:val="auto"/>
              </w:rPr>
            </w:pPr>
            <w:r>
              <w:rPr>
                <w:rFonts w:ascii="Arial" w:cs="Arial" w:eastAsia="Arial" w:hAnsi="Arial"/>
                <w:sz w:val="14"/>
                <w:szCs w:val="14"/>
                <w:color w:val="auto"/>
              </w:rPr>
              <w:t>Debt (appreciation) depreciation (See Notes 5 and 11)</w:t>
            </w: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(3,041,570)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Net change in unrealized appreciation (depreciation)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9,419,695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7,092,320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19,081,794</w:t>
            </w:r>
          </w:p>
        </w:tc>
        <w:tc>
          <w:tcPr>
            <w:tcW w:w="0" w:type="dxa"/>
            <w:vAlign w:val="bottom"/>
          </w:tcPr>
          <w:p>
            <w:pPr>
              <w:spacing w:after="0"/>
              <w:rPr>
                <w:sz w:val="1"/>
                <w:szCs w:val="1"/>
                <w:color w:val="auto"/>
              </w:rPr>
            </w:pPr>
          </w:p>
        </w:tc>
      </w:tr>
      <w:tr>
        <w:trPr>
          <w:trHeight w:val="163"/>
        </w:trPr>
        <w:tc>
          <w:tcPr>
            <w:tcW w:w="802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39,654,960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24,779,531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6,283,759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110,983,477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91,777,652</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63,353,100</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 per common share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69"/>
              <w:spacing w:after="0"/>
              <w:rPr>
                <w:sz w:val="20"/>
                <w:szCs w:val="20"/>
                <w:color w:val="auto"/>
              </w:rPr>
            </w:pPr>
            <w:r>
              <w:rPr>
                <w:rFonts w:ascii="Arial" w:cs="Arial" w:eastAsia="Arial" w:hAnsi="Arial"/>
                <w:sz w:val="14"/>
                <w:szCs w:val="14"/>
                <w:b w:val="1"/>
                <w:bCs w:val="1"/>
                <w:color w:val="auto"/>
              </w:rPr>
              <w:t>Years Ended 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Net investment income</w:t>
            </w:r>
          </w:p>
        </w:tc>
        <w:tc>
          <w:tcPr>
            <w:tcW w:w="1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71,328,517</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66,998,121</w:t>
            </w:r>
          </w:p>
        </w:tc>
        <w:tc>
          <w:tcPr>
            <w:tcW w:w="3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57,069,341</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realized gain (loss) on investments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30,235,265</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17,687,211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Net change in unrealized appreciation on investments and cash</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12,461,265</w:t>
            </w: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4,789,820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20,642,169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(3,041,570)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2,302,500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63"/>
        </w:trPr>
        <w:tc>
          <w:tcPr>
            <w:tcW w:w="6240" w:type="dxa"/>
            <w:vAlign w:val="bottom"/>
          </w:tcPr>
          <w:p>
            <w:pPr>
              <w:ind w:left="5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91,777,652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63,353,100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Distribution of net investment income</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(76,937,761)</w:t>
            </w:r>
          </w:p>
        </w:tc>
        <w:tc>
          <w:tcPr>
            <w:tcW w:w="220" w:type="dxa"/>
            <w:vAlign w:val="bottom"/>
          </w:tcPr>
          <w:p>
            <w:pPr>
              <w:spacing w:after="0"/>
              <w:rPr>
                <w:sz w:val="13"/>
                <w:szCs w:val="13"/>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(74,398,129)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(60,137,978)</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2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Public offerings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98,855,000</w:t>
            </w: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7,574,000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206,572,500</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Offering costs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(3,465,650)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(265,090)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8"/>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Reinvestment of distributions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1,068,684</w:t>
            </w: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3,100,719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4,989,529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96,458,034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10,409,629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203,844,729</w:t>
            </w:r>
          </w:p>
        </w:tc>
        <w:tc>
          <w:tcPr>
            <w:tcW w:w="0" w:type="dxa"/>
            <w:vAlign w:val="bottom"/>
          </w:tcPr>
          <w:p>
            <w:pPr>
              <w:spacing w:after="0"/>
              <w:rPr>
                <w:sz w:val="1"/>
                <w:szCs w:val="1"/>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130,503,750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27,789,152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207,059,851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Beginning of year</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697,506,199</w:t>
            </w: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669,717,047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462,657,196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End of year</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828,009,949</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697,506,199</w:t>
            </w:r>
          </w:p>
        </w:tc>
        <w:tc>
          <w:tcPr>
            <w:tcW w:w="3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669,717,047</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520"/>
              <w:spacing w:after="0"/>
              <w:rPr>
                <w:sz w:val="20"/>
                <w:szCs w:val="20"/>
                <w:color w:val="auto"/>
              </w:rPr>
            </w:pPr>
            <w:r>
              <w:rPr>
                <w:rFonts w:ascii="Arial" w:cs="Arial" w:eastAsia="Arial" w:hAnsi="Arial"/>
                <w:sz w:val="14"/>
                <w:szCs w:val="14"/>
                <w:color w:val="auto"/>
              </w:rPr>
              <w:t>(Distributions in excess of) Undistributed net investment income, end of year</w:t>
            </w: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(11,802,580)</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(4,675,217)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2,804,397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500"/>
              <w:spacing w:after="0" w:line="149" w:lineRule="exact"/>
              <w:rPr>
                <w:sz w:val="20"/>
                <w:szCs w:val="20"/>
                <w:color w:val="auto"/>
              </w:rPr>
            </w:pPr>
            <w:r>
              <w:rPr>
                <w:rFonts w:ascii="Arial" w:cs="Arial" w:eastAsia="Arial" w:hAnsi="Arial"/>
                <w:sz w:val="14"/>
                <w:szCs w:val="14"/>
                <w:color w:val="auto"/>
              </w:rPr>
              <w:t>Shares issued from public offerings</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8,500,000</w:t>
            </w: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19,350,000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Shares issued from reinvestment of distributions</w:t>
            </w: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93,584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284,824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474,722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110,983,477</w:t>
            </w: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91,777,652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63,353,100</w:t>
            </w:r>
          </w:p>
        </w:tc>
        <w:tc>
          <w:tcPr>
            <w:tcW w:w="0" w:type="dxa"/>
            <w:vAlign w:val="bottom"/>
          </w:tcPr>
          <w:p>
            <w:pPr>
              <w:spacing w:after="0"/>
              <w:rPr>
                <w:sz w:val="1"/>
                <w:szCs w:val="1"/>
                <w:color w:val="auto"/>
              </w:rPr>
            </w:pPr>
          </w:p>
        </w:tc>
      </w:tr>
      <w:tr>
        <w:trPr>
          <w:trHeight w:val="130"/>
        </w:trPr>
        <w:tc>
          <w:tcPr>
            <w:tcW w:w="76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w w:val="99"/>
              </w:rPr>
              <w:t>Adjustments to reconcile net increase in net assets resulting from operations to net cash (used) provided by operating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6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Net change in net unrealized appreciation on investments and cash</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(12,461,265)</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(4,789,820)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(20,642,169)</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debt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3,041,570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gain on investments</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(30,235,265)</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(8,027,104)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(5,856,654)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(10,357,608)</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(795,089,483)</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(504,373,719)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(347,517,775)</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(10,961,812)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(11,814,084)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(9,065,502)</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 of investments</w:t>
            </w: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625,551,026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437,147,602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201,656,926</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(2,808,632)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4,033,969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(4,050,626)</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80" w:type="dxa"/>
            <w:vAlign w:val="bottom"/>
          </w:tcPr>
          <w:p>
            <w:pPr>
              <w:spacing w:after="0"/>
              <w:rPr>
                <w:sz w:val="12"/>
                <w:szCs w:val="12"/>
                <w:color w:val="auto"/>
              </w:rPr>
            </w:pP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12,240,763</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deferred financing costs and other assets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(6,984,407)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168,130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466,675</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(48,112,204)</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52,544,704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(18,572,499)</w:t>
            </w: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payable on debt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151,798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955,741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167,363</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fees payable</w:t>
            </w: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965,546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627,644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783,859</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347,873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67,892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433,160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accrued other expenses</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1,103,877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1,406,285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(172,535,005)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40,324,126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(115,339,638)</w:t>
            </w:r>
          </w:p>
        </w:tc>
        <w:tc>
          <w:tcPr>
            <w:tcW w:w="0" w:type="dxa"/>
            <w:vAlign w:val="bottom"/>
          </w:tcPr>
          <w:p>
            <w:pPr>
              <w:spacing w:after="0"/>
              <w:rPr>
                <w:sz w:val="1"/>
                <w:szCs w:val="1"/>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Public offerings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98,855,000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7,574,000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206,572,500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(3,465,650)</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(265,090)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(73,462,877)</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(68,501,660)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(51,660,628)</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2019 Notes issuance (See Note 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Proceeds from 2025 Notes issuance (See Note 11)</w:t>
            </w:r>
          </w:p>
        </w:tc>
        <w:tc>
          <w:tcPr>
            <w:tcW w:w="80" w:type="dxa"/>
            <w:vAlign w:val="bottom"/>
          </w:tcPr>
          <w:p>
            <w:pPr>
              <w:spacing w:after="0"/>
              <w:rPr>
                <w:sz w:val="12"/>
                <w:szCs w:val="12"/>
                <w:color w:val="auto"/>
              </w:rPr>
            </w:pP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71,250,000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 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1,186,753,100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1,099,800,000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927,900,000</w:t>
            </w:r>
          </w:p>
        </w:tc>
        <w:tc>
          <w:tcPr>
            <w:tcW w:w="0" w:type="dxa"/>
            <w:vAlign w:val="bottom"/>
          </w:tcPr>
          <w:p>
            <w:pPr>
              <w:spacing w:after="0"/>
              <w:rPr>
                <w:sz w:val="1"/>
                <w:szCs w:val="1"/>
                <w:color w:val="auto"/>
              </w:rPr>
            </w:pPr>
          </w:p>
        </w:tc>
      </w:tr>
      <w:tr>
        <w:trPr>
          <w:trHeight w:val="148"/>
        </w:trPr>
        <w:tc>
          <w:tcPr>
            <w:tcW w:w="768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 11)</w:t>
            </w: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1"/>
              </w:rPr>
              <w:t>(1,277,026,800)</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(1,099,300,000)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(1,023,800,000)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180,902,773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10,557,250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51,294,572</w:t>
            </w:r>
          </w:p>
        </w:tc>
        <w:tc>
          <w:tcPr>
            <w:tcW w:w="0" w:type="dxa"/>
            <w:vAlign w:val="bottom"/>
          </w:tcPr>
          <w:p>
            <w:pPr>
              <w:spacing w:after="0"/>
              <w:rPr>
                <w:sz w:val="1"/>
                <w:szCs w:val="1"/>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8,367,768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50,881,376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(64,045,066)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(289,915)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7,559,453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71,604,519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58,440,829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7,559,453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19,575,955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12,765,891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10,643,840</w:t>
            </w:r>
          </w:p>
        </w:tc>
        <w:tc>
          <w:tcPr>
            <w:tcW w:w="0" w:type="dxa"/>
            <w:vAlign w:val="bottom"/>
          </w:tcPr>
          <w:p>
            <w:pPr>
              <w:spacing w:after="0"/>
              <w:rPr>
                <w:sz w:val="1"/>
                <w:szCs w:val="1"/>
                <w:color w:val="auto"/>
              </w:rPr>
            </w:pPr>
          </w:p>
        </w:tc>
      </w:tr>
      <w:tr>
        <w:trPr>
          <w:trHeight w:val="163"/>
        </w:trPr>
        <w:tc>
          <w:tcPr>
            <w:tcW w:w="7680" w:type="dxa"/>
            <w:vAlign w:val="bottom"/>
          </w:tcPr>
          <w:p>
            <w:pPr>
              <w:ind w:left="440"/>
              <w:spacing w:after="0" w:line="155" w:lineRule="exact"/>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258,550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Distributions reinvested</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1,068,682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3,100,719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4,989,529</w:t>
            </w:r>
          </w:p>
        </w:tc>
        <w:tc>
          <w:tcPr>
            <w:tcW w:w="0" w:type="dxa"/>
            <w:vAlign w:val="bottom"/>
          </w:tcPr>
          <w:p>
            <w:pPr>
              <w:spacing w:after="0"/>
              <w:rPr>
                <w:sz w:val="1"/>
                <w:szCs w:val="1"/>
                <w:color w:val="auto"/>
              </w:rPr>
            </w:pPr>
          </w:p>
        </w:tc>
      </w:tr>
      <w:tr>
        <w:trPr>
          <w:trHeight w:val="155"/>
        </w:trPr>
        <w:tc>
          <w:tcPr>
            <w:tcW w:w="7680" w:type="dxa"/>
            <w:vAlign w:val="bottom"/>
          </w:tcPr>
          <w:p>
            <w:pPr>
              <w:ind w:left="440"/>
              <w:spacing w:after="0" w:line="155" w:lineRule="exact"/>
              <w:rPr>
                <w:sz w:val="20"/>
                <w:szCs w:val="20"/>
                <w:color w:val="auto"/>
              </w:rPr>
            </w:pPr>
            <w:r>
              <w:rPr>
                <w:rFonts w:ascii="Arial" w:cs="Arial" w:eastAsia="Arial" w:hAnsi="Arial"/>
                <w:sz w:val="14"/>
                <w:szCs w:val="14"/>
                <w:color w:val="auto"/>
              </w:rPr>
              <w:t>Conversions and non-cash exchanges</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59,126,053</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58,478,391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43,596,371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b w:val="1"/>
                <w:bCs w:val="1"/>
                <w:color w:val="auto"/>
                <w:w w:val="82"/>
              </w:rPr>
              <w:t>Basis Point</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3"/>
              </w:rPr>
              <w:t>Spread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4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Maturity /</w:t>
            </w:r>
          </w:p>
        </w:tc>
        <w:tc>
          <w:tcPr>
            <w:tcW w:w="128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1140" w:type="dxa"/>
            <w:vAlign w:val="bottom"/>
          </w:tcPr>
          <w:p>
            <w:pPr>
              <w:ind w:left="540"/>
              <w:spacing w:after="0"/>
              <w:rPr>
                <w:sz w:val="20"/>
                <w:szCs w:val="20"/>
                <w:color w:val="auto"/>
              </w:rPr>
            </w:pPr>
            <w:r>
              <w:rPr>
                <w:rFonts w:ascii="Arial" w:cs="Arial" w:eastAsia="Arial" w:hAnsi="Arial"/>
                <w:sz w:val="12"/>
                <w:szCs w:val="12"/>
                <w:b w:val="1"/>
                <w:bCs w:val="1"/>
                <w:color w:val="auto"/>
                <w:w w:val="98"/>
              </w:rPr>
              <w:t>Expiration</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900" w:type="dxa"/>
            <w:vAlign w:val="bottom"/>
            <w:gridSpan w:val="2"/>
          </w:tcPr>
          <w:p>
            <w:pPr>
              <w:ind w:left="26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0"/>
        </w:trPr>
        <w:tc>
          <w:tcPr>
            <w:tcW w:w="47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Companies—146.4% </w:t>
            </w:r>
            <w:r>
              <w:rPr>
                <w:rFonts w:ascii="Arial" w:cs="Arial" w:eastAsia="Arial" w:hAnsi="Arial"/>
                <w:sz w:val="9"/>
                <w:szCs w:val="9"/>
                <w:b w:val="1"/>
                <w:bCs w:val="1"/>
                <w:color w:val="auto"/>
              </w:rPr>
              <w:t>(1), (2)</w:t>
            </w:r>
          </w:p>
        </w:tc>
        <w:tc>
          <w:tcPr>
            <w:tcW w:w="11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First Lien Secured Debt—52.4%</w:t>
            </w:r>
          </w:p>
        </w:tc>
        <w:tc>
          <w:tcPr>
            <w:tcW w:w="11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03/21/2018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L+975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23,301,182</w:t>
            </w:r>
          </w:p>
        </w:tc>
        <w:tc>
          <w:tcPr>
            <w:tcW w:w="760" w:type="dxa"/>
            <w:vAlign w:val="bottom"/>
          </w:tcPr>
          <w:p>
            <w:pPr>
              <w:jc w:val="right"/>
              <w:spacing w:after="0"/>
              <w:rPr>
                <w:sz w:val="20"/>
                <w:szCs w:val="20"/>
                <w:color w:val="auto"/>
              </w:rPr>
            </w:pPr>
            <w:r>
              <w:rPr>
                <w:rFonts w:ascii="Arial" w:cs="Arial" w:eastAsia="Arial" w:hAnsi="Arial"/>
                <w:sz w:val="12"/>
                <w:szCs w:val="12"/>
                <w:color w:val="auto"/>
              </w:rPr>
              <w:t>$  22,545,408</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  24,466,241</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AKA Diversified Holdings, Inc.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04/02/2018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11.92%</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38,382,219</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37,594,531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38,835,189</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(9)</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04/02/2018</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7,500,000</w:t>
            </w:r>
          </w:p>
        </w:tc>
        <w:tc>
          <w:tcPr>
            <w:tcW w:w="760" w:type="dxa"/>
            <w:vAlign w:val="bottom"/>
          </w:tcPr>
          <w:p>
            <w:pPr>
              <w:jc w:val="right"/>
              <w:spacing w:after="0"/>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7,588,512</w:t>
            </w: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AP Gaming I, LLC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12/21/2020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Hotels, Motels, Inns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9.25%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5,210,625</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5,067,986</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5,236,678</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and Gaming</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10/20/2020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4,500,000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4,432,500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4,432,500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03/30/2017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Auto Sector</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11,369,159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12,463,125</w:t>
            </w: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InfuSystem Holdings, Inc.</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11/30/2016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13.16%</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P+992</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8,000,000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8,000,000</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8,190,480</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10/16/2017</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7,777,902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7,774,409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7,739,013</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K2 Pure Solutions NoCal, L.P.</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08/19/2019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6"/>
              </w:rPr>
              <w:t>Chemicals, Plastics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L+900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22,342,352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21,957,793</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22,003,560</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Rubber</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9.63%</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5,626,850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5,626,850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5,851,924</w:t>
            </w: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Patriot National, Inc.</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11/27/2018</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7"/>
              </w:rPr>
              <w:t>Insurance</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49,851,923</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47,685,257</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50,350,442</w:t>
            </w:r>
          </w:p>
        </w:tc>
        <w:tc>
          <w:tcPr>
            <w:tcW w:w="0" w:type="dxa"/>
            <w:vAlign w:val="bottom"/>
          </w:tcPr>
          <w:p>
            <w:pPr>
              <w:spacing w:after="0"/>
              <w:rPr>
                <w:sz w:val="1"/>
                <w:szCs w:val="1"/>
                <w:color w:val="auto"/>
              </w:rPr>
            </w:pPr>
          </w:p>
        </w:tc>
      </w:tr>
      <w:tr>
        <w:trPr>
          <w:trHeight w:val="151"/>
        </w:trPr>
        <w:tc>
          <w:tcPr>
            <w:tcW w:w="4720" w:type="dxa"/>
            <w:vAlign w:val="bottom"/>
          </w:tcPr>
          <w:p>
            <w:pPr>
              <w:ind w:left="120"/>
              <w:spacing w:after="0"/>
              <w:rPr>
                <w:sz w:val="20"/>
                <w:szCs w:val="20"/>
                <w:color w:val="auto"/>
              </w:rPr>
            </w:pPr>
            <w:r>
              <w:rPr>
                <w:rFonts w:ascii="Arial" w:cs="Arial" w:eastAsia="Arial" w:hAnsi="Arial"/>
                <w:sz w:val="12"/>
                <w:szCs w:val="12"/>
                <w:color w:val="auto"/>
              </w:rPr>
              <w:t>(f/k/a Old Guard Risk Services, Inc.)</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2420" w:type="dxa"/>
            <w:vAlign w:val="bottom"/>
            <w:gridSpan w:val="2"/>
            <w:shd w:val="clear" w:color="auto" w:fill="CCEEFF"/>
          </w:tcPr>
          <w:p>
            <w:pPr>
              <w:ind w:left="540"/>
              <w:spacing w:after="0" w:line="132" w:lineRule="exact"/>
              <w:rPr>
                <w:sz w:val="20"/>
                <w:szCs w:val="20"/>
                <w:color w:val="auto"/>
              </w:rPr>
            </w:pPr>
            <w:r>
              <w:rPr>
                <w:rFonts w:ascii="Arial" w:cs="Arial" w:eastAsia="Arial" w:hAnsi="Arial"/>
                <w:sz w:val="12"/>
                <w:szCs w:val="12"/>
                <w:color w:val="auto"/>
                <w:w w:val="97"/>
              </w:rPr>
              <w:t>12/16/2019   Mining, Steel, Iron and</w:t>
            </w:r>
          </w:p>
        </w:tc>
        <w:tc>
          <w:tcPr>
            <w:tcW w:w="680" w:type="dxa"/>
            <w:vAlign w:val="bottom"/>
            <w:shd w:val="clear" w:color="auto" w:fill="CCEEFF"/>
          </w:tcPr>
          <w:p>
            <w:pPr>
              <w:jc w:val="right"/>
              <w:ind w:right="22"/>
              <w:spacing w:after="0" w:line="132" w:lineRule="exact"/>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w w:val="96"/>
              </w:rPr>
              <w:t>14,250,000</w:t>
            </w:r>
          </w:p>
        </w:tc>
        <w:tc>
          <w:tcPr>
            <w:tcW w:w="7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14,116,948</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15,960,000</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Non-Precious Metals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RAM Energy LLC, Tranche A</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07/18/2019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75,000,000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73,440,857</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74,250,000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RAM Energy LLC, Tranche B</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07/20/2015</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L+1,300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26,727,390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27,500,000</w:t>
            </w: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Robertshaw US Holding Corp.</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06/18/2019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91"/>
              </w:rPr>
              <w:t>Electronics</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12,352,942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12,235,053</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12,331,043</w:t>
            </w:r>
          </w:p>
        </w:tc>
        <w:tc>
          <w:tcPr>
            <w:tcW w:w="0" w:type="dxa"/>
            <w:vAlign w:val="bottom"/>
          </w:tcPr>
          <w:p>
            <w:pPr>
              <w:spacing w:after="0"/>
              <w:rPr>
                <w:sz w:val="1"/>
                <w:szCs w:val="1"/>
                <w:color w:val="auto"/>
              </w:rPr>
            </w:pPr>
          </w:p>
        </w:tc>
      </w:tr>
      <w:tr>
        <w:trPr>
          <w:trHeight w:val="151"/>
        </w:trPr>
        <w:tc>
          <w:tcPr>
            <w:tcW w:w="4720" w:type="dxa"/>
            <w:vAlign w:val="bottom"/>
          </w:tcPr>
          <w:p>
            <w:pPr>
              <w:ind w:left="120"/>
              <w:spacing w:after="0"/>
              <w:rPr>
                <w:sz w:val="20"/>
                <w:szCs w:val="20"/>
                <w:color w:val="auto"/>
              </w:rPr>
            </w:pPr>
            <w:r>
              <w:rPr>
                <w:rFonts w:ascii="Arial" w:cs="Arial" w:eastAsia="Arial" w:hAnsi="Arial"/>
                <w:sz w:val="12"/>
                <w:szCs w:val="12"/>
                <w:color w:val="auto"/>
              </w:rPr>
              <w:t>(f/k/a Fox US Bidco Corp.)</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Robertshaw US Holding Corp.</w:t>
            </w:r>
          </w:p>
        </w:tc>
        <w:tc>
          <w:tcPr>
            <w:tcW w:w="1140" w:type="dxa"/>
            <w:vAlign w:val="bottom"/>
            <w:shd w:val="clear" w:color="auto" w:fill="CCEEFF"/>
          </w:tcPr>
          <w:p>
            <w:pPr>
              <w:ind w:left="540"/>
              <w:spacing w:after="0" w:line="132" w:lineRule="exact"/>
              <w:rPr>
                <w:sz w:val="20"/>
                <w:szCs w:val="20"/>
                <w:color w:val="auto"/>
              </w:rPr>
            </w:pPr>
            <w:r>
              <w:rPr>
                <w:rFonts w:ascii="Arial" w:cs="Arial" w:eastAsia="Arial" w:hAnsi="Arial"/>
                <w:sz w:val="12"/>
                <w:szCs w:val="12"/>
                <w:color w:val="auto"/>
                <w:w w:val="96"/>
              </w:rPr>
              <w:t>06/18/2019</w:t>
            </w:r>
          </w:p>
        </w:tc>
        <w:tc>
          <w:tcPr>
            <w:tcW w:w="128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1"/>
              </w:rPr>
              <w:t>Electronics</w:t>
            </w:r>
          </w:p>
        </w:tc>
        <w:tc>
          <w:tcPr>
            <w:tcW w:w="68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2,647,058</w:t>
            </w:r>
          </w:p>
        </w:tc>
        <w:tc>
          <w:tcPr>
            <w:tcW w:w="7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2,647,058</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2,642,366</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9"/>
                <w:szCs w:val="9"/>
                <w:color w:val="auto"/>
              </w:rPr>
              <w:t>(9)</w:t>
            </w: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04/21/2017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19,838,145</w:t>
            </w:r>
          </w:p>
        </w:tc>
        <w:tc>
          <w:tcPr>
            <w:tcW w:w="760" w:type="dxa"/>
            <w:vAlign w:val="bottom"/>
          </w:tcPr>
          <w:p>
            <w:pPr>
              <w:jc w:val="right"/>
              <w:spacing w:after="0"/>
              <w:rPr>
                <w:sz w:val="20"/>
                <w:szCs w:val="20"/>
                <w:color w:val="auto"/>
              </w:rPr>
            </w:pPr>
            <w:r>
              <w:rPr>
                <w:rFonts w:ascii="Arial" w:cs="Arial" w:eastAsia="Arial" w:hAnsi="Arial"/>
                <w:sz w:val="12"/>
                <w:szCs w:val="12"/>
                <w:color w:val="auto"/>
              </w:rPr>
              <w:t>18,826,225</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17,854,331</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04/30/2018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23,952,411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23,659,108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23,952,411</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 xml:space="preserve">TRAK Acquisition Corp. </w:t>
            </w:r>
            <w:r>
              <w:rPr>
                <w:rFonts w:ascii="Arial" w:cs="Arial" w:eastAsia="Arial" w:hAnsi="Arial"/>
                <w:sz w:val="9"/>
                <w:szCs w:val="9"/>
                <w:color w:val="auto"/>
              </w:rPr>
              <w:t>(9)</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10/31/2017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1,000,000</w:t>
            </w:r>
          </w:p>
        </w:tc>
        <w:tc>
          <w:tcPr>
            <w:tcW w:w="760" w:type="dxa"/>
            <w:vAlign w:val="bottom"/>
          </w:tcPr>
          <w:p>
            <w:pPr>
              <w:jc w:val="right"/>
              <w:spacing w:after="0"/>
              <w:rPr>
                <w:sz w:val="20"/>
                <w:szCs w:val="20"/>
                <w:color w:val="auto"/>
              </w:rPr>
            </w:pPr>
            <w:r>
              <w:rPr>
                <w:rFonts w:ascii="Arial" w:cs="Arial" w:eastAsia="Arial" w:hAnsi="Arial"/>
                <w:sz w:val="12"/>
                <w:szCs w:val="12"/>
                <w:color w:val="auto"/>
              </w:rPr>
              <w:t>985,000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(10), (12)</w:t>
            </w:r>
          </w:p>
        </w:tc>
        <w:tc>
          <w:tcPr>
            <w:tcW w:w="24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1"/>
              </w:rPr>
              <w:t>02/12/2020  Buildings and Real Estate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11.06%</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27,118,544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42,793,869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44,024,504</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U.S. Well Services, LLC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05/02/2019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16,235,293</w:t>
            </w:r>
          </w:p>
        </w:tc>
        <w:tc>
          <w:tcPr>
            <w:tcW w:w="760" w:type="dxa"/>
            <w:vAlign w:val="bottom"/>
          </w:tcPr>
          <w:p>
            <w:pPr>
              <w:jc w:val="right"/>
              <w:spacing w:after="0"/>
              <w:rPr>
                <w:sz w:val="20"/>
                <w:szCs w:val="20"/>
                <w:color w:val="auto"/>
              </w:rPr>
            </w:pPr>
            <w:r>
              <w:rPr>
                <w:rFonts w:ascii="Arial" w:cs="Arial" w:eastAsia="Arial" w:hAnsi="Arial"/>
                <w:sz w:val="12"/>
                <w:szCs w:val="12"/>
                <w:color w:val="auto"/>
              </w:rPr>
              <w:t>15,901,463</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16,206,786</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Worley Claims Services, LLC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07/06/2017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11,201,270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11,201,270</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11,425,295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2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422,088,134</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434,304,400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Debt—58.5%</w:t>
            </w: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09/01/2017</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91"/>
              </w:rPr>
              <w:t>Diversified Natural</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11.50%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25,400,000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25,400,000</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27,432,000</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84"/>
              </w:rPr>
              <w:t>Resources, Precious</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Metals and Minerals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Ascensus, Inc.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12/02/2020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15,500,000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15,297,220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15,655,000</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Bennu Oil &amp; Gas, LLC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11/01/2018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8.75%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19,750,360</w:t>
            </w:r>
          </w:p>
        </w:tc>
        <w:tc>
          <w:tcPr>
            <w:tcW w:w="760" w:type="dxa"/>
            <w:vAlign w:val="bottom"/>
          </w:tcPr>
          <w:p>
            <w:pPr>
              <w:jc w:val="right"/>
              <w:spacing w:after="0"/>
              <w:rPr>
                <w:sz w:val="20"/>
                <w:szCs w:val="20"/>
                <w:color w:val="auto"/>
              </w:rPr>
            </w:pPr>
            <w:r>
              <w:rPr>
                <w:rFonts w:ascii="Arial" w:cs="Arial" w:eastAsia="Arial" w:hAnsi="Arial"/>
                <w:sz w:val="12"/>
                <w:szCs w:val="12"/>
                <w:color w:val="auto"/>
              </w:rPr>
              <w:t>19,659,292</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19,635,216</w:t>
            </w: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Carolina Beverage Group, LLC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08/01/2018</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Beverage,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10.63%</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13,125,000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13,125,000</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13,551,562</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Tobacco</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CT Technologies Intermediate Holdings, Inc.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10/05/2020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14,000,000</w:t>
            </w:r>
          </w:p>
        </w:tc>
        <w:tc>
          <w:tcPr>
            <w:tcW w:w="760" w:type="dxa"/>
            <w:vAlign w:val="bottom"/>
          </w:tcPr>
          <w:p>
            <w:pPr>
              <w:jc w:val="right"/>
              <w:spacing w:after="0"/>
              <w:rPr>
                <w:sz w:val="20"/>
                <w:szCs w:val="20"/>
                <w:color w:val="auto"/>
              </w:rPr>
            </w:pPr>
            <w:r>
              <w:rPr>
                <w:rFonts w:ascii="Arial" w:cs="Arial" w:eastAsia="Arial" w:hAnsi="Arial"/>
                <w:sz w:val="12"/>
                <w:szCs w:val="12"/>
                <w:color w:val="auto"/>
              </w:rPr>
              <w:t>13,817,560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13,930,000</w:t>
            </w: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11/04/2021</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24,700,000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24,324,871</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24,700,000</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Foundation Building Materials, LLC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04/30/2019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Building Materials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44,557,044</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44,981,600</w:t>
            </w: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Foundation Building Materials, LLC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04/30/2019</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2"/>
              </w:rPr>
              <w:t>Building Materials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L+1,200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32,776,212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32,181,185</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32,762,810</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5"/>
              </w:rPr>
              <w:t>(PIK 1.00%)</w:t>
            </w: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03/01/2017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(6)</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3,945,483</w:t>
            </w:r>
          </w:p>
        </w:tc>
        <w:tc>
          <w:tcPr>
            <w:tcW w:w="760" w:type="dxa"/>
            <w:vAlign w:val="bottom"/>
          </w:tcPr>
          <w:p>
            <w:pPr>
              <w:jc w:val="right"/>
              <w:spacing w:after="0"/>
              <w:rPr>
                <w:sz w:val="20"/>
                <w:szCs w:val="20"/>
                <w:color w:val="auto"/>
              </w:rPr>
            </w:pPr>
            <w:r>
              <w:rPr>
                <w:rFonts w:ascii="Arial" w:cs="Arial" w:eastAsia="Arial" w:hAnsi="Arial"/>
                <w:sz w:val="12"/>
                <w:szCs w:val="12"/>
                <w:color w:val="auto"/>
              </w:rPr>
              <w:t>3,945,485</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1,183,645</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J.A. Cosmetics Holdings, Inc.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07/31/2019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34,000,000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33,374,349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34,505,954</w:t>
            </w: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Jacobs Entertainment, Inc.</w:t>
            </w:r>
          </w:p>
        </w:tc>
        <w:tc>
          <w:tcPr>
            <w:tcW w:w="2420" w:type="dxa"/>
            <w:vAlign w:val="bottom"/>
            <w:gridSpan w:val="2"/>
          </w:tcPr>
          <w:p>
            <w:pPr>
              <w:ind w:left="540"/>
              <w:spacing w:after="0" w:line="129" w:lineRule="exact"/>
              <w:rPr>
                <w:sz w:val="20"/>
                <w:szCs w:val="20"/>
                <w:color w:val="auto"/>
              </w:rPr>
            </w:pPr>
            <w:r>
              <w:rPr>
                <w:rFonts w:ascii="Arial" w:cs="Arial" w:eastAsia="Arial" w:hAnsi="Arial"/>
                <w:sz w:val="12"/>
                <w:szCs w:val="12"/>
                <w:color w:val="auto"/>
                <w:w w:val="95"/>
              </w:rPr>
              <w:t>10/29/2019  Hotels, Motels, Inns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38,950,000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38,400,639</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36,223,500</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Gaming</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KIK Custom Products Inc.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10/29/2019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9,368,296</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9,515,865</w:t>
            </w:r>
          </w:p>
        </w:tc>
        <w:tc>
          <w:tcPr>
            <w:tcW w:w="0" w:type="dxa"/>
            <w:vAlign w:val="bottom"/>
          </w:tcPr>
          <w:p>
            <w:pPr>
              <w:spacing w:after="0"/>
              <w:rPr>
                <w:sz w:val="1"/>
                <w:szCs w:val="1"/>
                <w:color w:val="auto"/>
              </w:rPr>
            </w:pPr>
          </w:p>
        </w:tc>
      </w:tr>
      <w:tr>
        <w:trPr>
          <w:trHeight w:val="129"/>
        </w:trPr>
        <w:tc>
          <w:tcPr>
            <w:tcW w:w="472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140" w:type="dxa"/>
            <w:vAlign w:val="bottom"/>
          </w:tcPr>
          <w:p>
            <w:pPr>
              <w:ind w:left="540"/>
              <w:spacing w:after="0" w:line="129" w:lineRule="exact"/>
              <w:rPr>
                <w:sz w:val="20"/>
                <w:szCs w:val="20"/>
                <w:color w:val="auto"/>
              </w:rPr>
            </w:pPr>
            <w:r>
              <w:rPr>
                <w:rFonts w:ascii="Arial" w:cs="Arial" w:eastAsia="Arial" w:hAnsi="Arial"/>
                <w:sz w:val="12"/>
                <w:szCs w:val="12"/>
                <w:color w:val="auto"/>
                <w:w w:val="96"/>
              </w:rPr>
              <w:t>12/20/2016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33,750,000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33,397,785</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33,384,487</w:t>
            </w:r>
          </w:p>
        </w:tc>
        <w:tc>
          <w:tcPr>
            <w:tcW w:w="0" w:type="dxa"/>
            <w:vAlign w:val="bottom"/>
          </w:tcPr>
          <w:p>
            <w:pPr>
              <w:spacing w:after="0"/>
              <w:rPr>
                <w:sz w:val="1"/>
                <w:szCs w:val="1"/>
                <w:color w:val="auto"/>
              </w:rPr>
            </w:pPr>
          </w:p>
        </w:tc>
      </w:tr>
      <w:tr>
        <w:trPr>
          <w:trHeight w:val="141"/>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11,875,000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11,585,997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12,379,687</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05/15/2019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44,615,705</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45,675,000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Novitex Acquisition, LLC</w:t>
            </w:r>
          </w:p>
        </w:tc>
        <w:tc>
          <w:tcPr>
            <w:tcW w:w="1140" w:type="dxa"/>
            <w:vAlign w:val="bottom"/>
            <w:shd w:val="clear" w:color="auto" w:fill="CCEEFF"/>
          </w:tcPr>
          <w:p>
            <w:pPr>
              <w:ind w:left="540"/>
              <w:spacing w:after="0"/>
              <w:rPr>
                <w:sz w:val="20"/>
                <w:szCs w:val="20"/>
                <w:color w:val="auto"/>
              </w:rPr>
            </w:pPr>
            <w:r>
              <w:rPr>
                <w:rFonts w:ascii="Arial" w:cs="Arial" w:eastAsia="Arial" w:hAnsi="Arial"/>
                <w:sz w:val="12"/>
                <w:szCs w:val="12"/>
                <w:color w:val="auto"/>
                <w:w w:val="96"/>
              </w:rPr>
              <w:t>07/07/2021</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41,250,000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40,850,421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40,425,000</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2"/>
                <w:szCs w:val="12"/>
                <w:color w:val="auto"/>
              </w:rPr>
              <w:t>Penton Media, Inc.</w:t>
            </w:r>
          </w:p>
        </w:tc>
        <w:tc>
          <w:tcPr>
            <w:tcW w:w="1140" w:type="dxa"/>
            <w:vAlign w:val="bottom"/>
          </w:tcPr>
          <w:p>
            <w:pPr>
              <w:ind w:left="540"/>
              <w:spacing w:after="0"/>
              <w:rPr>
                <w:sz w:val="20"/>
                <w:szCs w:val="20"/>
                <w:color w:val="auto"/>
              </w:rPr>
            </w:pPr>
            <w:r>
              <w:rPr>
                <w:rFonts w:ascii="Arial" w:cs="Arial" w:eastAsia="Arial" w:hAnsi="Arial"/>
                <w:sz w:val="12"/>
                <w:szCs w:val="12"/>
                <w:color w:val="auto"/>
                <w:w w:val="96"/>
              </w:rPr>
              <w:t>10/02/2020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21,000,000</w:t>
            </w:r>
          </w:p>
        </w:tc>
        <w:tc>
          <w:tcPr>
            <w:tcW w:w="760" w:type="dxa"/>
            <w:vAlign w:val="bottom"/>
          </w:tcPr>
          <w:p>
            <w:pPr>
              <w:jc w:val="right"/>
              <w:spacing w:after="0"/>
              <w:rPr>
                <w:sz w:val="20"/>
                <w:szCs w:val="20"/>
                <w:color w:val="auto"/>
              </w:rPr>
            </w:pPr>
            <w:r>
              <w:rPr>
                <w:rFonts w:ascii="Arial" w:cs="Arial" w:eastAsia="Arial" w:hAnsi="Arial"/>
                <w:sz w:val="12"/>
                <w:szCs w:val="12"/>
                <w:color w:val="auto"/>
              </w:rPr>
              <w:t>20,728,983</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20,973,750</w:t>
            </w:r>
          </w:p>
        </w:tc>
        <w:tc>
          <w:tcPr>
            <w:tcW w:w="0" w:type="dxa"/>
            <w:vAlign w:val="bottom"/>
          </w:tcPr>
          <w:p>
            <w:pPr>
              <w:spacing w:after="0"/>
              <w:rPr>
                <w:sz w:val="1"/>
                <w:szCs w:val="1"/>
                <w:color w:val="auto"/>
              </w:rPr>
            </w:pPr>
          </w:p>
        </w:tc>
      </w:tr>
      <w:tr>
        <w:trPr>
          <w:trHeight w:val="129"/>
        </w:trPr>
        <w:tc>
          <w:tcPr>
            <w:tcW w:w="4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Pre-Paid Legal Services, Inc.</w:t>
            </w:r>
          </w:p>
        </w:tc>
        <w:tc>
          <w:tcPr>
            <w:tcW w:w="1140" w:type="dxa"/>
            <w:vAlign w:val="bottom"/>
            <w:shd w:val="clear" w:color="auto" w:fill="CCEEFF"/>
          </w:tcPr>
          <w:p>
            <w:pPr>
              <w:ind w:left="540"/>
              <w:spacing w:after="0" w:line="129" w:lineRule="exact"/>
              <w:rPr>
                <w:sz w:val="20"/>
                <w:szCs w:val="20"/>
                <w:color w:val="auto"/>
              </w:rPr>
            </w:pPr>
            <w:r>
              <w:rPr>
                <w:rFonts w:ascii="Arial" w:cs="Arial" w:eastAsia="Arial" w:hAnsi="Arial"/>
                <w:sz w:val="12"/>
                <w:szCs w:val="12"/>
                <w:color w:val="auto"/>
                <w:w w:val="96"/>
              </w:rPr>
              <w:t>07/01/2020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56,750,000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56,012,103</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57,317,500</w:t>
            </w:r>
          </w:p>
        </w:tc>
        <w:tc>
          <w:tcPr>
            <w:tcW w:w="0" w:type="dxa"/>
            <w:vAlign w:val="bottom"/>
          </w:tcPr>
          <w:p>
            <w:pPr>
              <w:spacing w:after="0"/>
              <w:rPr>
                <w:sz w:val="1"/>
                <w:szCs w:val="1"/>
                <w:color w:val="auto"/>
              </w:rPr>
            </w:pPr>
          </w:p>
        </w:tc>
      </w:tr>
      <w:tr>
        <w:trPr>
          <w:trHeight w:val="141"/>
        </w:trPr>
        <w:tc>
          <w:tcPr>
            <w:tcW w:w="4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480,641,935</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484,232,576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Arial" w:cs="Arial" w:eastAsia="Arial" w:hAnsi="Arial"/>
                <w:sz w:val="12"/>
                <w:szCs w:val="12"/>
                <w:b w:val="1"/>
                <w:bCs w:val="1"/>
                <w:color w:val="auto"/>
                <w:w w:val="91"/>
              </w:rPr>
              <w:t>Basis Point</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660" w:type="dxa"/>
            <w:vAlign w:val="bottom"/>
          </w:tcPr>
          <w:p>
            <w:pPr>
              <w:jc w:val="center"/>
              <w:ind w:left="922"/>
              <w:spacing w:after="0" w:line="135" w:lineRule="exact"/>
              <w:rPr>
                <w:sz w:val="20"/>
                <w:szCs w:val="20"/>
                <w:color w:val="auto"/>
              </w:rPr>
            </w:pPr>
            <w:r>
              <w:rPr>
                <w:rFonts w:ascii="Arial" w:cs="Arial" w:eastAsia="Arial" w:hAnsi="Arial"/>
                <w:sz w:val="12"/>
                <w:szCs w:val="12"/>
                <w:b w:val="1"/>
                <w:bCs w:val="1"/>
                <w:color w:val="auto"/>
                <w:w w:val="97"/>
              </w:rPr>
              <w:t>Maturity /</w:t>
            </w:r>
          </w:p>
        </w:tc>
        <w:tc>
          <w:tcPr>
            <w:tcW w:w="184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84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1660" w:type="dxa"/>
            <w:vAlign w:val="bottom"/>
          </w:tcPr>
          <w:p>
            <w:pPr>
              <w:jc w:val="center"/>
              <w:ind w:left="902"/>
              <w:spacing w:after="0"/>
              <w:rPr>
                <w:sz w:val="20"/>
                <w:szCs w:val="20"/>
                <w:color w:val="auto"/>
              </w:rPr>
            </w:pPr>
            <w:r>
              <w:rPr>
                <w:rFonts w:ascii="Arial" w:cs="Arial" w:eastAsia="Arial" w:hAnsi="Arial"/>
                <w:sz w:val="12"/>
                <w:szCs w:val="12"/>
                <w:b w:val="1"/>
                <w:bCs w:val="1"/>
                <w:color w:val="auto"/>
                <w:w w:val="91"/>
              </w:rPr>
              <w:t>Expiration</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3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Notes—24.8%</w:t>
            </w:r>
          </w:p>
        </w:tc>
        <w:tc>
          <w:tcPr>
            <w:tcW w:w="166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Acentia, LLC</w:t>
            </w:r>
          </w:p>
        </w:tc>
        <w:tc>
          <w:tcPr>
            <w:tcW w:w="1660" w:type="dxa"/>
            <w:vAlign w:val="bottom"/>
          </w:tcPr>
          <w:p>
            <w:pPr>
              <w:jc w:val="center"/>
              <w:ind w:left="902"/>
              <w:spacing w:after="0"/>
              <w:rPr>
                <w:sz w:val="20"/>
                <w:szCs w:val="20"/>
                <w:color w:val="auto"/>
              </w:rPr>
            </w:pPr>
            <w:r>
              <w:rPr>
                <w:rFonts w:ascii="Arial" w:cs="Arial" w:eastAsia="Arial" w:hAnsi="Arial"/>
                <w:sz w:val="12"/>
                <w:szCs w:val="12"/>
                <w:color w:val="auto"/>
                <w:w w:val="89"/>
              </w:rPr>
              <w:t>10/02/2017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14.00%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19,000,000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  18,697,637</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  19,145,804</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660" w:type="dxa"/>
            <w:vAlign w:val="bottom"/>
            <w:shd w:val="clear" w:color="auto" w:fill="CCEEFF"/>
          </w:tcPr>
          <w:p>
            <w:pPr>
              <w:jc w:val="center"/>
              <w:ind w:left="902"/>
              <w:spacing w:after="0" w:line="129" w:lineRule="exact"/>
              <w:rPr>
                <w:sz w:val="20"/>
                <w:szCs w:val="20"/>
                <w:color w:val="auto"/>
              </w:rPr>
            </w:pPr>
            <w:r>
              <w:rPr>
                <w:rFonts w:ascii="Arial" w:cs="Arial" w:eastAsia="Arial" w:hAnsi="Arial"/>
                <w:sz w:val="12"/>
                <w:szCs w:val="12"/>
                <w:color w:val="auto"/>
                <w:w w:val="89"/>
              </w:rPr>
              <w:t>09/14/2018</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35,983,184</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31,471,438</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30,585,706</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14.50%)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660" w:type="dxa"/>
            <w:vAlign w:val="bottom"/>
          </w:tcPr>
          <w:p>
            <w:pPr>
              <w:jc w:val="center"/>
              <w:ind w:left="902"/>
              <w:spacing w:after="0"/>
              <w:rPr>
                <w:sz w:val="20"/>
                <w:szCs w:val="20"/>
                <w:color w:val="auto"/>
              </w:rPr>
            </w:pPr>
            <w:r>
              <w:rPr>
                <w:rFonts w:ascii="Arial" w:cs="Arial" w:eastAsia="Arial" w:hAnsi="Arial"/>
                <w:sz w:val="12"/>
                <w:szCs w:val="12"/>
                <w:color w:val="auto"/>
                <w:w w:val="89"/>
              </w:rPr>
              <w:t>08/15/2018</w:t>
            </w:r>
          </w:p>
        </w:tc>
        <w:tc>
          <w:tcPr>
            <w:tcW w:w="184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15,096,000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15,096,000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14,039,280</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Alegeus Technologies, LLC</w:t>
            </w:r>
          </w:p>
        </w:tc>
        <w:tc>
          <w:tcPr>
            <w:tcW w:w="1660" w:type="dxa"/>
            <w:vAlign w:val="bottom"/>
            <w:shd w:val="clear" w:color="auto" w:fill="CCEEFF"/>
          </w:tcPr>
          <w:p>
            <w:pPr>
              <w:jc w:val="center"/>
              <w:ind w:left="902"/>
              <w:spacing w:after="0"/>
              <w:rPr>
                <w:sz w:val="20"/>
                <w:szCs w:val="20"/>
                <w:color w:val="auto"/>
              </w:rPr>
            </w:pPr>
            <w:r>
              <w:rPr>
                <w:rFonts w:ascii="Arial" w:cs="Arial" w:eastAsia="Arial" w:hAnsi="Arial"/>
                <w:sz w:val="12"/>
                <w:szCs w:val="12"/>
                <w:color w:val="auto"/>
                <w:w w:val="89"/>
              </w:rPr>
              <w:t>02/15/2019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8,930,000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8,795,450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8,805,334</w:t>
            </w: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660" w:type="dxa"/>
            <w:vAlign w:val="bottom"/>
          </w:tcPr>
          <w:p>
            <w:pPr>
              <w:jc w:val="center"/>
              <w:ind w:left="902"/>
              <w:spacing w:after="0" w:line="129" w:lineRule="exact"/>
              <w:rPr>
                <w:sz w:val="20"/>
                <w:szCs w:val="20"/>
                <w:color w:val="auto"/>
              </w:rPr>
            </w:pPr>
            <w:r>
              <w:rPr>
                <w:rFonts w:ascii="Arial" w:cs="Arial" w:eastAsia="Arial" w:hAnsi="Arial"/>
                <w:sz w:val="12"/>
                <w:szCs w:val="12"/>
                <w:color w:val="auto"/>
                <w:w w:val="89"/>
              </w:rPr>
              <w:t>03/26/2018</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9"/>
              </w:rPr>
              <w:t>23,753,813</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23,422,959</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23,991,351</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1.00%)</w:t>
            </w: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Credit Infonet, Inc.</w:t>
            </w:r>
          </w:p>
        </w:tc>
        <w:tc>
          <w:tcPr>
            <w:tcW w:w="1660" w:type="dxa"/>
            <w:vAlign w:val="bottom"/>
            <w:shd w:val="clear" w:color="auto" w:fill="CCEEFF"/>
          </w:tcPr>
          <w:p>
            <w:pPr>
              <w:jc w:val="center"/>
              <w:ind w:left="902"/>
              <w:spacing w:after="0" w:line="132" w:lineRule="exact"/>
              <w:rPr>
                <w:sz w:val="20"/>
                <w:szCs w:val="20"/>
                <w:color w:val="auto"/>
              </w:rPr>
            </w:pPr>
            <w:r>
              <w:rPr>
                <w:rFonts w:ascii="Arial" w:cs="Arial" w:eastAsia="Arial" w:hAnsi="Arial"/>
                <w:sz w:val="12"/>
                <w:szCs w:val="12"/>
                <w:color w:val="auto"/>
                <w:w w:val="89"/>
              </w:rPr>
              <w:t>10/26/2018</w:t>
            </w:r>
          </w:p>
        </w:tc>
        <w:tc>
          <w:tcPr>
            <w:tcW w:w="184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5"/>
              </w:rPr>
              <w:t>Personal, Food and</w:t>
            </w:r>
          </w:p>
        </w:tc>
        <w:tc>
          <w:tcPr>
            <w:tcW w:w="8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12.50%</w:t>
            </w:r>
          </w:p>
        </w:tc>
        <w:tc>
          <w:tcPr>
            <w:tcW w:w="7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w w:val="99"/>
              </w:rPr>
              <w:t>10,633,397</w:t>
            </w:r>
          </w:p>
        </w:tc>
        <w:tc>
          <w:tcPr>
            <w:tcW w:w="92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10,462,892</w:t>
            </w:r>
          </w:p>
        </w:tc>
        <w:tc>
          <w:tcPr>
            <w:tcW w:w="9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10,261,422</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Miscellaneous Services</w:t>
            </w:r>
          </w:p>
        </w:tc>
        <w:tc>
          <w:tcPr>
            <w:tcW w:w="84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(PIK</w:t>
            </w: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1.25%)</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Energy &amp; Exploration Partners, Inc.</w:t>
            </w:r>
          </w:p>
        </w:tc>
        <w:tc>
          <w:tcPr>
            <w:tcW w:w="1660" w:type="dxa"/>
            <w:vAlign w:val="bottom"/>
          </w:tcPr>
          <w:p>
            <w:pPr>
              <w:jc w:val="center"/>
              <w:ind w:left="902"/>
              <w:spacing w:after="0"/>
              <w:rPr>
                <w:sz w:val="20"/>
                <w:szCs w:val="20"/>
                <w:color w:val="auto"/>
              </w:rPr>
            </w:pPr>
            <w:r>
              <w:rPr>
                <w:rFonts w:ascii="Arial" w:cs="Arial" w:eastAsia="Arial" w:hAnsi="Arial"/>
                <w:sz w:val="12"/>
                <w:szCs w:val="12"/>
                <w:color w:val="auto"/>
                <w:w w:val="89"/>
              </w:rPr>
              <w:t>07/01/2019</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9,500,000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9,500,000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9,310,000</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JF Acquisition, LLC</w:t>
            </w:r>
          </w:p>
        </w:tc>
        <w:tc>
          <w:tcPr>
            <w:tcW w:w="1660" w:type="dxa"/>
            <w:vAlign w:val="bottom"/>
            <w:shd w:val="clear" w:color="auto" w:fill="CCEEFF"/>
          </w:tcPr>
          <w:p>
            <w:pPr>
              <w:jc w:val="center"/>
              <w:ind w:left="902"/>
              <w:spacing w:after="0" w:line="129" w:lineRule="exact"/>
              <w:rPr>
                <w:sz w:val="20"/>
                <w:szCs w:val="20"/>
                <w:color w:val="auto"/>
              </w:rPr>
            </w:pPr>
            <w:r>
              <w:rPr>
                <w:rFonts w:ascii="Arial" w:cs="Arial" w:eastAsia="Arial" w:hAnsi="Arial"/>
                <w:sz w:val="12"/>
                <w:szCs w:val="12"/>
                <w:color w:val="auto"/>
                <w:w w:val="89"/>
              </w:rPr>
              <w:t>06/30/2017</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19,874,148</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19,543,873</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17,886,733</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MSPark, Inc.</w:t>
            </w:r>
          </w:p>
        </w:tc>
        <w:tc>
          <w:tcPr>
            <w:tcW w:w="1660" w:type="dxa"/>
            <w:vAlign w:val="bottom"/>
          </w:tcPr>
          <w:p>
            <w:pPr>
              <w:jc w:val="center"/>
              <w:ind w:left="902"/>
              <w:spacing w:after="0"/>
              <w:rPr>
                <w:sz w:val="20"/>
                <w:szCs w:val="20"/>
                <w:color w:val="auto"/>
              </w:rPr>
            </w:pPr>
            <w:r>
              <w:rPr>
                <w:rFonts w:ascii="Arial" w:cs="Arial" w:eastAsia="Arial" w:hAnsi="Arial"/>
                <w:sz w:val="12"/>
                <w:szCs w:val="12"/>
                <w:color w:val="auto"/>
                <w:w w:val="89"/>
              </w:rPr>
              <w:t>06/15/2017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14,758,098</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660" w:type="dxa"/>
            <w:vAlign w:val="bottom"/>
            <w:shd w:val="clear" w:color="auto" w:fill="CCEEFF"/>
          </w:tcPr>
          <w:p>
            <w:pPr>
              <w:jc w:val="center"/>
              <w:ind w:left="902"/>
              <w:spacing w:after="0" w:line="129" w:lineRule="exact"/>
              <w:rPr>
                <w:sz w:val="20"/>
                <w:szCs w:val="20"/>
                <w:color w:val="auto"/>
              </w:rPr>
            </w:pPr>
            <w:r>
              <w:rPr>
                <w:rFonts w:ascii="Arial" w:cs="Arial" w:eastAsia="Arial" w:hAnsi="Arial"/>
                <w:sz w:val="12"/>
                <w:szCs w:val="12"/>
                <w:color w:val="auto"/>
                <w:w w:val="89"/>
              </w:rPr>
              <w:t>11/15/2019</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13,500,000</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13,040,004</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10,665,000</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Power Products, LLC</w:t>
            </w:r>
          </w:p>
        </w:tc>
        <w:tc>
          <w:tcPr>
            <w:tcW w:w="1660" w:type="dxa"/>
            <w:vAlign w:val="bottom"/>
          </w:tcPr>
          <w:p>
            <w:pPr>
              <w:jc w:val="center"/>
              <w:ind w:left="902"/>
              <w:spacing w:after="0"/>
              <w:rPr>
                <w:sz w:val="20"/>
                <w:szCs w:val="20"/>
                <w:color w:val="auto"/>
              </w:rPr>
            </w:pPr>
            <w:r>
              <w:rPr>
                <w:rFonts w:ascii="Arial" w:cs="Arial" w:eastAsia="Arial" w:hAnsi="Arial"/>
                <w:sz w:val="12"/>
                <w:szCs w:val="12"/>
                <w:color w:val="auto"/>
                <w:w w:val="89"/>
              </w:rPr>
              <w:t>12/11/2020</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12.75%</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14,793,246</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15,225,000</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Randall-Reilly Publishing Company, LLC</w:t>
            </w:r>
          </w:p>
        </w:tc>
        <w:tc>
          <w:tcPr>
            <w:tcW w:w="1660" w:type="dxa"/>
            <w:vAlign w:val="bottom"/>
            <w:shd w:val="clear" w:color="auto" w:fill="CCEEFF"/>
          </w:tcPr>
          <w:p>
            <w:pPr>
              <w:jc w:val="center"/>
              <w:ind w:left="902"/>
              <w:spacing w:after="0"/>
              <w:rPr>
                <w:sz w:val="20"/>
                <w:szCs w:val="20"/>
                <w:color w:val="auto"/>
              </w:rPr>
            </w:pPr>
            <w:r>
              <w:rPr>
                <w:rFonts w:ascii="Arial" w:cs="Arial" w:eastAsia="Arial" w:hAnsi="Arial"/>
                <w:sz w:val="12"/>
                <w:szCs w:val="12"/>
                <w:color w:val="auto"/>
                <w:w w:val="89"/>
              </w:rPr>
              <w:t>04/15/2019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9"/>
              </w:rPr>
              <w:t>30,400,000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29,860,100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30,704,000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209,441,697</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205,619,630</w:t>
            </w:r>
          </w:p>
        </w:tc>
        <w:tc>
          <w:tcPr>
            <w:tcW w:w="0" w:type="dxa"/>
            <w:vAlign w:val="bottom"/>
          </w:tcPr>
          <w:p>
            <w:pPr>
              <w:spacing w:after="0"/>
              <w:rPr>
                <w:sz w:val="1"/>
                <w:szCs w:val="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Interests—1.6% </w:t>
            </w:r>
            <w:r>
              <w:rPr>
                <w:rFonts w:ascii="Arial" w:cs="Arial" w:eastAsia="Arial" w:hAnsi="Arial"/>
                <w:sz w:val="9"/>
                <w:szCs w:val="9"/>
                <w:b w:val="1"/>
                <w:bCs w:val="1"/>
                <w:color w:val="auto"/>
              </w:rPr>
              <w:t>(6)</w:t>
            </w:r>
          </w:p>
        </w:tc>
        <w:tc>
          <w:tcPr>
            <w:tcW w:w="16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AH Holdings, Inc.</w:t>
            </w:r>
          </w:p>
        </w:tc>
        <w:tc>
          <w:tcPr>
            <w:tcW w:w="1660" w:type="dxa"/>
            <w:vAlign w:val="bottom"/>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211</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660" w:type="dxa"/>
            <w:vAlign w:val="bottom"/>
            <w:shd w:val="clear" w:color="auto" w:fill="CCEEFF"/>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7,505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318,896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660" w:type="dxa"/>
            <w:vAlign w:val="bottom"/>
          </w:tcPr>
          <w:p>
            <w:pPr>
              <w:jc w:val="center"/>
              <w:ind w:left="8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949</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427,965</w:t>
            </w:r>
          </w:p>
        </w:tc>
        <w:tc>
          <w:tcPr>
            <w:tcW w:w="0" w:type="dxa"/>
            <w:vAlign w:val="bottom"/>
          </w:tcPr>
          <w:p>
            <w:pPr>
              <w:spacing w:after="0"/>
              <w:rPr>
                <w:sz w:val="1"/>
                <w:szCs w:val="1"/>
                <w:color w:val="auto"/>
              </w:rPr>
            </w:pPr>
          </w:p>
        </w:tc>
      </w:tr>
      <w:tr>
        <w:trPr>
          <w:trHeight w:val="151"/>
        </w:trPr>
        <w:tc>
          <w:tcPr>
            <w:tcW w:w="350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1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660" w:type="dxa"/>
            <w:vAlign w:val="bottom"/>
            <w:shd w:val="clear" w:color="auto" w:fill="CCEEFF"/>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76,357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765,307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2,216,474</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660" w:type="dxa"/>
            <w:vAlign w:val="bottom"/>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38,179</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382,654</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1,108,237</w:t>
            </w:r>
          </w:p>
        </w:tc>
        <w:tc>
          <w:tcPr>
            <w:tcW w:w="0" w:type="dxa"/>
            <w:vAlign w:val="bottom"/>
          </w:tcPr>
          <w:p>
            <w:pPr>
              <w:spacing w:after="0"/>
              <w:rPr>
                <w:sz w:val="1"/>
                <w:szCs w:val="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660" w:type="dxa"/>
            <w:vAlign w:val="bottom"/>
            <w:shd w:val="clear" w:color="auto" w:fill="CCEEFF"/>
          </w:tcPr>
          <w:p>
            <w:pPr>
              <w:jc w:val="center"/>
              <w:ind w:left="8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2,375</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2,375,000</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2,790,511</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(Convergint Technologies LLC)</w:t>
            </w:r>
          </w:p>
        </w:tc>
        <w:tc>
          <w:tcPr>
            <w:tcW w:w="16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1660" w:type="dxa"/>
            <w:vAlign w:val="bottom"/>
          </w:tcPr>
          <w:p>
            <w:pPr>
              <w:jc w:val="center"/>
              <w:ind w:left="8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3,397</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3,397,484</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3,580,328</w:t>
            </w:r>
          </w:p>
        </w:tc>
        <w:tc>
          <w:tcPr>
            <w:tcW w:w="0" w:type="dxa"/>
            <w:vAlign w:val="bottom"/>
          </w:tcPr>
          <w:p>
            <w:pPr>
              <w:spacing w:after="0"/>
              <w:rPr>
                <w:sz w:val="1"/>
                <w:szCs w:val="1"/>
                <w:color w:val="auto"/>
              </w:rPr>
            </w:pPr>
          </w:p>
        </w:tc>
      </w:tr>
      <w:tr>
        <w:trPr>
          <w:trHeight w:val="151"/>
        </w:trPr>
        <w:tc>
          <w:tcPr>
            <w:tcW w:w="3500" w:type="dxa"/>
            <w:vAlign w:val="bottom"/>
          </w:tcPr>
          <w:p>
            <w:pPr>
              <w:ind w:left="200"/>
              <w:spacing w:after="0"/>
              <w:rPr>
                <w:sz w:val="20"/>
                <w:szCs w:val="20"/>
                <w:color w:val="auto"/>
              </w:rPr>
            </w:pPr>
            <w:r>
              <w:rPr>
                <w:rFonts w:ascii="Arial" w:cs="Arial" w:eastAsia="Arial" w:hAnsi="Arial"/>
                <w:sz w:val="12"/>
                <w:szCs w:val="12"/>
                <w:color w:val="auto"/>
              </w:rPr>
              <w:t>(J.A. Cosmetics Holdings, Inc.)</w:t>
            </w:r>
          </w:p>
        </w:tc>
        <w:tc>
          <w:tcPr>
            <w:tcW w:w="1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Red Point, LLC</w:t>
            </w:r>
          </w:p>
        </w:tc>
        <w:tc>
          <w:tcPr>
            <w:tcW w:w="1660" w:type="dxa"/>
            <w:vAlign w:val="bottom"/>
            <w:shd w:val="clear" w:color="auto" w:fill="CCEEFF"/>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3,591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21,727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31,851</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Ride Holdings, Inc.</w:t>
            </w:r>
          </w:p>
        </w:tc>
        <w:tc>
          <w:tcPr>
            <w:tcW w:w="1660" w:type="dxa"/>
            <w:vAlign w:val="bottom"/>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1,966,667</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2,251,667</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712,145</w:t>
            </w: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660" w:type="dxa"/>
            <w:vAlign w:val="bottom"/>
            <w:shd w:val="clear" w:color="auto" w:fill="CCEEFF"/>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686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685,820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660" w:type="dxa"/>
            <w:vAlign w:val="bottom"/>
          </w:tcPr>
          <w:p>
            <w:pPr>
              <w:jc w:val="center"/>
              <w:ind w:left="8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1,312</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1,312,006</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1,799,366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6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12,959,611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13,352,697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2"/>
              </w:rPr>
              <w:t>Basis Point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Maturity /</w:t>
            </w: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92"/>
              </w:rPr>
              <w:t>Current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40" w:type="dxa"/>
            <w:vAlign w:val="bottom"/>
            <w:vMerge w:val="continue"/>
          </w:tcPr>
          <w:p>
            <w:pPr>
              <w:spacing w:after="0"/>
              <w:rPr>
                <w:sz w:val="12"/>
                <w:szCs w:val="12"/>
                <w:color w:val="auto"/>
              </w:rPr>
            </w:pPr>
          </w:p>
        </w:tc>
        <w:tc>
          <w:tcPr>
            <w:tcW w:w="1020" w:type="dxa"/>
            <w:vAlign w:val="bottom"/>
          </w:tcPr>
          <w:p>
            <w:pPr>
              <w:ind w:left="380"/>
              <w:spacing w:after="0"/>
              <w:rPr>
                <w:sz w:val="20"/>
                <w:szCs w:val="20"/>
                <w:color w:val="auto"/>
              </w:rPr>
            </w:pPr>
            <w:r>
              <w:rPr>
                <w:rFonts w:ascii="Arial" w:cs="Arial" w:eastAsia="Arial" w:hAnsi="Arial"/>
                <w:sz w:val="12"/>
                <w:szCs w:val="12"/>
                <w:b w:val="1"/>
                <w:bCs w:val="1"/>
                <w:color w:val="auto"/>
              </w:rPr>
              <w:t>Expiration</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3"/>
              </w:rPr>
              <w:t>Coupon</w:t>
            </w: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0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Interests/Warrants—9.1% </w:t>
            </w:r>
            <w:r>
              <w:rPr>
                <w:rFonts w:ascii="Arial" w:cs="Arial" w:eastAsia="Arial" w:hAnsi="Arial"/>
                <w:sz w:val="9"/>
                <w:szCs w:val="9"/>
                <w:b w:val="1"/>
                <w:bCs w:val="1"/>
                <w:color w:val="auto"/>
              </w:rPr>
              <w:t>(6)</w:t>
            </w:r>
          </w:p>
        </w:tc>
        <w:tc>
          <w:tcPr>
            <w:tcW w:w="1020" w:type="dxa"/>
            <w:vAlign w:val="bottom"/>
            <w:tcBorders>
              <w:top w:val="single" w:sz="8" w:color="auto"/>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1,998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2,000,000</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825,006</w:t>
            </w:r>
          </w:p>
        </w:tc>
        <w:tc>
          <w:tcPr>
            <w:tcW w:w="0" w:type="dxa"/>
            <w:vAlign w:val="bottom"/>
          </w:tcPr>
          <w:p>
            <w:pPr>
              <w:spacing w:after="0"/>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 Series A (Warrants)</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12/12/2023</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4,798,624</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10,265,972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8,997,421</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Affinion Group Holdings, Inc., Series B (Warrants)</w:t>
            </w:r>
          </w:p>
        </w:tc>
        <w:tc>
          <w:tcPr>
            <w:tcW w:w="1020" w:type="dxa"/>
            <w:vAlign w:val="bottom"/>
          </w:tcPr>
          <w:p>
            <w:pPr>
              <w:jc w:val="center"/>
              <w:ind w:left="222"/>
              <w:spacing w:after="0"/>
              <w:rPr>
                <w:sz w:val="20"/>
                <w:szCs w:val="20"/>
                <w:color w:val="auto"/>
              </w:rPr>
            </w:pPr>
            <w:r>
              <w:rPr>
                <w:rFonts w:ascii="Arial" w:cs="Arial" w:eastAsia="Arial" w:hAnsi="Arial"/>
                <w:sz w:val="12"/>
                <w:szCs w:val="12"/>
                <w:color w:val="auto"/>
                <w:w w:val="89"/>
              </w:rPr>
              <w:t>12/12/2023</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9,822,196</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196,444</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03/23/2021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753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151"/>
        </w:trPr>
        <w:tc>
          <w:tcPr>
            <w:tcW w:w="404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ASP LCG Holdings, Inc. (Warrants)</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05/05/2026</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Education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586,975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540,370</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Autumn Games, LLC</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Broadcasting and Entertainment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1,333,333</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(11)</w:t>
            </w:r>
          </w:p>
        </w:tc>
        <w:tc>
          <w:tcPr>
            <w:tcW w:w="102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6"/>
              </w:rPr>
              <w:t>Cargo Transport</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137,923</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4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(f/k/a Transportation 100 Holdco, L.L.C.)</w:t>
            </w:r>
          </w:p>
        </w:tc>
        <w:tc>
          <w:tcPr>
            <w:tcW w:w="10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(Intermediate Transportation 100, L.L.C.)</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207,242</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2,377,491</w:t>
            </w:r>
          </w:p>
        </w:tc>
        <w:tc>
          <w:tcPr>
            <w:tcW w:w="0" w:type="dxa"/>
            <w:vAlign w:val="bottom"/>
          </w:tcPr>
          <w:p>
            <w:pPr>
              <w:spacing w:after="0"/>
              <w:rPr>
                <w:sz w:val="1"/>
                <w:szCs w:val="1"/>
                <w:color w:val="auto"/>
              </w:rPr>
            </w:pPr>
          </w:p>
        </w:tc>
      </w:tr>
      <w:tr>
        <w:trPr>
          <w:trHeight w:val="151"/>
        </w:trPr>
        <w:tc>
          <w:tcPr>
            <w:tcW w:w="4040" w:type="dxa"/>
            <w:vAlign w:val="bottom"/>
          </w:tcPr>
          <w:p>
            <w:pPr>
              <w:ind w:left="160"/>
              <w:spacing w:after="0"/>
              <w:rPr>
                <w:sz w:val="20"/>
                <w:szCs w:val="20"/>
                <w:color w:val="auto"/>
              </w:rPr>
            </w:pPr>
            <w:r>
              <w:rPr>
                <w:rFonts w:ascii="Arial" w:cs="Arial" w:eastAsia="Arial" w:hAnsi="Arial"/>
                <w:sz w:val="12"/>
                <w:szCs w:val="12"/>
                <w:color w:val="auto"/>
              </w:rPr>
              <w:t>(Foundation Building Materials, LLC)</w:t>
            </w: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1020" w:type="dxa"/>
            <w:vAlign w:val="bottom"/>
            <w:shd w:val="clear" w:color="auto" w:fill="CCEEFF"/>
          </w:tcPr>
          <w:p>
            <w:pPr>
              <w:jc w:val="center"/>
              <w:ind w:left="242"/>
              <w:spacing w:after="0" w:line="132"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103,621</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1,125,000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1,188,746</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(Foundation Building Materials, LLC)</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1,505,000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1,505,000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1,847,186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23,416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234,693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679,750</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11,708</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339,875</w:t>
            </w: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02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2,375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760,634</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(Convergint Technologies LLC)</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5,556</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545,887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3,725,224</w:t>
            </w:r>
          </w:p>
        </w:tc>
        <w:tc>
          <w:tcPr>
            <w:tcW w:w="0" w:type="dxa"/>
            <w:vAlign w:val="bottom"/>
          </w:tcPr>
          <w:p>
            <w:pPr>
              <w:spacing w:after="0"/>
              <w:rPr>
                <w:sz w:val="1"/>
                <w:szCs w:val="1"/>
                <w:color w:val="auto"/>
              </w:rPr>
            </w:pPr>
          </w:p>
        </w:tc>
      </w:tr>
      <w:tr>
        <w:trPr>
          <w:trHeight w:val="151"/>
        </w:trPr>
        <w:tc>
          <w:tcPr>
            <w:tcW w:w="4040" w:type="dxa"/>
            <w:vAlign w:val="bottom"/>
          </w:tcPr>
          <w:p>
            <w:pPr>
              <w:ind w:left="160"/>
              <w:spacing w:after="0"/>
              <w:rPr>
                <w:sz w:val="20"/>
                <w:szCs w:val="20"/>
                <w:color w:val="auto"/>
              </w:rPr>
            </w:pPr>
            <w:r>
              <w:rPr>
                <w:rFonts w:ascii="Arial" w:cs="Arial" w:eastAsia="Arial" w:hAnsi="Arial"/>
                <w:sz w:val="12"/>
                <w:szCs w:val="12"/>
                <w:color w:val="auto"/>
              </w:rPr>
              <w:t>(CT Technologies Intermediate Holdings, Inc.)</w:t>
            </w: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J.A. Cosmetics US, Inc.</w:t>
            </w:r>
          </w:p>
        </w:tc>
        <w:tc>
          <w:tcPr>
            <w:tcW w:w="1020" w:type="dxa"/>
            <w:vAlign w:val="bottom"/>
            <w:shd w:val="clear" w:color="auto" w:fill="CCEEFF"/>
          </w:tcPr>
          <w:p>
            <w:pPr>
              <w:jc w:val="center"/>
              <w:ind w:left="242"/>
              <w:spacing w:after="0" w:line="132"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252</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2,516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493,464</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(J.A. Cosmetics Holdings, Inc.)</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1,079,920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1,236,832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9,906,155</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1,079,920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(11)</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Environmental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1,000,000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856,105</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Magnum Hunter Resources Corporation (Warrants)</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04/16/2016</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122,192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182,498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91,644</w:t>
            </w: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1,850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1,850,294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49,057</w:t>
            </w:r>
          </w:p>
        </w:tc>
        <w:tc>
          <w:tcPr>
            <w:tcW w:w="0" w:type="dxa"/>
            <w:vAlign w:val="bottom"/>
          </w:tcPr>
          <w:p>
            <w:pPr>
              <w:spacing w:after="0"/>
              <w:rPr>
                <w:sz w:val="1"/>
                <w:szCs w:val="1"/>
                <w:color w:val="auto"/>
              </w:rPr>
            </w:pPr>
          </w:p>
        </w:tc>
      </w:tr>
      <w:tr>
        <w:trPr>
          <w:trHeight w:val="151"/>
        </w:trPr>
        <w:tc>
          <w:tcPr>
            <w:tcW w:w="4040" w:type="dxa"/>
            <w:vAlign w:val="bottom"/>
          </w:tcPr>
          <w:p>
            <w:pPr>
              <w:ind w:left="160"/>
              <w:spacing w:after="0"/>
              <w:rPr>
                <w:sz w:val="20"/>
                <w:szCs w:val="20"/>
                <w:color w:val="auto"/>
              </w:rPr>
            </w:pPr>
            <w:r>
              <w:rPr>
                <w:rFonts w:ascii="Arial" w:cs="Arial" w:eastAsia="Arial" w:hAnsi="Arial"/>
                <w:sz w:val="12"/>
                <w:szCs w:val="12"/>
                <w:color w:val="auto"/>
              </w:rPr>
              <w:t>(JF Acquisitions, LLC)</w:t>
            </w: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MidOcean PPL Holdings, Corp.</w:t>
            </w:r>
          </w:p>
        </w:tc>
        <w:tc>
          <w:tcPr>
            <w:tcW w:w="1020" w:type="dxa"/>
            <w:vAlign w:val="bottom"/>
            <w:shd w:val="clear" w:color="auto" w:fill="CCEEFF"/>
          </w:tcPr>
          <w:p>
            <w:pPr>
              <w:jc w:val="center"/>
              <w:ind w:left="242"/>
              <w:spacing w:after="0" w:line="132"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2"/>
                <w:szCs w:val="12"/>
                <w:color w:val="auto"/>
                <w:w w:val="86"/>
              </w:rPr>
              <w:t>Personal, Food and Miscellaneous</w:t>
            </w:r>
          </w:p>
        </w:tc>
        <w:tc>
          <w:tcPr>
            <w:tcW w:w="66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5,993,832</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Legal Services, Inc.)</w:t>
            </w:r>
          </w:p>
        </w:tc>
        <w:tc>
          <w:tcPr>
            <w:tcW w:w="102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Services</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(11)</w:t>
            </w:r>
            <w:r>
              <w:rPr>
                <w:rFonts w:ascii="Arial" w:cs="Arial" w:eastAsia="Arial" w:hAnsi="Arial"/>
                <w:sz w:val="12"/>
                <w:szCs w:val="12"/>
                <w:color w:val="auto"/>
              </w:rPr>
              <w:t xml:space="preserve"> (Warrants)</w:t>
            </w:r>
          </w:p>
        </w:tc>
        <w:tc>
          <w:tcPr>
            <w:tcW w:w="1020" w:type="dxa"/>
            <w:vAlign w:val="bottom"/>
          </w:tcPr>
          <w:p>
            <w:pPr>
              <w:jc w:val="center"/>
              <w:ind w:left="222"/>
              <w:spacing w:after="0"/>
              <w:rPr>
                <w:sz w:val="20"/>
                <w:szCs w:val="20"/>
                <w:color w:val="auto"/>
              </w:rPr>
            </w:pPr>
            <w:r>
              <w:rPr>
                <w:rFonts w:ascii="Arial" w:cs="Arial" w:eastAsia="Arial" w:hAnsi="Arial"/>
                <w:sz w:val="12"/>
                <w:szCs w:val="12"/>
                <w:color w:val="auto"/>
                <w:w w:val="89"/>
              </w:rPr>
              <w:t>05/09/2024</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13,500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2,970,000</w:t>
            </w: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Patriot National, Inc.</w:t>
            </w:r>
          </w:p>
        </w:tc>
        <w:tc>
          <w:tcPr>
            <w:tcW w:w="1020" w:type="dxa"/>
            <w:vAlign w:val="bottom"/>
            <w:shd w:val="clear" w:color="auto" w:fill="CCEEFF"/>
          </w:tcPr>
          <w:p>
            <w:pPr>
              <w:jc w:val="center"/>
              <w:ind w:left="222"/>
              <w:spacing w:after="0" w:line="129" w:lineRule="exact"/>
              <w:rPr>
                <w:sz w:val="20"/>
                <w:szCs w:val="20"/>
                <w:color w:val="auto"/>
              </w:rPr>
            </w:pPr>
            <w:r>
              <w:rPr>
                <w:rFonts w:ascii="Arial" w:cs="Arial" w:eastAsia="Arial" w:hAnsi="Arial"/>
                <w:sz w:val="12"/>
                <w:szCs w:val="12"/>
                <w:color w:val="auto"/>
                <w:w w:val="89"/>
              </w:rPr>
              <w:t>11/27/2023</w:t>
            </w:r>
          </w:p>
        </w:tc>
        <w:tc>
          <w:tcPr>
            <w:tcW w:w="19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3"/>
              </w:rPr>
              <w:t>Insurance</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62,932</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1,290,904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3,398,932</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(f/k/a Old Guard Risk Services, Inc.) (Warrants)</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20,000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1,171,851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2,800,714</w:t>
            </w: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102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89"/>
              </w:rPr>
              <w:t>1,350,000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1,657,516</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(Power Products, LLC)</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102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150,000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184,168</w:t>
            </w: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rPr>
                <w:sz w:val="20"/>
                <w:szCs w:val="20"/>
                <w:color w:val="auto"/>
              </w:rPr>
            </w:pPr>
            <w:r>
              <w:rPr>
                <w:rFonts w:ascii="Arial" w:cs="Arial" w:eastAsia="Arial" w:hAnsi="Arial"/>
                <w:sz w:val="12"/>
                <w:szCs w:val="12"/>
                <w:color w:val="auto"/>
              </w:rPr>
              <w:t>(Power Products, LLC)</w:t>
            </w: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RAM Energy LLC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Energy and Utilities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828</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827,922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827,922</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Red Point, LLC</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Other Media</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388,378</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1,629,791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3,444,803</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Ride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7"/>
              </w:rPr>
              <w:t>Personal Transportation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9,882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SPG Boyd Holdings Corp.</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Chemical, Plastic and Rubber</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3,000</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2,419,203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9,457,220</w:t>
            </w:r>
          </w:p>
        </w:tc>
        <w:tc>
          <w:tcPr>
            <w:tcW w:w="0" w:type="dxa"/>
            <w:vAlign w:val="bottom"/>
          </w:tcPr>
          <w:p>
            <w:pPr>
              <w:spacing w:after="0"/>
              <w:rPr>
                <w:sz w:val="1"/>
                <w:szCs w:val="1"/>
                <w:color w:val="auto"/>
              </w:rPr>
            </w:pPr>
          </w:p>
        </w:tc>
      </w:tr>
      <w:tr>
        <w:trPr>
          <w:trHeight w:val="129"/>
        </w:trPr>
        <w:tc>
          <w:tcPr>
            <w:tcW w:w="4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TRAK Acquisition Corp.</w:t>
            </w:r>
          </w:p>
        </w:tc>
        <w:tc>
          <w:tcPr>
            <w:tcW w:w="1020" w:type="dxa"/>
            <w:vAlign w:val="bottom"/>
            <w:shd w:val="clear" w:color="auto" w:fill="CCEEFF"/>
          </w:tcPr>
          <w:p>
            <w:pPr>
              <w:jc w:val="center"/>
              <w:ind w:left="222"/>
              <w:spacing w:after="0" w:line="129" w:lineRule="exact"/>
              <w:rPr>
                <w:sz w:val="20"/>
                <w:szCs w:val="20"/>
                <w:color w:val="auto"/>
              </w:rPr>
            </w:pPr>
            <w:r>
              <w:rPr>
                <w:rFonts w:ascii="Arial" w:cs="Arial" w:eastAsia="Arial" w:hAnsi="Arial"/>
                <w:sz w:val="12"/>
                <w:szCs w:val="12"/>
                <w:color w:val="auto"/>
                <w:w w:val="89"/>
              </w:rPr>
              <w:t>12/29/2019</w:t>
            </w:r>
          </w:p>
        </w:tc>
        <w:tc>
          <w:tcPr>
            <w:tcW w:w="19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3,500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29,400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542,155</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(Warrants)</w:t>
            </w:r>
          </w:p>
        </w:tc>
        <w:tc>
          <w:tcPr>
            <w:tcW w:w="10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TZ Holdings, L.P.</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3"/>
              </w:rPr>
              <w:t>Insurance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9,567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1,819,448</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Vestcom Parent Holdings, Inc.</w:t>
            </w:r>
          </w:p>
        </w:tc>
        <w:tc>
          <w:tcPr>
            <w:tcW w:w="1020" w:type="dxa"/>
            <w:vAlign w:val="bottom"/>
            <w:shd w:val="clear" w:color="auto" w:fill="CCEEFF"/>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Printing and Publishing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211,797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793,873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3,413,412</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2"/>
                <w:szCs w:val="12"/>
                <w:color w:val="auto"/>
              </w:rPr>
              <w:t>VText Holdings, Inc.</w:t>
            </w:r>
          </w:p>
        </w:tc>
        <w:tc>
          <w:tcPr>
            <w:tcW w:w="1020" w:type="dxa"/>
            <w:vAlign w:val="bottom"/>
          </w:tcPr>
          <w:p>
            <w:pPr>
              <w:jc w:val="center"/>
              <w:ind w:left="242"/>
              <w:spacing w:after="0"/>
              <w:rPr>
                <w:sz w:val="20"/>
                <w:szCs w:val="20"/>
                <w:color w:val="auto"/>
              </w:rPr>
            </w:pPr>
            <w:r>
              <w:rPr>
                <w:rFonts w:ascii="Arial" w:cs="Arial" w:eastAsia="Arial" w:hAnsi="Arial"/>
                <w:sz w:val="12"/>
                <w:szCs w:val="12"/>
                <w:color w:val="auto"/>
                <w:w w:val="99"/>
              </w:rPr>
              <w:t>—</w:t>
            </w:r>
          </w:p>
        </w:tc>
        <w:tc>
          <w:tcPr>
            <w:tcW w:w="198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35,526</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4,050,000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4,135,148</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Z Wireless Holdings, Inc. (Warrants)</w:t>
            </w:r>
          </w:p>
        </w:tc>
        <w:tc>
          <w:tcPr>
            <w:tcW w:w="102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9"/>
              </w:rPr>
              <w:t>10/21/2021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Retail</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1,736</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168,799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457,020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46,441,982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75,006,097</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10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5"/>
              </w:rPr>
              <w:t>1,171,573,359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1,212,515,400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Maturity /</w:t>
            </w: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20" w:type="dxa"/>
            <w:vAlign w:val="bottom"/>
            <w:vMerge w:val="continue"/>
          </w:tcPr>
          <w:p>
            <w:pPr>
              <w:spacing w:after="0"/>
              <w:rPr>
                <w:sz w:val="12"/>
                <w:szCs w:val="12"/>
                <w:color w:val="auto"/>
              </w:rPr>
            </w:pPr>
          </w:p>
        </w:tc>
        <w:tc>
          <w:tcPr>
            <w:tcW w:w="880" w:type="dxa"/>
            <w:vAlign w:val="bottom"/>
          </w:tcPr>
          <w:p>
            <w:pPr>
              <w:ind w:left="280"/>
              <w:spacing w:after="0"/>
              <w:rPr>
                <w:sz w:val="20"/>
                <w:szCs w:val="20"/>
                <w:color w:val="auto"/>
              </w:rPr>
            </w:pPr>
            <w:r>
              <w:rPr>
                <w:rFonts w:ascii="Arial" w:cs="Arial" w:eastAsia="Arial" w:hAnsi="Arial"/>
                <w:sz w:val="12"/>
                <w:szCs w:val="12"/>
                <w:b w:val="1"/>
                <w:bCs w:val="1"/>
                <w:color w:val="auto"/>
                <w:w w:val="98"/>
              </w:rPr>
              <w:t>Expiration</w:t>
            </w:r>
          </w:p>
        </w:tc>
        <w:tc>
          <w:tcPr>
            <w:tcW w:w="1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Investments in Non-Controlled, Affiliated Portfolio Companies—8.2% </w:t>
            </w:r>
            <w:r>
              <w:rPr>
                <w:rFonts w:ascii="Arial" w:cs="Arial" w:eastAsia="Arial" w:hAnsi="Arial"/>
                <w:sz w:val="9"/>
                <w:szCs w:val="9"/>
                <w:b w:val="1"/>
                <w:bCs w:val="1"/>
                <w:color w:val="auto"/>
                <w:w w:val="96"/>
              </w:rPr>
              <w:t>(1), (2)</w:t>
            </w:r>
          </w:p>
        </w:tc>
        <w:tc>
          <w:tcPr>
            <w:tcW w:w="8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Real Property Holdings, Inc.</w:t>
            </w:r>
          </w:p>
        </w:tc>
        <w:tc>
          <w:tcPr>
            <w:tcW w:w="8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12/26/2017</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8"/>
              </w:rPr>
              <w:t>Environmental Services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L+800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9,409,740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9,171,387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9,127,448</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Notes—4.8%</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left="142"/>
              <w:spacing w:after="0" w:line="129" w:lineRule="exact"/>
              <w:rPr>
                <w:sz w:val="20"/>
                <w:szCs w:val="20"/>
                <w:color w:val="auto"/>
              </w:rPr>
            </w:pPr>
            <w:r>
              <w:rPr>
                <w:rFonts w:ascii="Arial" w:cs="Arial" w:eastAsia="Arial" w:hAnsi="Arial"/>
                <w:sz w:val="12"/>
                <w:szCs w:val="12"/>
                <w:color w:val="auto"/>
                <w:w w:val="86"/>
              </w:rPr>
              <w:t>11/05/2019</w:t>
            </w:r>
          </w:p>
        </w:tc>
        <w:tc>
          <w:tcPr>
            <w:tcW w:w="1740" w:type="dxa"/>
            <w:vAlign w:val="bottom"/>
            <w:gridSpan w:val="2"/>
            <w:shd w:val="clear" w:color="auto" w:fill="CCEEFF"/>
          </w:tcPr>
          <w:p>
            <w:pPr>
              <w:jc w:val="center"/>
              <w:ind w:right="20"/>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12.00%</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11,632,136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11,632,137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11,283,172</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5"/>
              </w:rPr>
              <w:t>(PIK 12.00%)</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20"/>
                <w:szCs w:val="20"/>
                <w:color w:val="auto"/>
              </w:rPr>
            </w:pPr>
            <w:r>
              <w:rPr>
                <w:rFonts w:ascii="Arial" w:cs="Arial" w:eastAsia="Arial" w:hAnsi="Arial"/>
                <w:sz w:val="12"/>
                <w:szCs w:val="12"/>
                <w:color w:val="auto"/>
              </w:rPr>
              <w:t>Service Champ, Inc.</w:t>
            </w:r>
          </w:p>
        </w:tc>
        <w:tc>
          <w:tcPr>
            <w:tcW w:w="880" w:type="dxa"/>
            <w:vAlign w:val="bottom"/>
          </w:tcPr>
          <w:p>
            <w:pPr>
              <w:jc w:val="center"/>
              <w:ind w:left="162"/>
              <w:spacing w:after="0"/>
              <w:rPr>
                <w:sz w:val="20"/>
                <w:szCs w:val="20"/>
                <w:color w:val="auto"/>
              </w:rPr>
            </w:pPr>
            <w:r>
              <w:rPr>
                <w:rFonts w:ascii="Arial" w:cs="Arial" w:eastAsia="Arial" w:hAnsi="Arial"/>
                <w:sz w:val="12"/>
                <w:szCs w:val="12"/>
                <w:color w:val="auto"/>
                <w:w w:val="89"/>
              </w:rPr>
              <w:t>10/02/2017</w:t>
            </w:r>
          </w:p>
        </w:tc>
        <w:tc>
          <w:tcPr>
            <w:tcW w:w="174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Auto Sector</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28,000,000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27,581,798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28,257,554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39,213,935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39,540,726</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–0.2%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PAS International Holdings, Inc.</w:t>
            </w:r>
          </w:p>
        </w:tc>
        <w:tc>
          <w:tcPr>
            <w:tcW w:w="880" w:type="dxa"/>
            <w:vAlign w:val="bottom"/>
            <w:shd w:val="clear" w:color="auto" w:fill="CCEEFF"/>
          </w:tcPr>
          <w:p>
            <w:pPr>
              <w:jc w:val="center"/>
              <w:ind w:left="14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Aerospace and</w:t>
            </w:r>
          </w:p>
        </w:tc>
        <w:tc>
          <w:tcPr>
            <w:tcW w:w="84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53,071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20,059,340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1,650,729</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4"/>
              </w:rPr>
              <w:t>Defense</w:t>
            </w: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20"/>
                <w:szCs w:val="20"/>
                <w:color w:val="auto"/>
              </w:rPr>
            </w:pPr>
            <w:r>
              <w:rPr>
                <w:rFonts w:ascii="Arial" w:cs="Arial" w:eastAsia="Arial" w:hAnsi="Arial"/>
                <w:sz w:val="12"/>
                <w:szCs w:val="12"/>
                <w:b w:val="1"/>
                <w:bCs w:val="1"/>
                <w:color w:val="auto"/>
              </w:rPr>
              <w:t xml:space="preserve">Common Equity/Partnership Interests/Warrants—2.1%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6"/>
              </w:rPr>
              <w:t>Consumer Products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104,719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21,492,822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880" w:type="dxa"/>
            <w:vAlign w:val="bottom"/>
          </w:tcPr>
          <w:p>
            <w:pPr>
              <w:jc w:val="center"/>
              <w:ind w:left="142"/>
              <w:spacing w:after="0"/>
              <w:rPr>
                <w:sz w:val="20"/>
                <w:szCs w:val="20"/>
                <w:color w:val="auto"/>
              </w:rPr>
            </w:pPr>
            <w:r>
              <w:rPr>
                <w:rFonts w:ascii="Arial" w:cs="Arial" w:eastAsia="Arial" w:hAnsi="Arial"/>
                <w:sz w:val="12"/>
                <w:szCs w:val="12"/>
                <w:color w:val="auto"/>
                <w:w w:val="86"/>
              </w:rPr>
              <w:t>11/05/2022</w:t>
            </w:r>
          </w:p>
        </w:tc>
        <w:tc>
          <w:tcPr>
            <w:tcW w:w="1740" w:type="dxa"/>
            <w:vAlign w:val="bottom"/>
            <w:gridSpan w:val="2"/>
          </w:tcPr>
          <w:p>
            <w:pPr>
              <w:jc w:val="center"/>
              <w:ind w:right="20"/>
              <w:spacing w:after="0"/>
              <w:rPr>
                <w:sz w:val="20"/>
                <w:szCs w:val="20"/>
                <w:color w:val="auto"/>
              </w:rPr>
            </w:pPr>
            <w:r>
              <w:rPr>
                <w:rFonts w:ascii="Arial" w:cs="Arial" w:eastAsia="Arial" w:hAnsi="Arial"/>
                <w:sz w:val="12"/>
                <w:szCs w:val="12"/>
                <w:color w:val="auto"/>
                <w:w w:val="86"/>
              </w:rPr>
              <w:t>Consumer Products</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15,486</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EFF"/>
          </w:tcPr>
          <w:p>
            <w:pPr>
              <w:jc w:val="center"/>
              <w:ind w:left="14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ind w:right="20"/>
              <w:spacing w:after="0" w:line="129" w:lineRule="exact"/>
              <w:rPr>
                <w:sz w:val="20"/>
                <w:szCs w:val="20"/>
                <w:color w:val="auto"/>
              </w:rPr>
            </w:pPr>
            <w:r>
              <w:rPr>
                <w:rFonts w:ascii="Arial" w:cs="Arial" w:eastAsia="Arial" w:hAnsi="Arial"/>
                <w:sz w:val="12"/>
                <w:szCs w:val="12"/>
                <w:color w:val="auto"/>
                <w:w w:val="88"/>
              </w:rPr>
              <w:t>Environmental Services</w:t>
            </w:r>
          </w:p>
        </w:tc>
        <w:tc>
          <w:tcPr>
            <w:tcW w:w="84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143,668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11,960,702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12,140,931</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(EnviroSolutions Real Property Holdings,</w:t>
            </w:r>
          </w:p>
        </w:tc>
        <w:tc>
          <w:tcPr>
            <w:tcW w:w="8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w:t>
            </w:r>
          </w:p>
        </w:tc>
        <w:tc>
          <w:tcPr>
            <w:tcW w:w="8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80" w:type="dxa"/>
            <w:vAlign w:val="bottom"/>
          </w:tcPr>
          <w:p>
            <w:pPr>
              <w:jc w:val="center"/>
              <w:ind w:left="14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ind w:right="20"/>
              <w:spacing w:after="0" w:line="129" w:lineRule="exact"/>
              <w:rPr>
                <w:sz w:val="20"/>
                <w:szCs w:val="20"/>
                <w:color w:val="auto"/>
              </w:rPr>
            </w:pPr>
            <w:r>
              <w:rPr>
                <w:rFonts w:ascii="Arial" w:cs="Arial" w:eastAsia="Arial" w:hAnsi="Arial"/>
                <w:sz w:val="12"/>
                <w:szCs w:val="12"/>
                <w:color w:val="auto"/>
                <w:w w:val="88"/>
              </w:rPr>
              <w:t>Leisure, Amusement,</w:t>
            </w: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375,000</w:t>
            </w: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3,750,000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Motion Pictures and Entertainment</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880" w:type="dxa"/>
            <w:vAlign w:val="bottom"/>
            <w:shd w:val="clear" w:color="auto" w:fill="CCEEFF"/>
          </w:tcPr>
          <w:p>
            <w:pPr>
              <w:jc w:val="center"/>
              <w:ind w:left="14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ind w:right="20"/>
              <w:spacing w:after="0" w:line="129" w:lineRule="exact"/>
              <w:rPr>
                <w:sz w:val="20"/>
                <w:szCs w:val="20"/>
                <w:color w:val="auto"/>
              </w:rPr>
            </w:pPr>
            <w:r>
              <w:rPr>
                <w:rFonts w:ascii="Arial" w:cs="Arial" w:eastAsia="Arial" w:hAnsi="Arial"/>
                <w:sz w:val="12"/>
                <w:szCs w:val="12"/>
                <w:color w:val="auto"/>
                <w:w w:val="89"/>
              </w:rPr>
              <w:t>Auto Sector</w:t>
            </w:r>
          </w:p>
        </w:tc>
        <w:tc>
          <w:tcPr>
            <w:tcW w:w="84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16,800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2,721,600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5,387,687</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(Service Champ, Inc.)</w:t>
            </w:r>
          </w:p>
        </w:tc>
        <w:tc>
          <w:tcPr>
            <w:tcW w:w="8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880" w:type="dxa"/>
            <w:vAlign w:val="bottom"/>
          </w:tcPr>
          <w:p>
            <w:pPr>
              <w:jc w:val="center"/>
              <w:ind w:left="14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Aerospace and Defense</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53,071</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202,620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40,127,744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17,528,618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108,572,406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67,847,521</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Companies—4.6% </w:t>
            </w:r>
            <w:r>
              <w:rPr>
                <w:rFonts w:ascii="Arial" w:cs="Arial" w:eastAsia="Arial" w:hAnsi="Arial"/>
                <w:sz w:val="9"/>
                <w:szCs w:val="9"/>
                <w:b w:val="1"/>
                <w:bCs w:val="1"/>
                <w:color w:val="auto"/>
              </w:rPr>
              <w:t>(1), (2)</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2"/>
                <w:szCs w:val="12"/>
                <w:b w:val="1"/>
                <w:bCs w:val="1"/>
                <w:color w:val="auto"/>
              </w:rPr>
              <w:t>First Lien Secured Debt—3.8%</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Superior Digital Displays, LLC</w:t>
            </w:r>
          </w:p>
        </w:tc>
        <w:tc>
          <w:tcPr>
            <w:tcW w:w="8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12/31/2018</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Media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L+1,250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22,150,000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19,924,736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19,282,328</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880" w:type="dxa"/>
            <w:vAlign w:val="bottom"/>
          </w:tcPr>
          <w:p>
            <w:pPr>
              <w:jc w:val="center"/>
              <w:ind w:left="162"/>
              <w:spacing w:after="0"/>
              <w:rPr>
                <w:sz w:val="20"/>
                <w:szCs w:val="20"/>
                <w:color w:val="auto"/>
              </w:rPr>
            </w:pPr>
            <w:r>
              <w:rPr>
                <w:rFonts w:ascii="Arial" w:cs="Arial" w:eastAsia="Arial" w:hAnsi="Arial"/>
                <w:sz w:val="12"/>
                <w:szCs w:val="12"/>
                <w:color w:val="auto"/>
                <w:w w:val="89"/>
              </w:rPr>
              <w:t>12/31/2018</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2,850,000</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2,572,719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2,481,022</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06/30/2020</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9,250,000</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9,526,144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31,747,455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31,289,494</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tcPr>
          <w:p>
            <w:pPr>
              <w:jc w:val="center"/>
              <w:ind w:left="142"/>
              <w:spacing w:after="0"/>
              <w:rPr>
                <w:sz w:val="20"/>
                <w:szCs w:val="20"/>
                <w:color w:val="auto"/>
              </w:rPr>
            </w:pPr>
            <w:r>
              <w:rPr>
                <w:rFonts w:ascii="Arial" w:cs="Arial" w:eastAsia="Arial" w:hAnsi="Arial"/>
                <w:sz w:val="12"/>
                <w:szCs w:val="12"/>
                <w:color w:val="auto"/>
                <w:w w:val="89"/>
              </w:rPr>
              <w:t>6/30/2020</w:t>
            </w:r>
          </w:p>
        </w:tc>
        <w:tc>
          <w:tcPr>
            <w:tcW w:w="1740" w:type="dxa"/>
            <w:vAlign w:val="bottom"/>
            <w:gridSpan w:val="2"/>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1,986,611</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(6)</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tcPr>
          <w:p>
            <w:pPr>
              <w:jc w:val="center"/>
              <w:ind w:left="14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2,487,245</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Equity—0.2% </w:t>
            </w:r>
            <w:r>
              <w:rPr>
                <w:rFonts w:ascii="Arial" w:cs="Arial" w:eastAsia="Arial" w:hAnsi="Arial"/>
                <w:sz w:val="9"/>
                <w:szCs w:val="9"/>
                <w:b w:val="1"/>
                <w:bCs w:val="1"/>
                <w:color w:val="auto"/>
              </w:rPr>
              <w:t>(6)</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880" w:type="dxa"/>
            <w:vAlign w:val="bottom"/>
          </w:tcPr>
          <w:p>
            <w:pPr>
              <w:jc w:val="center"/>
              <w:ind w:left="14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Media</w:t>
            </w: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4,750</w:t>
            </w: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2,211,000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1,928,495</w:t>
            </w:r>
          </w:p>
        </w:tc>
        <w:tc>
          <w:tcPr>
            <w:tcW w:w="0" w:type="dxa"/>
            <w:vAlign w:val="bottom"/>
          </w:tcPr>
          <w:p>
            <w:pPr>
              <w:spacing w:after="0"/>
              <w:rPr>
                <w:sz w:val="1"/>
                <w:szCs w:val="1"/>
                <w:color w:val="auto"/>
              </w:rPr>
            </w:pPr>
          </w:p>
        </w:tc>
      </w:tr>
      <w:tr>
        <w:trPr>
          <w:trHeight w:val="151"/>
        </w:trPr>
        <w:tc>
          <w:tcPr>
            <w:tcW w:w="4120" w:type="dxa"/>
            <w:vAlign w:val="bottom"/>
          </w:tcPr>
          <w:p>
            <w:pPr>
              <w:ind w:left="160"/>
              <w:spacing w:after="0"/>
              <w:rPr>
                <w:sz w:val="20"/>
                <w:szCs w:val="20"/>
                <w:color w:val="auto"/>
              </w:rPr>
            </w:pPr>
            <w:r>
              <w:rPr>
                <w:rFonts w:ascii="Arial" w:cs="Arial" w:eastAsia="Arial" w:hAnsi="Arial"/>
                <w:sz w:val="12"/>
                <w:szCs w:val="12"/>
                <w:color w:val="auto"/>
              </w:rPr>
              <w:t>(Superior Digital Displays, LLC)</w:t>
            </w: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5"/>
              </w:rPr>
              <w:t>Business Services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Arial" w:cs="Arial" w:eastAsia="Arial" w:hAnsi="Arial"/>
                <w:sz w:val="12"/>
                <w:szCs w:val="12"/>
                <w:b w:val="1"/>
                <w:bCs w:val="1"/>
                <w:color w:val="auto"/>
              </w:rPr>
              <w:t>Total Common Equity</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2,211,100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1,928,495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38,708,555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37,691,845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Arial" w:cs="Arial" w:eastAsia="Arial" w:hAnsi="Arial"/>
                <w:sz w:val="12"/>
                <w:szCs w:val="12"/>
                <w:b w:val="1"/>
                <w:bCs w:val="1"/>
                <w:color w:val="auto"/>
              </w:rPr>
              <w:t>Total Investments—159.2%</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1,318,854,320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1,318,054,766</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Equivalents—8.0%</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6,805,293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6,805,293</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 and Cash</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59,794,902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59,713,389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66,600,195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66,518,682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Equivalents—167.2%</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1,385,454,515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1,384,573,448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Assets—(67.2%)</w:t>
            </w: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(556,563,499)</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8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828,009,949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637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2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180"/>
          </w:cols>
          <w:pgMar w:left="32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jc w:val="center"/>
              <w:ind w:right="162"/>
              <w:spacing w:after="0"/>
              <w:rPr>
                <w:sz w:val="20"/>
                <w:szCs w:val="20"/>
                <w:color w:val="auto"/>
              </w:rPr>
            </w:pPr>
            <w:r>
              <w:rPr>
                <w:rFonts w:ascii="Arial" w:cs="Arial" w:eastAsia="Arial" w:hAnsi="Arial"/>
                <w:sz w:val="12"/>
                <w:szCs w:val="12"/>
                <w:b w:val="1"/>
                <w:bCs w:val="1"/>
                <w:color w:val="auto"/>
                <w:w w:val="82"/>
              </w:rPr>
              <w:t>Basis Point</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auto"/>
                <w:w w:val="83"/>
              </w:rPr>
              <w:t>Spread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jc w:val="right"/>
              <w:ind w:right="262"/>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7"/>
              </w:rPr>
              <w:t>Above</w:t>
            </w:r>
          </w:p>
        </w:tc>
        <w:tc>
          <w:tcPr>
            <w:tcW w:w="960" w:type="dxa"/>
            <w:vAlign w:val="bottom"/>
          </w:tcPr>
          <w:p>
            <w:pPr>
              <w:jc w:val="right"/>
              <w:ind w:right="40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60" w:type="dxa"/>
            <w:vAlign w:val="bottom"/>
            <w:vMerge w:val="continue"/>
          </w:tcPr>
          <w:p>
            <w:pPr>
              <w:spacing w:after="0"/>
              <w:rPr>
                <w:sz w:val="12"/>
                <w:szCs w:val="12"/>
                <w:color w:val="auto"/>
              </w:rPr>
            </w:pPr>
          </w:p>
        </w:tc>
        <w:tc>
          <w:tcPr>
            <w:tcW w:w="1560" w:type="dxa"/>
            <w:vAlign w:val="bottom"/>
          </w:tcPr>
          <w:p>
            <w:pPr>
              <w:jc w:val="center"/>
              <w:ind w:left="762"/>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Coupon</w:t>
            </w:r>
          </w:p>
        </w:tc>
        <w:tc>
          <w:tcPr>
            <w:tcW w:w="960" w:type="dxa"/>
            <w:vAlign w:val="bottom"/>
          </w:tcPr>
          <w:p>
            <w:pPr>
              <w:jc w:val="center"/>
              <w:ind w:right="16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96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47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Companies—138.9% </w:t>
            </w:r>
            <w:r>
              <w:rPr>
                <w:rFonts w:ascii="Arial" w:cs="Arial" w:eastAsia="Arial" w:hAnsi="Arial"/>
                <w:sz w:val="9"/>
                <w:szCs w:val="9"/>
                <w:b w:val="1"/>
                <w:bCs w:val="1"/>
                <w:color w:val="auto"/>
              </w:rPr>
              <w:t>(1), (2)</w:t>
            </w:r>
          </w:p>
        </w:tc>
        <w:tc>
          <w:tcPr>
            <w:tcW w:w="1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Debt—41.3%</w:t>
            </w:r>
          </w:p>
        </w:tc>
        <w:tc>
          <w:tcPr>
            <w:tcW w:w="15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06/21/2017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11.25%</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23,912,894</w:t>
            </w:r>
          </w:p>
        </w:tc>
        <w:tc>
          <w:tcPr>
            <w:tcW w:w="720" w:type="dxa"/>
            <w:vAlign w:val="bottom"/>
          </w:tcPr>
          <w:p>
            <w:pPr>
              <w:jc w:val="right"/>
              <w:spacing w:after="0"/>
              <w:rPr>
                <w:sz w:val="20"/>
                <w:szCs w:val="20"/>
                <w:color w:val="auto"/>
              </w:rPr>
            </w:pPr>
            <w:r>
              <w:rPr>
                <w:rFonts w:ascii="Arial" w:cs="Arial" w:eastAsia="Arial" w:hAnsi="Arial"/>
                <w:sz w:val="12"/>
                <w:szCs w:val="12"/>
                <w:color w:val="auto"/>
                <w:w w:val="99"/>
              </w:rPr>
              <w:t>$ 23,012,057</w:t>
            </w:r>
          </w:p>
        </w:tc>
        <w:tc>
          <w:tcPr>
            <w:tcW w:w="1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25,347,668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1560" w:type="dxa"/>
            <w:vAlign w:val="bottom"/>
            <w:shd w:val="clear" w:color="auto" w:fill="CCEEFF"/>
          </w:tcPr>
          <w:p>
            <w:pPr>
              <w:jc w:val="center"/>
              <w:ind w:left="762"/>
              <w:spacing w:after="0" w:line="129" w:lineRule="exact"/>
              <w:rPr>
                <w:sz w:val="20"/>
                <w:szCs w:val="20"/>
                <w:color w:val="auto"/>
              </w:rPr>
            </w:pPr>
            <w:r>
              <w:rPr>
                <w:rFonts w:ascii="Arial" w:cs="Arial" w:eastAsia="Arial" w:hAnsi="Arial"/>
                <w:sz w:val="12"/>
                <w:szCs w:val="12"/>
                <w:color w:val="auto"/>
                <w:w w:val="89"/>
              </w:rPr>
              <w:t>12/21/2016</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Retail</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6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L+1,225</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14,550,084</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14,694,828</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1.50%)</w:t>
            </w: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 (10)</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10/01/2016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11.63%</w:t>
            </w: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tcPr>
          <w:p>
            <w:pPr>
              <w:jc w:val="right"/>
              <w:spacing w:after="0"/>
              <w:rPr>
                <w:sz w:val="20"/>
                <w:szCs w:val="20"/>
                <w:color w:val="auto"/>
              </w:rPr>
            </w:pPr>
            <w:r>
              <w:rPr>
                <w:rFonts w:ascii="Arial" w:cs="Arial" w:eastAsia="Arial" w:hAnsi="Arial"/>
                <w:sz w:val="12"/>
                <w:szCs w:val="12"/>
                <w:color w:val="auto"/>
              </w:rPr>
              <w:t>7,385,251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7,725,000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1560" w:type="dxa"/>
            <w:vAlign w:val="bottom"/>
            <w:shd w:val="clear" w:color="auto" w:fill="CCEEFF"/>
          </w:tcPr>
          <w:p>
            <w:pPr>
              <w:jc w:val="center"/>
              <w:ind w:left="782"/>
              <w:spacing w:after="0"/>
              <w:rPr>
                <w:sz w:val="20"/>
                <w:szCs w:val="20"/>
                <w:color w:val="auto"/>
              </w:rPr>
            </w:pPr>
            <w:r>
              <w:rPr>
                <w:rFonts w:ascii="Arial" w:cs="Arial" w:eastAsia="Arial" w:hAnsi="Arial"/>
                <w:sz w:val="12"/>
                <w:szCs w:val="12"/>
                <w:color w:val="auto"/>
                <w:w w:val="86"/>
              </w:rPr>
              <w:t>11/20/2014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10,000,000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10,750,000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Cydcor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06/12/2017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9.75%</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7,342,967</w:t>
            </w:r>
          </w:p>
        </w:tc>
        <w:tc>
          <w:tcPr>
            <w:tcW w:w="720" w:type="dxa"/>
            <w:vAlign w:val="bottom"/>
          </w:tcPr>
          <w:p>
            <w:pPr>
              <w:jc w:val="right"/>
              <w:spacing w:after="0"/>
              <w:rPr>
                <w:sz w:val="20"/>
                <w:szCs w:val="20"/>
                <w:color w:val="auto"/>
              </w:rPr>
            </w:pPr>
            <w:r>
              <w:rPr>
                <w:rFonts w:ascii="Arial" w:cs="Arial" w:eastAsia="Arial" w:hAnsi="Arial"/>
                <w:sz w:val="12"/>
                <w:szCs w:val="12"/>
                <w:color w:val="auto"/>
              </w:rPr>
              <w:t>7,342,967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7,342,967</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12/01/2016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12,000,000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11,835,907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12,900,000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03/30/2017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11,500,000</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11,326,110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12,391,250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InfuSystem Holdings, Inc.</w:t>
            </w:r>
          </w:p>
        </w:tc>
        <w:tc>
          <w:tcPr>
            <w:tcW w:w="1560" w:type="dxa"/>
            <w:vAlign w:val="bottom"/>
            <w:shd w:val="clear" w:color="auto" w:fill="CCEEFF"/>
          </w:tcPr>
          <w:p>
            <w:pPr>
              <w:jc w:val="center"/>
              <w:ind w:left="782"/>
              <w:spacing w:after="0"/>
              <w:rPr>
                <w:sz w:val="20"/>
                <w:szCs w:val="20"/>
                <w:color w:val="auto"/>
              </w:rPr>
            </w:pPr>
            <w:r>
              <w:rPr>
                <w:rFonts w:ascii="Arial" w:cs="Arial" w:eastAsia="Arial" w:hAnsi="Arial"/>
                <w:sz w:val="12"/>
                <w:szCs w:val="12"/>
                <w:color w:val="auto"/>
                <w:w w:val="86"/>
              </w:rPr>
              <w:t>11/30/2016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11.95%</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11,600,000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11,600,000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Instant Web, Inc.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08/07/2014</w:t>
            </w:r>
          </w:p>
        </w:tc>
        <w:tc>
          <w:tcPr>
            <w:tcW w:w="1900" w:type="dxa"/>
            <w:vAlign w:val="bottom"/>
          </w:tcPr>
          <w:p>
            <w:pPr>
              <w:jc w:val="center"/>
              <w:spacing w:after="0"/>
              <w:rPr>
                <w:sz w:val="20"/>
                <w:szCs w:val="20"/>
                <w:color w:val="auto"/>
              </w:rPr>
            </w:pPr>
            <w:r>
              <w:rPr>
                <w:rFonts w:ascii="Arial" w:cs="Arial" w:eastAsia="Arial" w:hAnsi="Arial"/>
                <w:sz w:val="12"/>
                <w:szCs w:val="12"/>
                <w:color w:val="auto"/>
                <w:w w:val="91"/>
              </w:rPr>
              <w:t>Printing and Publishing</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14.50%</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23,934,268</w:t>
            </w:r>
          </w:p>
        </w:tc>
        <w:tc>
          <w:tcPr>
            <w:tcW w:w="720" w:type="dxa"/>
            <w:vAlign w:val="bottom"/>
          </w:tcPr>
          <w:p>
            <w:pPr>
              <w:jc w:val="right"/>
              <w:spacing w:after="0"/>
              <w:rPr>
                <w:sz w:val="20"/>
                <w:szCs w:val="20"/>
                <w:color w:val="auto"/>
              </w:rPr>
            </w:pPr>
            <w:r>
              <w:rPr>
                <w:rFonts w:ascii="Arial" w:cs="Arial" w:eastAsia="Arial" w:hAnsi="Arial"/>
                <w:sz w:val="12"/>
                <w:szCs w:val="12"/>
                <w:color w:val="auto"/>
              </w:rPr>
              <w:t>23,788,980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22,976,897</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08/07/2014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Printing and Publishing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w:t>
            </w: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L+338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18,199,679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14,559,743</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Interactive Health Solutions, Inc.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10/04/2016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18,050,000</w:t>
            </w:r>
          </w:p>
        </w:tc>
        <w:tc>
          <w:tcPr>
            <w:tcW w:w="720" w:type="dxa"/>
            <w:vAlign w:val="bottom"/>
          </w:tcPr>
          <w:p>
            <w:pPr>
              <w:jc w:val="right"/>
              <w:spacing w:after="0"/>
              <w:rPr>
                <w:sz w:val="20"/>
                <w:szCs w:val="20"/>
                <w:color w:val="auto"/>
              </w:rPr>
            </w:pPr>
            <w:r>
              <w:rPr>
                <w:rFonts w:ascii="Arial" w:cs="Arial" w:eastAsia="Arial" w:hAnsi="Arial"/>
                <w:sz w:val="12"/>
                <w:szCs w:val="12"/>
                <w:color w:val="auto"/>
              </w:rPr>
              <w:t>17,770,705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18,050,000</w:t>
            </w:r>
          </w:p>
        </w:tc>
        <w:tc>
          <w:tcPr>
            <w:tcW w:w="0" w:type="dxa"/>
            <w:vAlign w:val="bottom"/>
          </w:tcPr>
          <w:p>
            <w:pPr>
              <w:spacing w:after="0"/>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560" w:type="dxa"/>
            <w:vAlign w:val="bottom"/>
            <w:shd w:val="clear" w:color="auto" w:fill="CCEEFF"/>
          </w:tcPr>
          <w:p>
            <w:pPr>
              <w:jc w:val="center"/>
              <w:ind w:left="762"/>
              <w:spacing w:after="0" w:line="129" w:lineRule="exact"/>
              <w:rPr>
                <w:sz w:val="20"/>
                <w:szCs w:val="20"/>
                <w:color w:val="auto"/>
              </w:rPr>
            </w:pPr>
            <w:r>
              <w:rPr>
                <w:rFonts w:ascii="Arial" w:cs="Arial" w:eastAsia="Arial" w:hAnsi="Arial"/>
                <w:sz w:val="12"/>
                <w:szCs w:val="12"/>
                <w:color w:val="auto"/>
                <w:w w:val="89"/>
              </w:rPr>
              <w:t>10/16/2017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Personal, Food and Miscellaneous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10.00%</w:t>
            </w:r>
          </w:p>
        </w:tc>
        <w:tc>
          <w:tcPr>
            <w:tcW w:w="9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8,355,469</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8,349,704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8,230,137</w:t>
            </w:r>
          </w:p>
        </w:tc>
        <w:tc>
          <w:tcPr>
            <w:tcW w:w="0" w:type="dxa"/>
            <w:vAlign w:val="bottom"/>
          </w:tcPr>
          <w:p>
            <w:pPr>
              <w:spacing w:after="0"/>
              <w:rPr>
                <w:sz w:val="1"/>
                <w:szCs w:val="1"/>
                <w:color w:val="auto"/>
              </w:rPr>
            </w:pPr>
          </w:p>
        </w:tc>
      </w:tr>
      <w:tr>
        <w:trPr>
          <w:trHeight w:val="141"/>
        </w:trPr>
        <w:tc>
          <w:tcPr>
            <w:tcW w:w="3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Services</w:t>
            </w: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08/19/2019</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10.00%</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22,342,352</w:t>
            </w:r>
          </w:p>
        </w:tc>
        <w:tc>
          <w:tcPr>
            <w:tcW w:w="720" w:type="dxa"/>
            <w:vAlign w:val="bottom"/>
          </w:tcPr>
          <w:p>
            <w:pPr>
              <w:jc w:val="right"/>
              <w:spacing w:after="0"/>
              <w:rPr>
                <w:sz w:val="20"/>
                <w:szCs w:val="20"/>
                <w:color w:val="auto"/>
              </w:rPr>
            </w:pPr>
            <w:r>
              <w:rPr>
                <w:rFonts w:ascii="Arial" w:cs="Arial" w:eastAsia="Arial" w:hAnsi="Arial"/>
                <w:sz w:val="12"/>
                <w:szCs w:val="12"/>
                <w:color w:val="auto"/>
              </w:rPr>
              <w:t>21,899,258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22,007,217</w:t>
            </w:r>
          </w:p>
        </w:tc>
        <w:tc>
          <w:tcPr>
            <w:tcW w:w="0" w:type="dxa"/>
            <w:vAlign w:val="bottom"/>
          </w:tcPr>
          <w:p>
            <w:pPr>
              <w:spacing w:after="0"/>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1560" w:type="dxa"/>
            <w:vAlign w:val="bottom"/>
            <w:shd w:val="clear" w:color="auto" w:fill="CCEEFF"/>
          </w:tcPr>
          <w:p>
            <w:pPr>
              <w:jc w:val="center"/>
              <w:ind w:left="762"/>
              <w:spacing w:after="0" w:line="129" w:lineRule="exact"/>
              <w:rPr>
                <w:sz w:val="20"/>
                <w:szCs w:val="20"/>
                <w:color w:val="auto"/>
              </w:rPr>
            </w:pPr>
            <w:r>
              <w:rPr>
                <w:rFonts w:ascii="Arial" w:cs="Arial" w:eastAsia="Arial" w:hAnsi="Arial"/>
                <w:sz w:val="12"/>
                <w:szCs w:val="12"/>
                <w:color w:val="auto"/>
                <w:w w:val="89"/>
              </w:rPr>
              <w:t>08/01/2014</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6.00%</w:t>
            </w:r>
          </w:p>
        </w:tc>
        <w:tc>
          <w:tcPr>
            <w:tcW w:w="9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37,950,152</w:t>
            </w: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36,110,124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37,523,212</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2.00%)</w:t>
            </w: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1560" w:type="dxa"/>
            <w:vAlign w:val="bottom"/>
          </w:tcPr>
          <w:p>
            <w:pPr>
              <w:jc w:val="center"/>
              <w:ind w:left="762"/>
              <w:spacing w:after="0" w:line="129" w:lineRule="exact"/>
              <w:rPr>
                <w:sz w:val="20"/>
                <w:szCs w:val="20"/>
                <w:color w:val="auto"/>
              </w:rPr>
            </w:pPr>
            <w:r>
              <w:rPr>
                <w:rFonts w:ascii="Arial" w:cs="Arial" w:eastAsia="Arial" w:hAnsi="Arial"/>
                <w:sz w:val="12"/>
                <w:szCs w:val="12"/>
                <w:color w:val="auto"/>
                <w:w w:val="89"/>
              </w:rPr>
              <w:t>12/16/2019</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9"/>
              </w:rPr>
              <w:t>Mining, Steel, Iron and</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6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14,250,000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15,176,250</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Non-Precious Metals</w:t>
            </w: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04/30/2018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12.00%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34,270,800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34,270,800</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07/06/2017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3"/>
              </w:rPr>
              <w:t>Insurance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12,451,096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12,451,096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12,388,840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5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278,962,489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288,043,239</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20"/>
                <w:szCs w:val="20"/>
                <w:color w:val="auto"/>
              </w:rPr>
            </w:pPr>
            <w:r>
              <w:rPr>
                <w:rFonts w:ascii="Arial" w:cs="Arial" w:eastAsia="Arial" w:hAnsi="Arial"/>
                <w:sz w:val="12"/>
                <w:szCs w:val="12"/>
                <w:b w:val="1"/>
                <w:bCs w:val="1"/>
                <w:color w:val="auto"/>
              </w:rPr>
              <w:t>Second Lien Secured Debt—48.9%</w:t>
            </w: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560" w:type="dxa"/>
            <w:vAlign w:val="bottom"/>
            <w:shd w:val="clear" w:color="auto" w:fill="CCEEFF"/>
          </w:tcPr>
          <w:p>
            <w:pPr>
              <w:jc w:val="center"/>
              <w:ind w:left="762"/>
              <w:spacing w:after="0" w:line="132" w:lineRule="exact"/>
              <w:rPr>
                <w:sz w:val="20"/>
                <w:szCs w:val="20"/>
                <w:color w:val="auto"/>
              </w:rPr>
            </w:pPr>
            <w:r>
              <w:rPr>
                <w:rFonts w:ascii="Arial" w:cs="Arial" w:eastAsia="Arial" w:hAnsi="Arial"/>
                <w:sz w:val="12"/>
                <w:szCs w:val="12"/>
                <w:color w:val="auto"/>
                <w:w w:val="89"/>
              </w:rPr>
              <w:t>09/01/2017</w:t>
            </w:r>
          </w:p>
        </w:tc>
        <w:tc>
          <w:tcPr>
            <w:tcW w:w="19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Diversified Natural Resources,</w:t>
            </w:r>
          </w:p>
        </w:tc>
        <w:tc>
          <w:tcPr>
            <w:tcW w:w="82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11.50%</w:t>
            </w:r>
          </w:p>
        </w:tc>
        <w:tc>
          <w:tcPr>
            <w:tcW w:w="96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25,400,000</w:t>
            </w:r>
          </w:p>
        </w:tc>
        <w:tc>
          <w:tcPr>
            <w:tcW w:w="7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25,400,000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25,971,500</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Precious Metals and Minerals</w:t>
            </w: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10/01/2020</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11.75%</w:t>
            </w:r>
          </w:p>
        </w:tc>
        <w:tc>
          <w:tcPr>
            <w:tcW w:w="960" w:type="dxa"/>
            <w:vAlign w:val="bottom"/>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18,750,000</w:t>
            </w:r>
          </w:p>
        </w:tc>
        <w:tc>
          <w:tcPr>
            <w:tcW w:w="720" w:type="dxa"/>
            <w:vAlign w:val="bottom"/>
          </w:tcPr>
          <w:p>
            <w:pPr>
              <w:jc w:val="right"/>
              <w:spacing w:after="0"/>
              <w:rPr>
                <w:sz w:val="20"/>
                <w:szCs w:val="20"/>
                <w:color w:val="auto"/>
              </w:rPr>
            </w:pPr>
            <w:r>
              <w:rPr>
                <w:rFonts w:ascii="Arial" w:cs="Arial" w:eastAsia="Arial" w:hAnsi="Arial"/>
                <w:sz w:val="12"/>
                <w:szCs w:val="12"/>
                <w:color w:val="auto"/>
              </w:rPr>
              <w:t>18,375,000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18,687,563</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10/23/2019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Energy / Utilities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11.00%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42,278,570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43,159,233</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08/01/2018</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Beverage, Food and Tobacco</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10.63%</w:t>
            </w: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13,125,000</w:t>
            </w:r>
          </w:p>
        </w:tc>
        <w:tc>
          <w:tcPr>
            <w:tcW w:w="720" w:type="dxa"/>
            <w:vAlign w:val="bottom"/>
          </w:tcPr>
          <w:p>
            <w:pPr>
              <w:jc w:val="right"/>
              <w:spacing w:after="0"/>
              <w:rPr>
                <w:sz w:val="20"/>
                <w:szCs w:val="20"/>
                <w:color w:val="auto"/>
              </w:rPr>
            </w:pPr>
            <w:r>
              <w:rPr>
                <w:rFonts w:ascii="Arial" w:cs="Arial" w:eastAsia="Arial" w:hAnsi="Arial"/>
                <w:sz w:val="12"/>
                <w:szCs w:val="12"/>
                <w:color w:val="auto"/>
              </w:rPr>
              <w:t>13,125,000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13,420,313</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Envision Acquisition Company, LLC</w:t>
            </w:r>
          </w:p>
        </w:tc>
        <w:tc>
          <w:tcPr>
            <w:tcW w:w="1560" w:type="dxa"/>
            <w:vAlign w:val="bottom"/>
            <w:shd w:val="clear" w:color="auto" w:fill="CCEEFF"/>
          </w:tcPr>
          <w:p>
            <w:pPr>
              <w:jc w:val="center"/>
              <w:ind w:left="782"/>
              <w:spacing w:after="0"/>
              <w:rPr>
                <w:sz w:val="20"/>
                <w:szCs w:val="20"/>
                <w:color w:val="auto"/>
              </w:rPr>
            </w:pPr>
            <w:r>
              <w:rPr>
                <w:rFonts w:ascii="Arial" w:cs="Arial" w:eastAsia="Arial" w:hAnsi="Arial"/>
                <w:sz w:val="12"/>
                <w:szCs w:val="12"/>
                <w:color w:val="auto"/>
                <w:w w:val="86"/>
              </w:rPr>
              <w:t>11/04/2021</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9.75%</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19,000,000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18,620,000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18,905,000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1560" w:type="dxa"/>
            <w:vAlign w:val="bottom"/>
          </w:tcPr>
          <w:p>
            <w:pPr>
              <w:jc w:val="center"/>
              <w:ind w:left="762"/>
              <w:spacing w:after="0"/>
              <w:rPr>
                <w:sz w:val="20"/>
                <w:szCs w:val="20"/>
                <w:color w:val="auto"/>
              </w:rPr>
            </w:pPr>
            <w:r>
              <w:rPr>
                <w:rFonts w:ascii="Arial" w:cs="Arial" w:eastAsia="Arial" w:hAnsi="Arial"/>
                <w:sz w:val="12"/>
                <w:szCs w:val="12"/>
                <w:color w:val="auto"/>
                <w:w w:val="89"/>
              </w:rPr>
              <w:t>08/16/2018</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Energy / Utilities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45,000,000</w:t>
            </w:r>
          </w:p>
        </w:tc>
        <w:tc>
          <w:tcPr>
            <w:tcW w:w="720" w:type="dxa"/>
            <w:vAlign w:val="bottom"/>
          </w:tcPr>
          <w:p>
            <w:pPr>
              <w:jc w:val="right"/>
              <w:spacing w:after="0"/>
              <w:rPr>
                <w:sz w:val="20"/>
                <w:szCs w:val="20"/>
                <w:color w:val="auto"/>
              </w:rPr>
            </w:pPr>
            <w:r>
              <w:rPr>
                <w:rFonts w:ascii="Arial" w:cs="Arial" w:eastAsia="Arial" w:hAnsi="Arial"/>
                <w:sz w:val="12"/>
                <w:szCs w:val="12"/>
                <w:color w:val="auto"/>
              </w:rPr>
              <w:t>44,599,796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46,575,000</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06/14/2019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Electronics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6,900,000</w:t>
            </w: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1560" w:type="dxa"/>
            <w:vAlign w:val="bottom"/>
          </w:tcPr>
          <w:p>
            <w:pPr>
              <w:jc w:val="center"/>
              <w:ind w:left="762"/>
              <w:spacing w:after="0" w:line="129" w:lineRule="exact"/>
              <w:rPr>
                <w:sz w:val="20"/>
                <w:szCs w:val="20"/>
                <w:color w:val="auto"/>
              </w:rPr>
            </w:pPr>
            <w:r>
              <w:rPr>
                <w:rFonts w:ascii="Arial" w:cs="Arial" w:eastAsia="Arial" w:hAnsi="Arial"/>
                <w:sz w:val="12"/>
                <w:szCs w:val="12"/>
                <w:color w:val="auto"/>
                <w:w w:val="89"/>
              </w:rPr>
              <w:t>03/01/2017</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6"/>
              </w:rPr>
              <w:t>Cargo Transport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11.00%</w:t>
            </w:r>
          </w:p>
        </w:tc>
        <w:tc>
          <w:tcPr>
            <w:tcW w:w="9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3,544,833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3,544,833</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11.00%)</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Jacobs Entertainment, Inc.</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10/29/2019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13.00%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38,950,000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38,287,499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39,096,063</w:t>
            </w: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560" w:type="dxa"/>
            <w:vAlign w:val="bottom"/>
          </w:tcPr>
          <w:p>
            <w:pPr>
              <w:jc w:val="center"/>
              <w:ind w:left="762"/>
              <w:spacing w:after="0" w:line="129" w:lineRule="exact"/>
              <w:rPr>
                <w:sz w:val="20"/>
                <w:szCs w:val="20"/>
                <w:color w:val="auto"/>
              </w:rPr>
            </w:pPr>
            <w:r>
              <w:rPr>
                <w:rFonts w:ascii="Arial" w:cs="Arial" w:eastAsia="Arial" w:hAnsi="Arial"/>
                <w:sz w:val="12"/>
                <w:szCs w:val="12"/>
                <w:color w:val="auto"/>
                <w:w w:val="89"/>
              </w:rPr>
              <w:t>12/20/2016</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6"/>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10.50%</w:t>
            </w:r>
          </w:p>
        </w:tc>
        <w:tc>
          <w:tcPr>
            <w:tcW w:w="9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33,750,000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33,187,388</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Linc USA GP and Linc Energy Finance (USA),</w:t>
            </w:r>
          </w:p>
        </w:tc>
        <w:tc>
          <w:tcPr>
            <w:tcW w:w="1560" w:type="dxa"/>
            <w:vAlign w:val="bottom"/>
            <w:shd w:val="clear" w:color="auto" w:fill="CCEEFF"/>
          </w:tcPr>
          <w:p>
            <w:pPr>
              <w:jc w:val="center"/>
              <w:ind w:left="762"/>
              <w:spacing w:after="0" w:line="129" w:lineRule="exact"/>
              <w:rPr>
                <w:sz w:val="20"/>
                <w:szCs w:val="20"/>
                <w:color w:val="auto"/>
              </w:rPr>
            </w:pPr>
            <w:r>
              <w:rPr>
                <w:rFonts w:ascii="Arial" w:cs="Arial" w:eastAsia="Arial" w:hAnsi="Arial"/>
                <w:sz w:val="12"/>
                <w:szCs w:val="12"/>
                <w:color w:val="auto"/>
                <w:w w:val="89"/>
              </w:rPr>
              <w:t>10/31/2017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6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11,875,000</w:t>
            </w: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11,511,878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13,062,500</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 xml:space="preserve">Inc. </w:t>
            </w:r>
            <w:r>
              <w:rPr>
                <w:rFonts w:ascii="Arial" w:cs="Arial" w:eastAsia="Arial" w:hAnsi="Arial"/>
                <w:sz w:val="9"/>
                <w:szCs w:val="9"/>
                <w:color w:val="auto"/>
              </w:rPr>
              <w:t>(5)</w:t>
            </w:r>
          </w:p>
        </w:tc>
        <w:tc>
          <w:tcPr>
            <w:tcW w:w="15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1560" w:type="dxa"/>
            <w:vAlign w:val="bottom"/>
          </w:tcPr>
          <w:p>
            <w:pPr>
              <w:jc w:val="center"/>
              <w:ind w:left="762"/>
              <w:spacing w:after="0" w:line="129" w:lineRule="exact"/>
              <w:rPr>
                <w:sz w:val="20"/>
                <w:szCs w:val="20"/>
                <w:color w:val="auto"/>
              </w:rPr>
            </w:pPr>
            <w:r>
              <w:rPr>
                <w:rFonts w:ascii="Arial" w:cs="Arial" w:eastAsia="Arial" w:hAnsi="Arial"/>
                <w:sz w:val="12"/>
                <w:szCs w:val="12"/>
                <w:color w:val="auto"/>
                <w:w w:val="89"/>
              </w:rPr>
              <w:t>07/01/2020</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6"/>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9.75%</w:t>
            </w:r>
          </w:p>
        </w:tc>
        <w:tc>
          <w:tcPr>
            <w:tcW w:w="9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56,750,000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56,040,625</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12/15/2014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9.50%</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2,395,378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2,371,424</w:t>
            </w:r>
          </w:p>
        </w:tc>
        <w:tc>
          <w:tcPr>
            <w:tcW w:w="0" w:type="dxa"/>
            <w:vAlign w:val="bottom"/>
          </w:tcPr>
          <w:p>
            <w:pPr>
              <w:spacing w:after="0"/>
              <w:rPr>
                <w:sz w:val="1"/>
                <w:szCs w:val="1"/>
                <w:color w:val="auto"/>
              </w:rPr>
            </w:pPr>
          </w:p>
        </w:tc>
      </w:tr>
      <w:tr>
        <w:trPr>
          <w:trHeight w:val="129"/>
        </w:trPr>
        <w:tc>
          <w:tcPr>
            <w:tcW w:w="316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1560" w:type="dxa"/>
            <w:vAlign w:val="bottom"/>
          </w:tcPr>
          <w:p>
            <w:pPr>
              <w:jc w:val="center"/>
              <w:ind w:left="762"/>
              <w:spacing w:after="0" w:line="129" w:lineRule="exact"/>
              <w:rPr>
                <w:sz w:val="20"/>
                <w:szCs w:val="20"/>
                <w:color w:val="auto"/>
              </w:rPr>
            </w:pPr>
            <w:r>
              <w:rPr>
                <w:rFonts w:ascii="Arial" w:cs="Arial" w:eastAsia="Arial" w:hAnsi="Arial"/>
                <w:sz w:val="12"/>
                <w:szCs w:val="12"/>
                <w:color w:val="auto"/>
                <w:w w:val="89"/>
              </w:rPr>
              <w:t>12/15/2015</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90"/>
              </w:rPr>
              <w:t>Other Media</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2,502,333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2,452,286</w:t>
            </w: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11.50%)</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ROC Finance LLC and ROC Finance 1 Corp.</w:t>
            </w:r>
          </w:p>
        </w:tc>
        <w:tc>
          <w:tcPr>
            <w:tcW w:w="1560" w:type="dxa"/>
            <w:vAlign w:val="bottom"/>
            <w:shd w:val="clear" w:color="auto" w:fill="CCEEFF"/>
          </w:tcPr>
          <w:p>
            <w:pPr>
              <w:jc w:val="center"/>
              <w:ind w:left="762"/>
              <w:spacing w:after="0"/>
              <w:rPr>
                <w:sz w:val="20"/>
                <w:szCs w:val="20"/>
                <w:color w:val="auto"/>
              </w:rPr>
            </w:pPr>
            <w:r>
              <w:rPr>
                <w:rFonts w:ascii="Arial" w:cs="Arial" w:eastAsia="Arial" w:hAnsi="Arial"/>
                <w:sz w:val="12"/>
                <w:szCs w:val="12"/>
                <w:color w:val="auto"/>
                <w:w w:val="89"/>
              </w:rPr>
              <w:t>08/31/2018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12.13%</w:t>
            </w: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16,000,000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15,785,252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332,007,946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341,093,728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82"/>
              </w:rPr>
              <w:t>Basis Point</w:t>
            </w: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3"/>
              </w:rPr>
              <w:t>Spread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6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1"/>
              </w:rPr>
              <w:t>Above</w:t>
            </w:r>
          </w:p>
        </w:tc>
        <w:tc>
          <w:tcPr>
            <w:tcW w:w="88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60" w:type="dxa"/>
            <w:vAlign w:val="bottom"/>
            <w:vMerge w:val="continue"/>
          </w:tcPr>
          <w:p>
            <w:pPr>
              <w:spacing w:after="0"/>
              <w:rPr>
                <w:sz w:val="12"/>
                <w:szCs w:val="12"/>
                <w:color w:val="auto"/>
              </w:rPr>
            </w:pPr>
          </w:p>
        </w:tc>
        <w:tc>
          <w:tcPr>
            <w:tcW w:w="1620" w:type="dxa"/>
            <w:vAlign w:val="bottom"/>
          </w:tcPr>
          <w:p>
            <w:pPr>
              <w:ind w:left="1080"/>
              <w:spacing w:after="0"/>
              <w:rPr>
                <w:sz w:val="20"/>
                <w:szCs w:val="20"/>
                <w:color w:val="auto"/>
              </w:rPr>
            </w:pPr>
            <w:r>
              <w:rPr>
                <w:rFonts w:ascii="Arial" w:cs="Arial" w:eastAsia="Arial" w:hAnsi="Arial"/>
                <w:sz w:val="12"/>
                <w:szCs w:val="12"/>
                <w:b w:val="1"/>
                <w:bCs w:val="1"/>
                <w:color w:val="auto"/>
              </w:rPr>
              <w:t>Maturity</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8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62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Acentia, LLC</w:t>
            </w:r>
          </w:p>
        </w:tc>
        <w:tc>
          <w:tcPr>
            <w:tcW w:w="1620" w:type="dxa"/>
            <w:vAlign w:val="bottom"/>
          </w:tcPr>
          <w:p>
            <w:pPr>
              <w:jc w:val="center"/>
              <w:ind w:left="942"/>
              <w:spacing w:after="0"/>
              <w:rPr>
                <w:sz w:val="20"/>
                <w:szCs w:val="20"/>
                <w:color w:val="auto"/>
              </w:rPr>
            </w:pPr>
            <w:r>
              <w:rPr>
                <w:rFonts w:ascii="Arial" w:cs="Arial" w:eastAsia="Arial" w:hAnsi="Arial"/>
                <w:sz w:val="12"/>
                <w:szCs w:val="12"/>
                <w:color w:val="auto"/>
                <w:w w:val="89"/>
              </w:rPr>
              <w:t>10/02/2017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13.75%</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19,000,000</w:t>
            </w:r>
          </w:p>
        </w:tc>
        <w:tc>
          <w:tcPr>
            <w:tcW w:w="660" w:type="dxa"/>
            <w:vAlign w:val="bottom"/>
          </w:tcPr>
          <w:p>
            <w:pPr>
              <w:jc w:val="right"/>
              <w:spacing w:after="0"/>
              <w:rPr>
                <w:sz w:val="20"/>
                <w:szCs w:val="20"/>
                <w:color w:val="auto"/>
              </w:rPr>
            </w:pPr>
            <w:r>
              <w:rPr>
                <w:rFonts w:ascii="Arial" w:cs="Arial" w:eastAsia="Arial" w:hAnsi="Arial"/>
                <w:sz w:val="12"/>
                <w:szCs w:val="12"/>
                <w:color w:val="auto"/>
                <w:w w:val="87"/>
              </w:rPr>
              <w:t>$  18,629,082</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18,879,139</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620" w:type="dxa"/>
            <w:vAlign w:val="bottom"/>
            <w:shd w:val="clear" w:color="auto" w:fill="CCEEFF"/>
          </w:tcPr>
          <w:p>
            <w:pPr>
              <w:jc w:val="center"/>
              <w:ind w:left="942"/>
              <w:spacing w:after="0"/>
              <w:rPr>
                <w:sz w:val="20"/>
                <w:szCs w:val="20"/>
                <w:color w:val="auto"/>
              </w:rPr>
            </w:pPr>
            <w:r>
              <w:rPr>
                <w:rFonts w:ascii="Arial" w:cs="Arial" w:eastAsia="Arial" w:hAnsi="Arial"/>
                <w:sz w:val="12"/>
                <w:szCs w:val="12"/>
                <w:color w:val="auto"/>
                <w:w w:val="89"/>
              </w:rPr>
              <w:t>11/15/2015</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11.63%</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35,552,000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20,442,400</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620" w:type="dxa"/>
            <w:vAlign w:val="bottom"/>
          </w:tcPr>
          <w:p>
            <w:pPr>
              <w:jc w:val="center"/>
              <w:ind w:left="942"/>
              <w:spacing w:after="0"/>
              <w:rPr>
                <w:sz w:val="20"/>
                <w:szCs w:val="20"/>
                <w:color w:val="auto"/>
              </w:rPr>
            </w:pPr>
            <w:r>
              <w:rPr>
                <w:rFonts w:ascii="Arial" w:cs="Arial" w:eastAsia="Arial" w:hAnsi="Arial"/>
                <w:sz w:val="12"/>
                <w:szCs w:val="12"/>
                <w:color w:val="auto"/>
                <w:w w:val="89"/>
              </w:rPr>
              <w:t>02/15/2019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8,930,000</w:t>
            </w:r>
          </w:p>
        </w:tc>
        <w:tc>
          <w:tcPr>
            <w:tcW w:w="660" w:type="dxa"/>
            <w:vAlign w:val="bottom"/>
          </w:tcPr>
          <w:p>
            <w:pPr>
              <w:jc w:val="right"/>
              <w:spacing w:after="0"/>
              <w:rPr>
                <w:sz w:val="20"/>
                <w:szCs w:val="20"/>
                <w:color w:val="auto"/>
              </w:rPr>
            </w:pPr>
            <w:r>
              <w:rPr>
                <w:rFonts w:ascii="Arial" w:cs="Arial" w:eastAsia="Arial" w:hAnsi="Arial"/>
                <w:sz w:val="12"/>
                <w:szCs w:val="12"/>
                <w:color w:val="auto"/>
              </w:rPr>
              <w:t>8,773,751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8,888,617</w:t>
            </w: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620" w:type="dxa"/>
            <w:vAlign w:val="bottom"/>
            <w:shd w:val="clear" w:color="auto" w:fill="CCEEFF"/>
          </w:tcPr>
          <w:p>
            <w:pPr>
              <w:jc w:val="center"/>
              <w:ind w:left="942"/>
              <w:spacing w:after="0" w:line="129" w:lineRule="exact"/>
              <w:rPr>
                <w:sz w:val="20"/>
                <w:szCs w:val="20"/>
                <w:color w:val="auto"/>
              </w:rPr>
            </w:pPr>
            <w:r>
              <w:rPr>
                <w:rFonts w:ascii="Arial" w:cs="Arial" w:eastAsia="Arial" w:hAnsi="Arial"/>
                <w:sz w:val="12"/>
                <w:szCs w:val="12"/>
                <w:color w:val="auto"/>
                <w:w w:val="89"/>
              </w:rPr>
              <w:t>03/26/2018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23,514,494</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23,114,286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1.00%)</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3440" w:type="dxa"/>
            <w:vAlign w:val="bottom"/>
            <w:gridSpan w:val="2"/>
          </w:tcPr>
          <w:p>
            <w:pPr>
              <w:ind w:left="1040"/>
              <w:spacing w:after="0" w:line="129" w:lineRule="exact"/>
              <w:rPr>
                <w:sz w:val="20"/>
                <w:szCs w:val="20"/>
                <w:color w:val="auto"/>
              </w:rPr>
            </w:pPr>
            <w:r>
              <w:rPr>
                <w:rFonts w:ascii="Arial" w:cs="Arial" w:eastAsia="Arial" w:hAnsi="Arial"/>
                <w:sz w:val="12"/>
                <w:szCs w:val="12"/>
                <w:color w:val="auto"/>
                <w:w w:val="93"/>
              </w:rPr>
              <w:t>10/26/2018   Personal, Food and Miscellaneous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12.25%</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10,600,000</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10,399,101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10,653,423</w:t>
            </w: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Escort, Inc.</w:t>
            </w:r>
          </w:p>
        </w:tc>
        <w:tc>
          <w:tcPr>
            <w:tcW w:w="1620" w:type="dxa"/>
            <w:vAlign w:val="bottom"/>
            <w:shd w:val="clear" w:color="auto" w:fill="CCEEFF"/>
          </w:tcPr>
          <w:p>
            <w:pPr>
              <w:jc w:val="center"/>
              <w:ind w:left="942"/>
              <w:spacing w:after="0" w:line="129" w:lineRule="exact"/>
              <w:rPr>
                <w:sz w:val="20"/>
                <w:szCs w:val="20"/>
                <w:color w:val="auto"/>
              </w:rPr>
            </w:pPr>
            <w:r>
              <w:rPr>
                <w:rFonts w:ascii="Arial" w:cs="Arial" w:eastAsia="Arial" w:hAnsi="Arial"/>
                <w:sz w:val="12"/>
                <w:szCs w:val="12"/>
                <w:color w:val="auto"/>
                <w:w w:val="89"/>
              </w:rPr>
              <w:t>06/01/2016</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14.75%</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25,965,563</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25,579,621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26,484,875</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2.75%)</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620" w:type="dxa"/>
            <w:vAlign w:val="bottom"/>
          </w:tcPr>
          <w:p>
            <w:pPr>
              <w:jc w:val="center"/>
              <w:ind w:left="942"/>
              <w:spacing w:after="0" w:line="129" w:lineRule="exact"/>
              <w:rPr>
                <w:sz w:val="20"/>
                <w:szCs w:val="20"/>
                <w:color w:val="auto"/>
              </w:rPr>
            </w:pPr>
            <w:r>
              <w:rPr>
                <w:rFonts w:ascii="Arial" w:cs="Arial" w:eastAsia="Arial" w:hAnsi="Arial"/>
                <w:sz w:val="12"/>
                <w:szCs w:val="12"/>
                <w:color w:val="auto"/>
                <w:w w:val="89"/>
              </w:rPr>
              <w:t>06/30/2017</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17,517,386</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17,160,955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17,517,386</w:t>
            </w:r>
          </w:p>
        </w:tc>
        <w:tc>
          <w:tcPr>
            <w:tcW w:w="0" w:type="dxa"/>
            <w:vAlign w:val="bottom"/>
          </w:tcPr>
          <w:p>
            <w:pPr>
              <w:spacing w:after="0"/>
              <w:rPr>
                <w:sz w:val="1"/>
                <w:szCs w:val="1"/>
                <w:color w:val="auto"/>
              </w:rPr>
            </w:pPr>
          </w:p>
        </w:tc>
      </w:tr>
      <w:tr>
        <w:trPr>
          <w:trHeight w:val="151"/>
        </w:trPr>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620" w:type="dxa"/>
            <w:vAlign w:val="bottom"/>
            <w:shd w:val="clear" w:color="auto" w:fill="CCEEFF"/>
          </w:tcPr>
          <w:p>
            <w:pPr>
              <w:jc w:val="center"/>
              <w:ind w:left="942"/>
              <w:spacing w:after="0" w:line="132" w:lineRule="exact"/>
              <w:rPr>
                <w:sz w:val="20"/>
                <w:szCs w:val="20"/>
                <w:color w:val="auto"/>
              </w:rPr>
            </w:pPr>
            <w:r>
              <w:rPr>
                <w:rFonts w:ascii="Arial" w:cs="Arial" w:eastAsia="Arial" w:hAnsi="Arial"/>
                <w:sz w:val="12"/>
                <w:szCs w:val="12"/>
                <w:color w:val="auto"/>
                <w:w w:val="89"/>
              </w:rPr>
              <w:t>05/08/2020</w:t>
            </w:r>
          </w:p>
        </w:tc>
        <w:tc>
          <w:tcPr>
            <w:tcW w:w="18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9"/>
              </w:rPr>
              <w:t>Education</w:t>
            </w:r>
          </w:p>
        </w:tc>
        <w:tc>
          <w:tcPr>
            <w:tcW w:w="8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ind w:left="560"/>
              <w:spacing w:after="0" w:line="132"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7,215,989</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6,754,246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7,215,989</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15.00%)</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620" w:type="dxa"/>
            <w:vAlign w:val="bottom"/>
          </w:tcPr>
          <w:p>
            <w:pPr>
              <w:jc w:val="center"/>
              <w:ind w:left="942"/>
              <w:spacing w:after="0"/>
              <w:rPr>
                <w:sz w:val="20"/>
                <w:szCs w:val="20"/>
                <w:color w:val="auto"/>
              </w:rPr>
            </w:pPr>
            <w:r>
              <w:rPr>
                <w:rFonts w:ascii="Arial" w:cs="Arial" w:eastAsia="Arial" w:hAnsi="Arial"/>
                <w:sz w:val="12"/>
                <w:szCs w:val="12"/>
                <w:color w:val="auto"/>
                <w:w w:val="89"/>
              </w:rPr>
              <w:t>01/19/2019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30,000,000</w:t>
            </w:r>
          </w:p>
        </w:tc>
        <w:tc>
          <w:tcPr>
            <w:tcW w:w="660" w:type="dxa"/>
            <w:vAlign w:val="bottom"/>
          </w:tcPr>
          <w:p>
            <w:pPr>
              <w:jc w:val="right"/>
              <w:spacing w:after="0"/>
              <w:rPr>
                <w:sz w:val="20"/>
                <w:szCs w:val="20"/>
                <w:color w:val="auto"/>
              </w:rPr>
            </w:pPr>
            <w:r>
              <w:rPr>
                <w:rFonts w:ascii="Arial" w:cs="Arial" w:eastAsia="Arial" w:hAnsi="Arial"/>
                <w:sz w:val="12"/>
                <w:szCs w:val="12"/>
                <w:color w:val="auto"/>
              </w:rPr>
              <w:t>30,000,000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30,525,000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620" w:type="dxa"/>
            <w:vAlign w:val="bottom"/>
            <w:shd w:val="clear" w:color="auto" w:fill="CCEEFF"/>
          </w:tcPr>
          <w:p>
            <w:pPr>
              <w:jc w:val="center"/>
              <w:ind w:left="942"/>
              <w:spacing w:after="0"/>
              <w:rPr>
                <w:sz w:val="20"/>
                <w:szCs w:val="20"/>
                <w:color w:val="auto"/>
              </w:rPr>
            </w:pPr>
            <w:r>
              <w:rPr>
                <w:rFonts w:ascii="Arial" w:cs="Arial" w:eastAsia="Arial" w:hAnsi="Arial"/>
                <w:sz w:val="12"/>
                <w:szCs w:val="12"/>
                <w:color w:val="auto"/>
                <w:w w:val="89"/>
              </w:rPr>
              <w:t>01/11/2014</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5,000,000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5,087,500</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MSPark, Inc.</w:t>
            </w:r>
          </w:p>
        </w:tc>
        <w:tc>
          <w:tcPr>
            <w:tcW w:w="1620" w:type="dxa"/>
            <w:vAlign w:val="bottom"/>
          </w:tcPr>
          <w:p>
            <w:pPr>
              <w:jc w:val="center"/>
              <w:ind w:left="942"/>
              <w:spacing w:after="0"/>
              <w:rPr>
                <w:sz w:val="20"/>
                <w:szCs w:val="20"/>
                <w:color w:val="auto"/>
              </w:rPr>
            </w:pPr>
            <w:r>
              <w:rPr>
                <w:rFonts w:ascii="Arial" w:cs="Arial" w:eastAsia="Arial" w:hAnsi="Arial"/>
                <w:sz w:val="12"/>
                <w:szCs w:val="12"/>
                <w:color w:val="auto"/>
                <w:w w:val="89"/>
              </w:rPr>
              <w:t>06/15/2017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15,000,000</w:t>
            </w:r>
          </w:p>
        </w:tc>
        <w:tc>
          <w:tcPr>
            <w:tcW w:w="660" w:type="dxa"/>
            <w:vAlign w:val="bottom"/>
          </w:tcPr>
          <w:p>
            <w:pPr>
              <w:jc w:val="right"/>
              <w:spacing w:after="0"/>
              <w:rPr>
                <w:sz w:val="20"/>
                <w:szCs w:val="20"/>
                <w:color w:val="auto"/>
              </w:rPr>
            </w:pPr>
            <w:r>
              <w:rPr>
                <w:rFonts w:ascii="Arial" w:cs="Arial" w:eastAsia="Arial" w:hAnsi="Arial"/>
                <w:sz w:val="12"/>
                <w:szCs w:val="12"/>
                <w:color w:val="auto"/>
              </w:rPr>
              <w:t>14,691,342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14,700,000</w:t>
            </w: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w:t>
            </w:r>
          </w:p>
        </w:tc>
        <w:tc>
          <w:tcPr>
            <w:tcW w:w="1620" w:type="dxa"/>
            <w:vAlign w:val="bottom"/>
            <w:shd w:val="clear" w:color="auto" w:fill="CCEEFF"/>
          </w:tcPr>
          <w:p>
            <w:pPr>
              <w:jc w:val="center"/>
              <w:ind w:left="942"/>
              <w:spacing w:after="0" w:line="129" w:lineRule="exact"/>
              <w:rPr>
                <w:sz w:val="20"/>
                <w:szCs w:val="20"/>
                <w:color w:val="auto"/>
              </w:rPr>
            </w:pPr>
            <w:r>
              <w:rPr>
                <w:rFonts w:ascii="Arial" w:cs="Arial" w:eastAsia="Arial" w:hAnsi="Arial"/>
                <w:sz w:val="12"/>
                <w:szCs w:val="12"/>
                <w:color w:val="auto"/>
                <w:w w:val="89"/>
              </w:rPr>
              <w:t>01/15/2018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37,070,637</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36,720,586</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Corp.</w:t>
            </w: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4.00%)</w:t>
            </w: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620" w:type="dxa"/>
            <w:vAlign w:val="bottom"/>
          </w:tcPr>
          <w:p>
            <w:pPr>
              <w:jc w:val="center"/>
              <w:ind w:left="942"/>
              <w:spacing w:after="0"/>
              <w:rPr>
                <w:sz w:val="20"/>
                <w:szCs w:val="20"/>
                <w:color w:val="auto"/>
              </w:rPr>
            </w:pPr>
            <w:r>
              <w:rPr>
                <w:rFonts w:ascii="Arial" w:cs="Arial" w:eastAsia="Arial" w:hAnsi="Arial"/>
                <w:sz w:val="12"/>
                <w:szCs w:val="12"/>
                <w:color w:val="auto"/>
                <w:w w:val="89"/>
              </w:rPr>
              <w:t>06/27/2019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39,892,933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39,147,926</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39,827,248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270,087,700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260,809,374</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w:t>
            </w:r>
          </w:p>
        </w:tc>
        <w:tc>
          <w:tcPr>
            <w:tcW w:w="1620" w:type="dxa"/>
            <w:vAlign w:val="bottom"/>
            <w:shd w:val="clear" w:color="auto" w:fill="CCEEFF"/>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211</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AHC Mezzanine, LLC</w:t>
            </w:r>
          </w:p>
        </w:tc>
        <w:tc>
          <w:tcPr>
            <w:tcW w:w="1620" w:type="dxa"/>
            <w:vAlign w:val="bottom"/>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7,505</w:t>
            </w:r>
          </w:p>
        </w:tc>
        <w:tc>
          <w:tcPr>
            <w:tcW w:w="660" w:type="dxa"/>
            <w:vAlign w:val="bottom"/>
          </w:tcPr>
          <w:p>
            <w:pPr>
              <w:jc w:val="right"/>
              <w:spacing w:after="0"/>
              <w:rPr>
                <w:sz w:val="20"/>
                <w:szCs w:val="20"/>
                <w:color w:val="auto"/>
              </w:rPr>
            </w:pPr>
            <w:r>
              <w:rPr>
                <w:rFonts w:ascii="Arial" w:cs="Arial" w:eastAsia="Arial" w:hAnsi="Arial"/>
                <w:sz w:val="12"/>
                <w:szCs w:val="12"/>
                <w:color w:val="auto"/>
              </w:rPr>
              <w:t>318,896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620" w:type="dxa"/>
            <w:vAlign w:val="bottom"/>
            <w:shd w:val="clear" w:color="auto" w:fill="CCEEFF"/>
          </w:tcPr>
          <w:p>
            <w:pPr>
              <w:jc w:val="center"/>
              <w:ind w:left="9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949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949,050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Series A (Alegeus Technologies, LLC)</w:t>
            </w: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620" w:type="dxa"/>
            <w:vAlign w:val="bottom"/>
          </w:tcPr>
          <w:p>
            <w:pPr>
              <w:jc w:val="center"/>
              <w:ind w:left="9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76,357</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765,307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1,187,410</w:t>
            </w:r>
          </w:p>
        </w:tc>
        <w:tc>
          <w:tcPr>
            <w:tcW w:w="0" w:type="dxa"/>
            <w:vAlign w:val="bottom"/>
          </w:tcPr>
          <w:p>
            <w:pPr>
              <w:spacing w:after="0"/>
              <w:rPr>
                <w:sz w:val="1"/>
                <w:szCs w:val="1"/>
                <w:color w:val="auto"/>
              </w:rPr>
            </w:pPr>
          </w:p>
        </w:tc>
      </w:tr>
      <w:tr>
        <w:trPr>
          <w:trHeight w:val="151"/>
        </w:trPr>
        <w:tc>
          <w:tcPr>
            <w:tcW w:w="356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5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620" w:type="dxa"/>
            <w:vAlign w:val="bottom"/>
            <w:shd w:val="clear" w:color="auto" w:fill="CCEEFF"/>
          </w:tcPr>
          <w:p>
            <w:pPr>
              <w:jc w:val="center"/>
              <w:ind w:left="922"/>
              <w:spacing w:after="0" w:line="132"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32"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38,179</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382,654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16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620" w:type="dxa"/>
            <w:vAlign w:val="bottom"/>
          </w:tcPr>
          <w:p>
            <w:pPr>
              <w:jc w:val="center"/>
              <w:ind w:left="9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2,375</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2,375,000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2,584,106</w:t>
            </w:r>
          </w:p>
        </w:tc>
        <w:tc>
          <w:tcPr>
            <w:tcW w:w="0" w:type="dxa"/>
            <w:vAlign w:val="bottom"/>
          </w:tcPr>
          <w:p>
            <w:pPr>
              <w:spacing w:after="0"/>
              <w:rPr>
                <w:sz w:val="1"/>
                <w:szCs w:val="1"/>
                <w:color w:val="auto"/>
              </w:rPr>
            </w:pPr>
          </w:p>
        </w:tc>
      </w:tr>
      <w:tr>
        <w:trPr>
          <w:trHeight w:val="151"/>
        </w:trPr>
        <w:tc>
          <w:tcPr>
            <w:tcW w:w="3560" w:type="dxa"/>
            <w:vAlign w:val="bottom"/>
          </w:tcPr>
          <w:p>
            <w:pPr>
              <w:ind w:left="160"/>
              <w:spacing w:after="0"/>
              <w:rPr>
                <w:sz w:val="20"/>
                <w:szCs w:val="20"/>
                <w:color w:val="auto"/>
              </w:rPr>
            </w:pPr>
            <w:r>
              <w:rPr>
                <w:rFonts w:ascii="Arial" w:cs="Arial" w:eastAsia="Arial" w:hAnsi="Arial"/>
                <w:sz w:val="12"/>
                <w:szCs w:val="12"/>
                <w:color w:val="auto"/>
              </w:rPr>
              <w:t>(Convergint Technologies LLC)</w:t>
            </w: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620" w:type="dxa"/>
            <w:vAlign w:val="bottom"/>
            <w:shd w:val="clear" w:color="auto" w:fill="CCEEFF"/>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326,215</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326,215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HW Topco, Inc.</w:t>
            </w:r>
          </w:p>
        </w:tc>
        <w:tc>
          <w:tcPr>
            <w:tcW w:w="1620" w:type="dxa"/>
            <w:vAlign w:val="bottom"/>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3,591</w:t>
            </w:r>
          </w:p>
        </w:tc>
        <w:tc>
          <w:tcPr>
            <w:tcW w:w="660" w:type="dxa"/>
            <w:vAlign w:val="bottom"/>
          </w:tcPr>
          <w:p>
            <w:pPr>
              <w:jc w:val="right"/>
              <w:spacing w:after="0"/>
              <w:rPr>
                <w:sz w:val="20"/>
                <w:szCs w:val="20"/>
                <w:color w:val="auto"/>
              </w:rPr>
            </w:pPr>
            <w:r>
              <w:rPr>
                <w:rFonts w:ascii="Arial" w:cs="Arial" w:eastAsia="Arial" w:hAnsi="Arial"/>
                <w:sz w:val="12"/>
                <w:szCs w:val="12"/>
                <w:color w:val="auto"/>
              </w:rPr>
              <w:t>24,177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620" w:type="dxa"/>
            <w:vAlign w:val="bottom"/>
            <w:shd w:val="clear" w:color="auto" w:fill="CCEEFF"/>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686</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685,820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620" w:type="dxa"/>
            <w:vAlign w:val="bottom"/>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62"/>
              <w:spacing w:after="0"/>
              <w:rPr>
                <w:sz w:val="20"/>
                <w:szCs w:val="20"/>
                <w:color w:val="auto"/>
              </w:rPr>
            </w:pPr>
            <w:r>
              <w:rPr>
                <w:rFonts w:ascii="Arial" w:cs="Arial" w:eastAsia="Arial" w:hAnsi="Arial"/>
                <w:sz w:val="12"/>
                <w:szCs w:val="12"/>
                <w:color w:val="auto"/>
              </w:rPr>
              <w:t>1,312</w:t>
            </w:r>
          </w:p>
        </w:tc>
        <w:tc>
          <w:tcPr>
            <w:tcW w:w="660" w:type="dxa"/>
            <w:vAlign w:val="bottom"/>
          </w:tcPr>
          <w:p>
            <w:pPr>
              <w:jc w:val="right"/>
              <w:spacing w:after="0"/>
              <w:rPr>
                <w:sz w:val="20"/>
                <w:szCs w:val="20"/>
                <w:color w:val="auto"/>
              </w:rPr>
            </w:pPr>
            <w:r>
              <w:rPr>
                <w:rFonts w:ascii="Arial" w:cs="Arial" w:eastAsia="Arial" w:hAnsi="Arial"/>
                <w:sz w:val="12"/>
                <w:szCs w:val="12"/>
                <w:color w:val="auto"/>
              </w:rPr>
              <w:t>1,312,006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620" w:type="dxa"/>
            <w:vAlign w:val="bottom"/>
            <w:shd w:val="clear" w:color="auto" w:fill="CCEEFF"/>
          </w:tcPr>
          <w:p>
            <w:pPr>
              <w:jc w:val="center"/>
              <w:ind w:left="9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1,824,167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9,463,292</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8,051,870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85"/>
              </w:rPr>
              <w:t>Basis Point</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8"/>
              </w:rPr>
              <w:t>Spread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tcPr>
          <w:p>
            <w:pPr>
              <w:jc w:val="right"/>
              <w:ind w:right="382"/>
              <w:spacing w:after="0" w:line="135" w:lineRule="exact"/>
              <w:rPr>
                <w:sz w:val="20"/>
                <w:szCs w:val="20"/>
                <w:color w:val="auto"/>
              </w:rPr>
            </w:pPr>
            <w:r>
              <w:rPr>
                <w:rFonts w:ascii="Arial" w:cs="Arial" w:eastAsia="Arial" w:hAnsi="Arial"/>
                <w:sz w:val="12"/>
                <w:szCs w:val="12"/>
                <w:b w:val="1"/>
                <w:bCs w:val="1"/>
                <w:color w:val="auto"/>
              </w:rPr>
              <w:t>Par /</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20" w:type="dxa"/>
            <w:vAlign w:val="bottom"/>
            <w:vMerge w:val="continue"/>
          </w:tcPr>
          <w:p>
            <w:pPr>
              <w:spacing w:after="0"/>
              <w:rPr>
                <w:sz w:val="12"/>
                <w:szCs w:val="12"/>
                <w:color w:val="auto"/>
              </w:rPr>
            </w:pPr>
          </w:p>
        </w:tc>
        <w:tc>
          <w:tcPr>
            <w:tcW w:w="960" w:type="dxa"/>
            <w:vAlign w:val="bottom"/>
          </w:tcPr>
          <w:p>
            <w:pPr>
              <w:ind w:left="300"/>
              <w:spacing w:after="0"/>
              <w:rPr>
                <w:sz w:val="20"/>
                <w:szCs w:val="20"/>
                <w:color w:val="auto"/>
              </w:rPr>
            </w:pPr>
            <w:r>
              <w:rPr>
                <w:rFonts w:ascii="Arial" w:cs="Arial" w:eastAsia="Arial" w:hAnsi="Arial"/>
                <w:sz w:val="12"/>
                <w:szCs w:val="12"/>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920" w:type="dxa"/>
            <w:vAlign w:val="bottom"/>
          </w:tcPr>
          <w:p>
            <w:pPr>
              <w:jc w:val="right"/>
              <w:ind w:right="342"/>
              <w:spacing w:after="0"/>
              <w:rPr>
                <w:sz w:val="20"/>
                <w:szCs w:val="20"/>
                <w:color w:val="auto"/>
              </w:rPr>
            </w:pPr>
            <w:r>
              <w:rPr>
                <w:rFonts w:ascii="Arial" w:cs="Arial" w:eastAsia="Arial" w:hAnsi="Arial"/>
                <w:sz w:val="12"/>
                <w:szCs w:val="12"/>
                <w:b w:val="1"/>
                <w:bCs w:val="1"/>
                <w:color w:val="auto"/>
              </w:rPr>
              <w:t>Shares</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39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Equity/Warrants/Partnership Interests—10.1% </w:t>
            </w:r>
            <w:r>
              <w:rPr>
                <w:rFonts w:ascii="Arial" w:cs="Arial" w:eastAsia="Arial" w:hAnsi="Arial"/>
                <w:sz w:val="9"/>
                <w:szCs w:val="9"/>
                <w:b w:val="1"/>
                <w:bCs w:val="1"/>
                <w:color w:val="auto"/>
              </w:rPr>
              <w:t>(6)</w:t>
            </w:r>
          </w:p>
        </w:tc>
        <w:tc>
          <w:tcPr>
            <w:tcW w:w="960" w:type="dxa"/>
            <w:vAlign w:val="bottom"/>
            <w:tcBorders>
              <w:top w:val="single" w:sz="8" w:color="auto"/>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8"/>
              </w:rPr>
              <w:t>Electronics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1,998</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w w:val="91"/>
              </w:rPr>
              <w:t>$   2,000,000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1,572,603</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shd w:val="clear" w:color="auto" w:fill="CCEEFF"/>
          </w:tcPr>
          <w:p>
            <w:pPr>
              <w:jc w:val="center"/>
              <w:ind w:left="78"/>
              <w:spacing w:after="0"/>
              <w:rPr>
                <w:sz w:val="20"/>
                <w:szCs w:val="20"/>
                <w:color w:val="auto"/>
              </w:rPr>
            </w:pPr>
            <w:r>
              <w:rPr>
                <w:rFonts w:ascii="Arial" w:cs="Arial" w:eastAsia="Arial" w:hAnsi="Arial"/>
                <w:sz w:val="13"/>
                <w:szCs w:val="13"/>
                <w:color w:val="auto"/>
                <w:w w:val="89"/>
              </w:rPr>
              <w:t>03/23/2021</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753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2,499,319</w:t>
            </w:r>
          </w:p>
        </w:tc>
        <w:tc>
          <w:tcPr>
            <w:tcW w:w="0" w:type="dxa"/>
            <w:vAlign w:val="bottom"/>
          </w:tcPr>
          <w:p>
            <w:pPr>
              <w:spacing w:after="0"/>
              <w:rPr>
                <w:sz w:val="1"/>
                <w:szCs w:val="1"/>
                <w:color w:val="auto"/>
              </w:rPr>
            </w:pPr>
          </w:p>
        </w:tc>
      </w:tr>
      <w:tr>
        <w:trPr>
          <w:trHeight w:val="129"/>
        </w:trPr>
        <w:tc>
          <w:tcPr>
            <w:tcW w:w="392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960" w:type="dxa"/>
            <w:vAlign w:val="bottom"/>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Financial Services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r>
        <w:trPr>
          <w:trHeight w:val="151"/>
        </w:trPr>
        <w:tc>
          <w:tcPr>
            <w:tcW w:w="3920" w:type="dxa"/>
            <w:vAlign w:val="bottom"/>
          </w:tcPr>
          <w:p>
            <w:pPr>
              <w:ind w:left="160"/>
              <w:spacing w:after="0"/>
              <w:rPr>
                <w:sz w:val="20"/>
                <w:szCs w:val="20"/>
                <w:color w:val="auto"/>
              </w:rPr>
            </w:pPr>
            <w:r>
              <w:rPr>
                <w:rFonts w:ascii="Arial" w:cs="Arial" w:eastAsia="Arial" w:hAnsi="Arial"/>
                <w:sz w:val="12"/>
                <w:szCs w:val="12"/>
                <w:color w:val="auto"/>
              </w:rPr>
              <w:t>(Alegeus Technologies, LLC)</w:t>
            </w: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960" w:type="dxa"/>
            <w:vAlign w:val="bottom"/>
            <w:shd w:val="clear" w:color="auto" w:fill="CCEEFF"/>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Broadcasting and Entertainment</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1,333,330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92"/>
              </w:rPr>
              <w:t>Distribution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1,505,000</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1,505,000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2,308,777</w:t>
            </w: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960" w:type="dxa"/>
            <w:vAlign w:val="bottom"/>
            <w:shd w:val="clear" w:color="auto" w:fill="CCEEFF"/>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23,416</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234,693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(Interactive Health Solutions, Inc.)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960" w:type="dxa"/>
            <w:vAlign w:val="bottom"/>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11,708</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51"/>
        </w:trPr>
        <w:tc>
          <w:tcPr>
            <w:tcW w:w="3920" w:type="dxa"/>
            <w:vAlign w:val="bottom"/>
          </w:tcPr>
          <w:p>
            <w:pPr>
              <w:ind w:left="160"/>
              <w:spacing w:after="0"/>
              <w:rPr>
                <w:sz w:val="20"/>
                <w:szCs w:val="20"/>
                <w:color w:val="auto"/>
              </w:rPr>
            </w:pPr>
            <w:r>
              <w:rPr>
                <w:rFonts w:ascii="Arial" w:cs="Arial" w:eastAsia="Arial" w:hAnsi="Arial"/>
                <w:sz w:val="12"/>
                <w:szCs w:val="12"/>
                <w:color w:val="auto"/>
              </w:rPr>
              <w:t>(Interactive Health Solutions, Inc.)</w:t>
            </w: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960" w:type="dxa"/>
            <w:vAlign w:val="bottom"/>
            <w:shd w:val="clear" w:color="auto" w:fill="CCEEFF"/>
          </w:tcPr>
          <w:p>
            <w:pPr>
              <w:jc w:val="center"/>
              <w:ind w:left="78"/>
              <w:spacing w:after="0" w:line="133"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8"/>
              </w:rPr>
              <w:t>Electronics</w:t>
            </w:r>
          </w:p>
        </w:tc>
        <w:tc>
          <w:tcPr>
            <w:tcW w:w="66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2,375</w:t>
            </w:r>
          </w:p>
        </w:tc>
        <w:tc>
          <w:tcPr>
            <w:tcW w:w="7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(Convergint Technologies LLC)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CT Technologies Holdings, LLC</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5,556</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1,918,346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7,285,399</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960" w:type="dxa"/>
            <w:vAlign w:val="bottom"/>
            <w:shd w:val="clear" w:color="auto" w:fill="CCEEFF"/>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386,770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2,697,835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3,400,855</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1,079,920</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1,236,832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960" w:type="dxa"/>
            <w:vAlign w:val="bottom"/>
            <w:shd w:val="clear" w:color="auto" w:fill="CCEEFF"/>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1,079,920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20"/>
                <w:szCs w:val="20"/>
                <w:color w:val="auto"/>
              </w:rPr>
            </w:pPr>
            <w:r>
              <w:rPr>
                <w:rFonts w:ascii="Arial" w:cs="Arial" w:eastAsia="Arial" w:hAnsi="Arial"/>
                <w:sz w:val="12"/>
                <w:szCs w:val="12"/>
                <w:color w:val="auto"/>
              </w:rPr>
              <w:t>Learning Care Group (US) Inc. (Warrants)</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w w:val="89"/>
              </w:rPr>
              <w:t>04/27/2020</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Education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6,649</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779,920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4,300,696</w:t>
            </w: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960" w:type="dxa"/>
            <w:vAlign w:val="bottom"/>
            <w:shd w:val="clear" w:color="auto" w:fill="CCEEFF"/>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1,221,932</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3,057,500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7,539,320</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(Eureka Hunter Pipeline, LLC)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960" w:type="dxa"/>
            <w:vAlign w:val="bottom"/>
          </w:tcPr>
          <w:p>
            <w:pPr>
              <w:jc w:val="center"/>
              <w:ind w:left="78"/>
              <w:spacing w:after="0" w:line="129" w:lineRule="exact"/>
              <w:rPr>
                <w:sz w:val="20"/>
                <w:szCs w:val="20"/>
                <w:color w:val="auto"/>
              </w:rPr>
            </w:pPr>
            <w:r>
              <w:rPr>
                <w:rFonts w:ascii="Arial" w:cs="Arial" w:eastAsia="Arial" w:hAnsi="Arial"/>
                <w:sz w:val="13"/>
                <w:szCs w:val="13"/>
                <w:color w:val="auto"/>
                <w:w w:val="89"/>
              </w:rPr>
              <w:t>10/14/2013</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122,193</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105,697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920" w:type="dxa"/>
            <w:vAlign w:val="bottom"/>
          </w:tcPr>
          <w:p>
            <w:pPr>
              <w:ind w:left="160"/>
              <w:spacing w:after="0"/>
              <w:rPr>
                <w:sz w:val="20"/>
                <w:szCs w:val="20"/>
                <w:color w:val="auto"/>
              </w:rPr>
            </w:pPr>
            <w:r>
              <w:rPr>
                <w:rFonts w:ascii="Arial" w:cs="Arial" w:eastAsia="Arial" w:hAnsi="Arial"/>
                <w:sz w:val="12"/>
                <w:szCs w:val="12"/>
                <w:color w:val="auto"/>
              </w:rPr>
              <w:t>(Warrants) (Eureka Hunter Pipeline, LLC)</w:t>
            </w: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Magnum Hunter Resources Corporation</w:t>
            </w:r>
          </w:p>
        </w:tc>
        <w:tc>
          <w:tcPr>
            <w:tcW w:w="960" w:type="dxa"/>
            <w:vAlign w:val="bottom"/>
            <w:shd w:val="clear" w:color="auto" w:fill="CCEEFF"/>
          </w:tcPr>
          <w:p>
            <w:pPr>
              <w:jc w:val="center"/>
              <w:ind w:left="78"/>
              <w:spacing w:after="0" w:line="133" w:lineRule="exact"/>
              <w:rPr>
                <w:sz w:val="20"/>
                <w:szCs w:val="20"/>
                <w:color w:val="auto"/>
              </w:rPr>
            </w:pPr>
            <w:r>
              <w:rPr>
                <w:rFonts w:ascii="Arial" w:cs="Arial" w:eastAsia="Arial" w:hAnsi="Arial"/>
                <w:sz w:val="13"/>
                <w:szCs w:val="13"/>
                <w:color w:val="auto"/>
                <w:w w:val="89"/>
              </w:rPr>
              <w:t>04/16/2016</w:t>
            </w:r>
          </w:p>
        </w:tc>
        <w:tc>
          <w:tcPr>
            <w:tcW w:w="20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122,193</w:t>
            </w:r>
          </w:p>
        </w:tc>
        <w:tc>
          <w:tcPr>
            <w:tcW w:w="7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182,499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(Warrants) (Eureka Hunter Pipeline, LLC)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960" w:type="dxa"/>
            <w:vAlign w:val="bottom"/>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92"/>
              </w:rPr>
              <w:t>Distribution</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1,850</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1,850,294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1,845,784</w:t>
            </w:r>
          </w:p>
        </w:tc>
        <w:tc>
          <w:tcPr>
            <w:tcW w:w="0" w:type="dxa"/>
            <w:vAlign w:val="bottom"/>
          </w:tcPr>
          <w:p>
            <w:pPr>
              <w:spacing w:after="0"/>
              <w:rPr>
                <w:sz w:val="1"/>
                <w:szCs w:val="1"/>
                <w:color w:val="auto"/>
              </w:rPr>
            </w:pPr>
          </w:p>
        </w:tc>
      </w:tr>
      <w:tr>
        <w:trPr>
          <w:trHeight w:val="151"/>
        </w:trPr>
        <w:tc>
          <w:tcPr>
            <w:tcW w:w="3920" w:type="dxa"/>
            <w:vAlign w:val="bottom"/>
          </w:tcPr>
          <w:p>
            <w:pPr>
              <w:ind w:left="160"/>
              <w:spacing w:after="0"/>
              <w:rPr>
                <w:sz w:val="20"/>
                <w:szCs w:val="20"/>
                <w:color w:val="auto"/>
              </w:rPr>
            </w:pPr>
            <w:r>
              <w:rPr>
                <w:rFonts w:ascii="Arial" w:cs="Arial" w:eastAsia="Arial" w:hAnsi="Arial"/>
                <w:sz w:val="12"/>
                <w:szCs w:val="12"/>
                <w:color w:val="auto"/>
              </w:rPr>
              <w:t>(JF Acquisition, LLC)</w:t>
            </w: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MidOcean PPL Holdings, Corp.</w:t>
            </w:r>
          </w:p>
        </w:tc>
        <w:tc>
          <w:tcPr>
            <w:tcW w:w="960" w:type="dxa"/>
            <w:vAlign w:val="bottom"/>
            <w:shd w:val="clear" w:color="auto" w:fill="CCEEFF"/>
          </w:tcPr>
          <w:p>
            <w:pPr>
              <w:jc w:val="center"/>
              <w:ind w:left="78"/>
              <w:spacing w:after="0" w:line="124"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4" w:lineRule="exact"/>
              <w:rPr>
                <w:sz w:val="20"/>
                <w:szCs w:val="20"/>
                <w:color w:val="auto"/>
              </w:rPr>
            </w:pPr>
            <w:r>
              <w:rPr>
                <w:rFonts w:ascii="Arial" w:cs="Arial" w:eastAsia="Arial" w:hAnsi="Arial"/>
                <w:sz w:val="13"/>
                <w:szCs w:val="13"/>
                <w:color w:val="auto"/>
                <w:w w:val="86"/>
              </w:rPr>
              <w:t>Personal, Food and Miscellaneous</w:t>
            </w:r>
          </w:p>
        </w:tc>
        <w:tc>
          <w:tcPr>
            <w:tcW w:w="660" w:type="dxa"/>
            <w:vAlign w:val="bottom"/>
            <w:shd w:val="clear" w:color="auto" w:fill="CCEEFF"/>
          </w:tcPr>
          <w:p>
            <w:pPr>
              <w:jc w:val="right"/>
              <w:ind w:right="102"/>
              <w:spacing w:after="0" w:line="124"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4"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4" w:lineRule="exact"/>
              <w:rPr>
                <w:sz w:val="20"/>
                <w:szCs w:val="20"/>
                <w:color w:val="auto"/>
              </w:rPr>
            </w:pPr>
            <w:r>
              <w:rPr>
                <w:rFonts w:ascii="Arial" w:cs="Arial" w:eastAsia="Arial" w:hAnsi="Arial"/>
                <w:sz w:val="12"/>
                <w:szCs w:val="12"/>
                <w:color w:val="auto"/>
              </w:rPr>
              <w:t>3,000</w:t>
            </w:r>
          </w:p>
        </w:tc>
        <w:tc>
          <w:tcPr>
            <w:tcW w:w="78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5,441,976</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Legal Services, Inc.)</w:t>
            </w:r>
          </w:p>
        </w:tc>
        <w:tc>
          <w:tcPr>
            <w:tcW w:w="96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960" w:type="dxa"/>
            <w:vAlign w:val="bottom"/>
          </w:tcPr>
          <w:p>
            <w:pPr>
              <w:jc w:val="center"/>
              <w:ind w:left="7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20,000</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2,000,000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3,720,481</w:t>
            </w: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A</w:t>
            </w:r>
          </w:p>
        </w:tc>
        <w:tc>
          <w:tcPr>
            <w:tcW w:w="960" w:type="dxa"/>
            <w:vAlign w:val="bottom"/>
            <w:shd w:val="clear" w:color="auto" w:fill="CCEEFF"/>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4,325</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1,306,167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2,073,419</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(Questex Media Group, LLC)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960" w:type="dxa"/>
            <w:vAlign w:val="bottom"/>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531</w:t>
            </w: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51"/>
        </w:trPr>
        <w:tc>
          <w:tcPr>
            <w:tcW w:w="3920" w:type="dxa"/>
            <w:vAlign w:val="bottom"/>
          </w:tcPr>
          <w:p>
            <w:pPr>
              <w:ind w:left="160"/>
              <w:spacing w:after="0"/>
              <w:rPr>
                <w:sz w:val="20"/>
                <w:szCs w:val="20"/>
                <w:color w:val="auto"/>
              </w:rPr>
            </w:pPr>
            <w:r>
              <w:rPr>
                <w:rFonts w:ascii="Arial" w:cs="Arial" w:eastAsia="Arial" w:hAnsi="Arial"/>
                <w:sz w:val="12"/>
                <w:szCs w:val="12"/>
                <w:color w:val="auto"/>
              </w:rPr>
              <w:t>(Questex Media Group, LLC)</w:t>
            </w: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SPG Boyd Holdings Corp.</w:t>
            </w:r>
          </w:p>
        </w:tc>
        <w:tc>
          <w:tcPr>
            <w:tcW w:w="960" w:type="dxa"/>
            <w:vAlign w:val="bottom"/>
            <w:shd w:val="clear" w:color="auto" w:fill="CCEEFF"/>
          </w:tcPr>
          <w:p>
            <w:pPr>
              <w:jc w:val="center"/>
              <w:ind w:left="78"/>
              <w:spacing w:after="0" w:line="133"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7"/>
              </w:rPr>
              <w:t>Chemical, Plastic and Rubber</w:t>
            </w:r>
          </w:p>
        </w:tc>
        <w:tc>
          <w:tcPr>
            <w:tcW w:w="660" w:type="dxa"/>
            <w:vAlign w:val="bottom"/>
            <w:shd w:val="clear" w:color="auto" w:fill="CCEEFF"/>
          </w:tcPr>
          <w:p>
            <w:pPr>
              <w:jc w:val="right"/>
              <w:ind w:right="102"/>
              <w:spacing w:after="0" w:line="132"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2"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300,000</w:t>
            </w:r>
          </w:p>
        </w:tc>
        <w:tc>
          <w:tcPr>
            <w:tcW w:w="7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5,571,120</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(LTI Flexible Products, Inc.)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960" w:type="dxa"/>
            <w:vAlign w:val="bottom"/>
          </w:tcPr>
          <w:p>
            <w:pPr>
              <w:ind w:left="300"/>
              <w:spacing w:after="0"/>
              <w:rPr>
                <w:sz w:val="20"/>
                <w:szCs w:val="20"/>
                <w:color w:val="auto"/>
              </w:rPr>
            </w:pPr>
            <w:r>
              <w:rPr>
                <w:rFonts w:ascii="Arial" w:cs="Arial" w:eastAsia="Arial" w:hAnsi="Arial"/>
                <w:sz w:val="12"/>
                <w:szCs w:val="12"/>
                <w:color w:val="auto"/>
              </w:rPr>
              <w:t>12/29/2019</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3,500</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29,400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960" w:type="dxa"/>
            <w:vAlign w:val="bottom"/>
            <w:shd w:val="clear" w:color="auto" w:fill="CCEEFF"/>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Cargo Transport</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137,923</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(Intermediate Transportation 100, L.L.C.)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TZ Holdings, L.P.</w:t>
            </w:r>
          </w:p>
        </w:tc>
        <w:tc>
          <w:tcPr>
            <w:tcW w:w="960" w:type="dxa"/>
            <w:vAlign w:val="bottom"/>
          </w:tcPr>
          <w:p>
            <w:pPr>
              <w:jc w:val="center"/>
              <w:ind w:left="78"/>
              <w:spacing w:after="0"/>
              <w:rPr>
                <w:sz w:val="20"/>
                <w:szCs w:val="20"/>
                <w:color w:val="auto"/>
              </w:rPr>
            </w:pPr>
            <w:r>
              <w:rPr>
                <w:rFonts w:ascii="Arial" w:cs="Arial" w:eastAsia="Arial" w:hAnsi="Arial"/>
                <w:sz w:val="12"/>
                <w:szCs w:val="12"/>
                <w:color w:val="auto"/>
                <w:w w:val="82"/>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Insurance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2</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9,567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60" w:type="dxa"/>
            <w:vAlign w:val="bottom"/>
            <w:shd w:val="clear" w:color="auto" w:fill="CCEEFF"/>
          </w:tcPr>
          <w:p>
            <w:pPr>
              <w:jc w:val="center"/>
              <w:ind w:left="7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Printing and Publishing</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211,797</w:t>
            </w:r>
          </w:p>
        </w:tc>
        <w:tc>
          <w:tcPr>
            <w:tcW w:w="78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2,325,555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2,626,512</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(Vestcom International, Inc.)</w:t>
            </w:r>
          </w:p>
        </w:tc>
        <w:tc>
          <w:tcPr>
            <w:tcW w:w="9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20"/>
                <w:szCs w:val="20"/>
                <w:color w:val="auto"/>
              </w:rPr>
            </w:pPr>
            <w:r>
              <w:rPr>
                <w:rFonts w:ascii="Arial" w:cs="Arial" w:eastAsia="Arial" w:hAnsi="Arial"/>
                <w:sz w:val="12"/>
                <w:szCs w:val="12"/>
                <w:color w:val="auto"/>
              </w:rPr>
              <w:t>VRide Holdings Inc.</w:t>
            </w:r>
          </w:p>
        </w:tc>
        <w:tc>
          <w:tcPr>
            <w:tcW w:w="960" w:type="dxa"/>
            <w:vAlign w:val="bottom"/>
          </w:tcPr>
          <w:p>
            <w:pPr>
              <w:jc w:val="center"/>
              <w:ind w:left="78"/>
              <w:spacing w:after="0"/>
              <w:rPr>
                <w:sz w:val="20"/>
                <w:szCs w:val="20"/>
                <w:color w:val="auto"/>
              </w:rPr>
            </w:pPr>
            <w:r>
              <w:rPr>
                <w:rFonts w:ascii="Arial" w:cs="Arial" w:eastAsia="Arial" w:hAnsi="Arial"/>
                <w:sz w:val="12"/>
                <w:szCs w:val="12"/>
                <w:color w:val="auto"/>
                <w:w w:val="82"/>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Personal Transportation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42"/>
              <w:spacing w:after="0"/>
              <w:rPr>
                <w:sz w:val="20"/>
                <w:szCs w:val="20"/>
                <w:color w:val="auto"/>
              </w:rPr>
            </w:pPr>
            <w:r>
              <w:rPr>
                <w:rFonts w:ascii="Arial" w:cs="Arial" w:eastAsia="Arial" w:hAnsi="Arial"/>
                <w:sz w:val="12"/>
                <w:szCs w:val="12"/>
                <w:color w:val="auto"/>
              </w:rPr>
              <w:t>9,166</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9,166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9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82"/>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35,526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5,966,074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20" w:type="dxa"/>
            <w:vAlign w:val="bottom"/>
          </w:tcPr>
          <w:p>
            <w:pPr>
              <w:spacing w:after="0"/>
              <w:rPr>
                <w:sz w:val="20"/>
                <w:szCs w:val="20"/>
                <w:color w:val="auto"/>
              </w:rPr>
            </w:pPr>
            <w:r>
              <w:rPr>
                <w:rFonts w:ascii="Arial" w:cs="Arial" w:eastAsia="Arial" w:hAnsi="Arial"/>
                <w:sz w:val="12"/>
                <w:szCs w:val="12"/>
                <w:b w:val="1"/>
                <w:bCs w:val="1"/>
                <w:color w:val="auto"/>
              </w:rPr>
              <w:t>Total Common Equity/Warrants/Partnership Interests</w:t>
            </w: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37,557,162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70,472,831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96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928,078,589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968,471,042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85"/>
              </w:rPr>
              <w:t>Basis Point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8"/>
              </w:rPr>
              <w:t>Spread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00" w:type="dxa"/>
            <w:vAlign w:val="bottom"/>
          </w:tcPr>
          <w:p>
            <w:pPr>
              <w:jc w:val="right"/>
              <w:ind w:right="34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87"/>
              </w:rPr>
              <w:t>Above</w:t>
            </w:r>
          </w:p>
        </w:tc>
        <w:tc>
          <w:tcPr>
            <w:tcW w:w="74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80" w:type="dxa"/>
            <w:vAlign w:val="bottom"/>
            <w:vMerge w:val="continue"/>
          </w:tcPr>
          <w:p>
            <w:pPr>
              <w:spacing w:after="0"/>
              <w:rPr>
                <w:sz w:val="12"/>
                <w:szCs w:val="12"/>
                <w:color w:val="auto"/>
              </w:rPr>
            </w:pPr>
          </w:p>
        </w:tc>
        <w:tc>
          <w:tcPr>
            <w:tcW w:w="880" w:type="dxa"/>
            <w:vAlign w:val="bottom"/>
          </w:tcPr>
          <w:p>
            <w:pPr>
              <w:ind w:left="320"/>
              <w:spacing w:after="0"/>
              <w:rPr>
                <w:sz w:val="20"/>
                <w:szCs w:val="20"/>
                <w:color w:val="auto"/>
              </w:rPr>
            </w:pPr>
            <w:r>
              <w:rPr>
                <w:rFonts w:ascii="Arial" w:cs="Arial" w:eastAsia="Arial" w:hAnsi="Arial"/>
                <w:sz w:val="12"/>
                <w:szCs w:val="12"/>
                <w:b w:val="1"/>
                <w:bCs w:val="1"/>
                <w:color w:val="auto"/>
              </w:rPr>
              <w:t>Maturity</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tcPr>
          <w:p>
            <w:pPr>
              <w:jc w:val="right"/>
              <w:ind w:right="34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22"/>
              <w:spacing w:after="0"/>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9"/>
                <w:szCs w:val="9"/>
                <w:b w:val="1"/>
                <w:bCs w:val="1"/>
                <w:color w:val="auto"/>
                <w:w w:val="97"/>
              </w:rPr>
              <w:t>(4)</w:t>
            </w:r>
          </w:p>
        </w:tc>
        <w:tc>
          <w:tcPr>
            <w:tcW w:w="740" w:type="dxa"/>
            <w:vAlign w:val="bottom"/>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8"/>
        </w:trPr>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Investments in Non-Controlled, Affiliated Portfolio Companies—11.0% </w:t>
            </w:r>
            <w:r>
              <w:rPr>
                <w:rFonts w:ascii="Arial" w:cs="Arial" w:eastAsia="Arial" w:hAnsi="Arial"/>
                <w:sz w:val="9"/>
                <w:szCs w:val="9"/>
                <w:b w:val="1"/>
                <w:bCs w:val="1"/>
                <w:color w:val="auto"/>
                <w:w w:val="96"/>
              </w:rPr>
              <w:t>(1), (2)</w:t>
            </w:r>
          </w:p>
        </w:tc>
        <w:tc>
          <w:tcPr>
            <w:tcW w:w="880" w:type="dxa"/>
            <w:vAlign w:val="bottom"/>
            <w:tcBorders>
              <w:top w:val="single" w:sz="8" w:color="auto"/>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left="162"/>
              <w:spacing w:after="0" w:line="129" w:lineRule="exact"/>
              <w:rPr>
                <w:sz w:val="20"/>
                <w:szCs w:val="20"/>
                <w:color w:val="auto"/>
              </w:rPr>
            </w:pPr>
            <w:r>
              <w:rPr>
                <w:rFonts w:ascii="Arial" w:cs="Arial" w:eastAsia="Arial" w:hAnsi="Arial"/>
                <w:sz w:val="12"/>
                <w:szCs w:val="12"/>
                <w:color w:val="auto"/>
                <w:w w:val="89"/>
              </w:rPr>
              <w:t>11/05/2019</w:t>
            </w:r>
          </w:p>
        </w:tc>
        <w:tc>
          <w:tcPr>
            <w:tcW w:w="17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90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ind w:left="580"/>
              <w:spacing w:after="0" w:line="129"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w w:val="99"/>
              </w:rPr>
              <w:t>11,428,224</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11,428,224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8"/>
              </w:rPr>
              <w:t>(PIK 12.00%)</w:t>
            </w: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20"/>
                <w:szCs w:val="20"/>
                <w:color w:val="auto"/>
              </w:rPr>
            </w:pPr>
            <w:r>
              <w:rPr>
                <w:rFonts w:ascii="Arial" w:cs="Arial" w:eastAsia="Arial" w:hAnsi="Arial"/>
                <w:sz w:val="12"/>
                <w:szCs w:val="12"/>
                <w:color w:val="auto"/>
              </w:rPr>
              <w:t>Service Champ, Inc.</w:t>
            </w:r>
          </w:p>
        </w:tc>
        <w:tc>
          <w:tcPr>
            <w:tcW w:w="880" w:type="dxa"/>
            <w:vAlign w:val="bottom"/>
          </w:tcPr>
          <w:p>
            <w:pPr>
              <w:jc w:val="center"/>
              <w:ind w:left="162"/>
              <w:spacing w:after="0"/>
              <w:rPr>
                <w:sz w:val="20"/>
                <w:szCs w:val="20"/>
                <w:color w:val="auto"/>
              </w:rPr>
            </w:pPr>
            <w:r>
              <w:rPr>
                <w:rFonts w:ascii="Arial" w:cs="Arial" w:eastAsia="Arial" w:hAnsi="Arial"/>
                <w:sz w:val="12"/>
                <w:szCs w:val="12"/>
                <w:color w:val="auto"/>
                <w:w w:val="89"/>
              </w:rPr>
              <w:t>10/02/2017</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900" w:type="dxa"/>
            <w:vAlign w:val="bottom"/>
          </w:tcPr>
          <w:p>
            <w:pPr>
              <w:jc w:val="right"/>
              <w:ind w:right="162"/>
              <w:spacing w:after="0"/>
              <w:rPr>
                <w:sz w:val="20"/>
                <w:szCs w:val="20"/>
                <w:color w:val="auto"/>
              </w:rPr>
            </w:pPr>
            <w:r>
              <w:rPr>
                <w:rFonts w:ascii="Arial" w:cs="Arial" w:eastAsia="Arial" w:hAnsi="Arial"/>
                <w:sz w:val="12"/>
                <w:szCs w:val="12"/>
                <w:color w:val="auto"/>
              </w:rPr>
              <w:t>12.50%</w:t>
            </w:r>
          </w:p>
        </w:tc>
        <w:tc>
          <w:tcPr>
            <w:tcW w:w="800" w:type="dxa"/>
            <w:vAlign w:val="bottom"/>
          </w:tcPr>
          <w:p>
            <w:pPr>
              <w:ind w:left="5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w w:val="99"/>
              </w:rPr>
              <w:t>28,000,000</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27,474,713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28,248,043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38,902,937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39,676,267</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 0.2%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880" w:type="dxa"/>
            <w:vAlign w:val="bottom"/>
            <w:shd w:val="clear" w:color="auto" w:fill="CCEEFF"/>
          </w:tcPr>
          <w:p>
            <w:pPr>
              <w:jc w:val="center"/>
              <w:ind w:left="182"/>
              <w:spacing w:after="0" w:line="132" w:lineRule="exact"/>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4"/>
              </w:rPr>
              <w:t>Aerospace and</w:t>
            </w:r>
          </w:p>
        </w:tc>
        <w:tc>
          <w:tcPr>
            <w:tcW w:w="900" w:type="dxa"/>
            <w:vAlign w:val="bottom"/>
            <w:shd w:val="clear" w:color="auto" w:fill="CCEEFF"/>
          </w:tcPr>
          <w:p>
            <w:pPr>
              <w:jc w:val="right"/>
              <w:ind w:right="262"/>
              <w:spacing w:after="0" w:line="132"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80"/>
              <w:spacing w:after="0" w:line="132"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53,071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20,059,340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1,694,296</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Defense</w:t>
            </w: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880" w:type="dxa"/>
            <w:vAlign w:val="bottom"/>
            <w:shd w:val="clear" w:color="auto" w:fill="CCEEFF"/>
          </w:tcPr>
          <w:p>
            <w:pPr>
              <w:jc w:val="center"/>
              <w:ind w:left="182"/>
              <w:spacing w:after="0"/>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104,719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21,492,822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5,556,207</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880" w:type="dxa"/>
            <w:vAlign w:val="bottom"/>
          </w:tcPr>
          <w:p>
            <w:pPr>
              <w:jc w:val="center"/>
              <w:ind w:left="162"/>
              <w:spacing w:after="0"/>
              <w:rPr>
                <w:sz w:val="20"/>
                <w:szCs w:val="20"/>
                <w:color w:val="auto"/>
              </w:rPr>
            </w:pPr>
            <w:r>
              <w:rPr>
                <w:rFonts w:ascii="Arial" w:cs="Arial" w:eastAsia="Arial" w:hAnsi="Arial"/>
                <w:sz w:val="12"/>
                <w:szCs w:val="12"/>
                <w:color w:val="auto"/>
                <w:w w:val="89"/>
              </w:rPr>
              <w:t>11/05/2022</w:t>
            </w:r>
          </w:p>
        </w:tc>
        <w:tc>
          <w:tcPr>
            <w:tcW w:w="176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90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tcPr>
          <w:p>
            <w:pPr>
              <w:ind w:left="5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15,486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EFF"/>
          </w:tcPr>
          <w:p>
            <w:pPr>
              <w:jc w:val="center"/>
              <w:ind w:left="182"/>
              <w:spacing w:after="0"/>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142,684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11,891,822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21,265,345</w:t>
            </w: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80" w:type="dxa"/>
            <w:vAlign w:val="bottom"/>
          </w:tcPr>
          <w:p>
            <w:pPr>
              <w:jc w:val="center"/>
              <w:ind w:left="182"/>
              <w:spacing w:after="0" w:line="129" w:lineRule="exact"/>
              <w:rPr>
                <w:sz w:val="20"/>
                <w:szCs w:val="20"/>
                <w:color w:val="auto"/>
              </w:rPr>
            </w:pPr>
            <w:r>
              <w:rPr>
                <w:rFonts w:ascii="Arial" w:cs="Arial" w:eastAsia="Arial" w:hAnsi="Arial"/>
                <w:sz w:val="12"/>
                <w:szCs w:val="12"/>
                <w:color w:val="auto"/>
                <w:w w:val="99"/>
              </w:rPr>
              <w:t>—</w:t>
            </w:r>
          </w:p>
        </w:tc>
        <w:tc>
          <w:tcPr>
            <w:tcW w:w="1760" w:type="dxa"/>
            <w:vAlign w:val="bottom"/>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900" w:type="dxa"/>
            <w:vAlign w:val="bottom"/>
          </w:tcPr>
          <w:p>
            <w:pPr>
              <w:jc w:val="right"/>
              <w:ind w:right="262"/>
              <w:spacing w:after="0" w:line="129" w:lineRule="exact"/>
              <w:rPr>
                <w:sz w:val="20"/>
                <w:szCs w:val="20"/>
                <w:color w:val="auto"/>
              </w:rPr>
            </w:pPr>
            <w:r>
              <w:rPr>
                <w:rFonts w:ascii="Arial" w:cs="Arial" w:eastAsia="Arial" w:hAnsi="Arial"/>
                <w:sz w:val="12"/>
                <w:szCs w:val="12"/>
                <w:color w:val="auto"/>
              </w:rPr>
              <w:t>—</w:t>
            </w:r>
          </w:p>
        </w:tc>
        <w:tc>
          <w:tcPr>
            <w:tcW w:w="800" w:type="dxa"/>
            <w:vAlign w:val="bottom"/>
          </w:tcPr>
          <w:p>
            <w:pPr>
              <w:ind w:left="580"/>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375,000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3,750,000</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2,500,165</w:t>
            </w: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Motion Pictures and Entertainment</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880" w:type="dxa"/>
            <w:vAlign w:val="bottom"/>
            <w:shd w:val="clear" w:color="auto" w:fill="CCEEFF"/>
          </w:tcPr>
          <w:p>
            <w:pPr>
              <w:jc w:val="center"/>
              <w:ind w:left="182"/>
              <w:spacing w:after="0" w:line="129" w:lineRule="exact"/>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900" w:type="dxa"/>
            <w:vAlign w:val="bottom"/>
            <w:shd w:val="clear" w:color="auto" w:fill="CCEEFF"/>
          </w:tcPr>
          <w:p>
            <w:pPr>
              <w:jc w:val="right"/>
              <w:ind w:right="26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80"/>
              <w:spacing w:after="0" w:line="129"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16,800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2,721,600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5,222,015</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(Service Champ, Inc.)</w:t>
            </w:r>
          </w:p>
        </w:tc>
        <w:tc>
          <w:tcPr>
            <w:tcW w:w="8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880" w:type="dxa"/>
            <w:vAlign w:val="bottom"/>
          </w:tcPr>
          <w:p>
            <w:pPr>
              <w:jc w:val="center"/>
              <w:ind w:left="182"/>
              <w:spacing w:after="0"/>
              <w:rPr>
                <w:sz w:val="20"/>
                <w:szCs w:val="20"/>
                <w:color w:val="auto"/>
              </w:rPr>
            </w:pPr>
            <w:r>
              <w:rPr>
                <w:rFonts w:ascii="Arial" w:cs="Arial" w:eastAsia="Arial" w:hAnsi="Arial"/>
                <w:sz w:val="12"/>
                <w:szCs w:val="12"/>
                <w:color w:val="auto"/>
                <w:w w:val="99"/>
              </w:rPr>
              <w:t>—</w:t>
            </w:r>
          </w:p>
        </w:tc>
        <w:tc>
          <w:tcPr>
            <w:tcW w:w="1760" w:type="dxa"/>
            <w:vAlign w:val="bottom"/>
          </w:tcPr>
          <w:p>
            <w:pPr>
              <w:jc w:val="center"/>
              <w:spacing w:after="0"/>
              <w:rPr>
                <w:sz w:val="20"/>
                <w:szCs w:val="20"/>
                <w:color w:val="auto"/>
              </w:rPr>
            </w:pPr>
            <w:r>
              <w:rPr>
                <w:rFonts w:ascii="Arial" w:cs="Arial" w:eastAsia="Arial" w:hAnsi="Arial"/>
                <w:sz w:val="12"/>
                <w:szCs w:val="12"/>
                <w:color w:val="auto"/>
                <w:w w:val="86"/>
              </w:rPr>
              <w:t>Aerospace and Defense</w:t>
            </w:r>
          </w:p>
        </w:tc>
        <w:tc>
          <w:tcPr>
            <w:tcW w:w="90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tcPr>
          <w:p>
            <w:pPr>
              <w:ind w:left="5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53,071</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202,620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35,365,237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99,021,141</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76,735,800</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Companies—4.7% </w:t>
            </w:r>
            <w:r>
              <w:rPr>
                <w:rFonts w:ascii="Arial" w:cs="Arial" w:eastAsia="Arial" w:hAnsi="Arial"/>
                <w:sz w:val="9"/>
                <w:szCs w:val="9"/>
                <w:b w:val="1"/>
                <w:bCs w:val="1"/>
                <w:color w:val="auto"/>
              </w:rPr>
              <w:t>(1), (2)</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06/30/2020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9,250,000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9,556,385</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880" w:type="dxa"/>
            <w:vAlign w:val="bottom"/>
          </w:tcPr>
          <w:p>
            <w:pPr>
              <w:jc w:val="center"/>
              <w:ind w:left="162"/>
              <w:spacing w:after="0"/>
              <w:rPr>
                <w:sz w:val="20"/>
                <w:szCs w:val="20"/>
                <w:color w:val="auto"/>
              </w:rPr>
            </w:pPr>
            <w:r>
              <w:rPr>
                <w:rFonts w:ascii="Arial" w:cs="Arial" w:eastAsia="Arial" w:hAnsi="Arial"/>
                <w:sz w:val="12"/>
                <w:szCs w:val="12"/>
                <w:color w:val="auto"/>
                <w:w w:val="89"/>
              </w:rPr>
              <w:t>12/31/2015</w:t>
            </w:r>
          </w:p>
        </w:tc>
        <w:tc>
          <w:tcPr>
            <w:tcW w:w="176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900" w:type="dxa"/>
            <w:vAlign w:val="bottom"/>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tcPr>
          <w:p>
            <w:pPr>
              <w:ind w:left="58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1,916,667</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1,787,941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1,916,667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11,037,941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Second Lien Secured Debt—2.4%</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1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Universal Pegasus International, LLC</w:t>
            </w:r>
          </w:p>
        </w:tc>
        <w:tc>
          <w:tcPr>
            <w:tcW w:w="880" w:type="dxa"/>
            <w:vAlign w:val="bottom"/>
            <w:shd w:val="clear" w:color="auto" w:fill="CCEEFF"/>
          </w:tcPr>
          <w:p>
            <w:pPr>
              <w:jc w:val="center"/>
              <w:ind w:left="162"/>
              <w:spacing w:after="0" w:line="132" w:lineRule="exact"/>
              <w:rPr>
                <w:sz w:val="20"/>
                <w:szCs w:val="20"/>
                <w:color w:val="auto"/>
              </w:rPr>
            </w:pPr>
            <w:r>
              <w:rPr>
                <w:rFonts w:ascii="Arial" w:cs="Arial" w:eastAsia="Arial" w:hAnsi="Arial"/>
                <w:sz w:val="12"/>
                <w:szCs w:val="12"/>
                <w:color w:val="auto"/>
                <w:w w:val="89"/>
              </w:rPr>
              <w:t>12/31/2015</w:t>
            </w:r>
          </w:p>
        </w:tc>
        <w:tc>
          <w:tcPr>
            <w:tcW w:w="176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8"/>
              </w:rPr>
              <w:t>Oil and Gas</w:t>
            </w:r>
          </w:p>
        </w:tc>
        <w:tc>
          <w:tcPr>
            <w:tcW w:w="900" w:type="dxa"/>
            <w:vAlign w:val="bottom"/>
            <w:shd w:val="clear" w:color="auto" w:fill="CCEEFF"/>
          </w:tcPr>
          <w:p>
            <w:pPr>
              <w:jc w:val="right"/>
              <w:ind w:right="162"/>
              <w:spacing w:after="0" w:line="132" w:lineRule="exact"/>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ind w:left="580"/>
              <w:spacing w:after="0" w:line="132"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w w:val="99"/>
              </w:rPr>
              <w:t>16,615,645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14,709,502</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16,449,489</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98"/>
              </w:rPr>
              <w:t>(PIK 15.00%)</w:t>
            </w: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06/30/2020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2,250,000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1,961,667</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82"/>
              <w:spacing w:after="0"/>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9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14.00%</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2,000,000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1,981,948</w:t>
            </w:r>
          </w:p>
        </w:tc>
        <w:tc>
          <w:tcPr>
            <w:tcW w:w="0" w:type="dxa"/>
            <w:vAlign w:val="bottom"/>
          </w:tcPr>
          <w:p>
            <w:pPr>
              <w:spacing w:after="0"/>
              <w:rPr>
                <w:sz w:val="1"/>
                <w:szCs w:val="1"/>
                <w:color w:val="auto"/>
              </w:rPr>
            </w:pPr>
          </w:p>
        </w:tc>
      </w:tr>
      <w:tr>
        <w:trPr>
          <w:trHeight w:val="129"/>
        </w:trPr>
        <w:tc>
          <w:tcPr>
            <w:tcW w:w="418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880" w:type="dxa"/>
            <w:vAlign w:val="bottom"/>
          </w:tcPr>
          <w:p>
            <w:pPr>
              <w:jc w:val="center"/>
              <w:ind w:left="182"/>
              <w:spacing w:after="0" w:line="129" w:lineRule="exact"/>
              <w:rPr>
                <w:sz w:val="20"/>
                <w:szCs w:val="20"/>
                <w:color w:val="auto"/>
              </w:rPr>
            </w:pPr>
            <w:r>
              <w:rPr>
                <w:rFonts w:ascii="Arial" w:cs="Arial" w:eastAsia="Arial" w:hAnsi="Arial"/>
                <w:sz w:val="12"/>
                <w:szCs w:val="12"/>
                <w:color w:val="auto"/>
                <w:w w:val="99"/>
              </w:rPr>
              <w:t>—</w:t>
            </w:r>
          </w:p>
        </w:tc>
        <w:tc>
          <w:tcPr>
            <w:tcW w:w="176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90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80"/>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376,988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34,420,612</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1,102,555</w:t>
            </w:r>
          </w:p>
        </w:tc>
        <w:tc>
          <w:tcPr>
            <w:tcW w:w="0" w:type="dxa"/>
            <w:vAlign w:val="bottom"/>
          </w:tcPr>
          <w:p>
            <w:pPr>
              <w:spacing w:after="0"/>
              <w:rPr>
                <w:sz w:val="1"/>
                <w:szCs w:val="1"/>
                <w:color w:val="auto"/>
              </w:rPr>
            </w:pPr>
          </w:p>
        </w:tc>
      </w:tr>
      <w:tr>
        <w:trPr>
          <w:trHeight w:val="162"/>
        </w:trPr>
        <w:tc>
          <w:tcPr>
            <w:tcW w:w="4180" w:type="dxa"/>
            <w:vAlign w:val="bottom"/>
          </w:tcPr>
          <w:p>
            <w:pPr>
              <w:ind w:left="120"/>
              <w:spacing w:after="0"/>
              <w:rPr>
                <w:sz w:val="20"/>
                <w:szCs w:val="20"/>
                <w:color w:val="auto"/>
              </w:rPr>
            </w:pPr>
            <w:r>
              <w:rPr>
                <w:rFonts w:ascii="Arial" w:cs="Arial" w:eastAsia="Arial" w:hAnsi="Arial"/>
                <w:sz w:val="12"/>
                <w:szCs w:val="12"/>
                <w:color w:val="auto"/>
              </w:rPr>
              <w:t>(Universal Pegasus International, LLC)</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36,420,612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3,084,503</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9"/>
                <w:szCs w:val="9"/>
                <w:b w:val="1"/>
                <w:bCs w:val="1"/>
                <w:color w:val="auto"/>
              </w:rPr>
              <w:t>(6)</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80" w:type="dxa"/>
            <w:vAlign w:val="bottom"/>
            <w:shd w:val="clear" w:color="auto" w:fill="CCEEFF"/>
          </w:tcPr>
          <w:p>
            <w:pPr>
              <w:jc w:val="center"/>
              <w:ind w:left="182"/>
              <w:spacing w:after="0"/>
              <w:rPr>
                <w:sz w:val="20"/>
                <w:szCs w:val="20"/>
                <w:color w:val="auto"/>
              </w:rPr>
            </w:pPr>
            <w:r>
              <w:rPr>
                <w:rFonts w:ascii="Arial" w:cs="Arial" w:eastAsia="Arial" w:hAnsi="Arial"/>
                <w:sz w:val="12"/>
                <w:szCs w:val="12"/>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9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64,418,155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32,968,711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8"/>
              </w:rPr>
              <w:t>1,091,517,885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8"/>
              </w:rPr>
              <w:t>1,078,175,553</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20"/>
                <w:szCs w:val="20"/>
                <w:color w:val="auto"/>
              </w:rPr>
            </w:pPr>
            <w:r>
              <w:rPr>
                <w:rFonts w:ascii="Arial" w:cs="Arial" w:eastAsia="Arial" w:hAnsi="Arial"/>
                <w:sz w:val="12"/>
                <w:szCs w:val="12"/>
                <w:b w:val="1"/>
                <w:bCs w:val="1"/>
                <w:color w:val="auto"/>
              </w:rPr>
              <w:t>Cash and Cash Equivalents—8.4%</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8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2,667,511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2,446,232</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2,446,232</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80" w:type="dxa"/>
            <w:vAlign w:val="bottom"/>
          </w:tcPr>
          <w:p>
            <w:pPr>
              <w:spacing w:after="0"/>
              <w:rPr>
                <w:sz w:val="20"/>
                <w:szCs w:val="20"/>
                <w:color w:val="auto"/>
              </w:rPr>
            </w:pPr>
            <w:r>
              <w:rPr>
                <w:rFonts w:ascii="Arial" w:cs="Arial" w:eastAsia="Arial" w:hAnsi="Arial"/>
                <w:sz w:val="12"/>
                <w:szCs w:val="12"/>
                <w:b w:val="1"/>
                <w:bCs w:val="1"/>
                <w:color w:val="auto"/>
              </w:rPr>
              <w:t>Total Cash Equivalents</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Equivalents—163.0%</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1,149,958,714</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1,136,616,382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w w:val="90"/>
              </w:rPr>
              <w:t>(439,110,183)</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8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697,506,199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37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76" w:lineRule="exact"/>
        <w:rPr>
          <w:sz w:val="20"/>
          <w:szCs w:val="20"/>
          <w:color w:val="auto"/>
        </w:rPr>
      </w:pPr>
    </w:p>
    <w:p>
      <w:pPr>
        <w:ind w:left="340" w:right="60" w:hanging="332"/>
        <w:spacing w:after="0" w:line="243"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674"/>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07" w:lineRule="exact"/>
        <w:rPr>
          <w:sz w:val="20"/>
          <w:szCs w:val="20"/>
          <w:color w:val="auto"/>
        </w:rPr>
      </w:pPr>
    </w:p>
    <w:p>
      <w:pPr>
        <w:ind w:right="20" w:firstLine="674"/>
        <w:spacing w:after="0" w:line="233"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to SPH, under separate administration agreements. See Note 3.</w:t>
      </w:r>
    </w:p>
    <w:p>
      <w:pPr>
        <w:spacing w:after="0" w:line="104" w:lineRule="exact"/>
        <w:rPr>
          <w:sz w:val="20"/>
          <w:szCs w:val="20"/>
          <w:color w:val="auto"/>
        </w:rPr>
      </w:pPr>
    </w:p>
    <w:p>
      <w:pPr>
        <w:jc w:val="both"/>
        <w:ind w:right="80" w:firstLine="674"/>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15" w:lineRule="exact"/>
        <w:rPr>
          <w:sz w:val="20"/>
          <w:szCs w:val="20"/>
          <w:color w:val="auto"/>
        </w:rPr>
      </w:pPr>
    </w:p>
    <w:p>
      <w:pPr>
        <w:ind w:right="420" w:firstLine="674"/>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60" w:lineRule="exact"/>
        <w:rPr>
          <w:sz w:val="20"/>
          <w:szCs w:val="20"/>
          <w:color w:val="auto"/>
        </w:rPr>
      </w:pPr>
    </w:p>
    <w:p>
      <w:pPr>
        <w:ind w:right="140" w:firstLine="674"/>
        <w:spacing w:after="0" w:line="253" w:lineRule="auto"/>
        <w:rPr>
          <w:sz w:val="20"/>
          <w:szCs w:val="20"/>
          <w:color w:val="auto"/>
        </w:rPr>
      </w:pPr>
      <w:r>
        <w:rPr>
          <w:rFonts w:ascii="Arial" w:cs="Arial" w:eastAsia="Arial" w:hAnsi="Arial"/>
          <w:sz w:val="14"/>
          <w:szCs w:val="14"/>
          <w:color w:val="auto"/>
        </w:rPr>
        <w:t>In September 2014, we completed a follow-on public offering of 8,500,000 shares of common stock at a public offering price of $11.63 per share for gross proceeds of $98.9 million and net proceeds of $95.4 million after the sales load and offering expenses.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674"/>
        <w:spacing w:after="0" w:line="251"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09" w:lineRule="exact"/>
        <w:rPr>
          <w:sz w:val="20"/>
          <w:szCs w:val="20"/>
          <w:color w:val="auto"/>
        </w:rPr>
      </w:pPr>
    </w:p>
    <w:p>
      <w:pPr>
        <w:ind w:right="60" w:firstLine="674"/>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674"/>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8" w:lineRule="exact"/>
        <w:rPr>
          <w:sz w:val="20"/>
          <w:szCs w:val="20"/>
          <w:color w:val="auto"/>
        </w:rPr>
      </w:pPr>
    </w:p>
    <w:p>
      <w:pPr>
        <w:ind w:right="260" w:firstLine="674"/>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6" w:lineRule="exact"/>
        <w:rPr>
          <w:sz w:val="20"/>
          <w:szCs w:val="20"/>
          <w:color w:val="auto"/>
        </w:rPr>
      </w:pPr>
    </w:p>
    <w:p>
      <w:pPr>
        <w:ind w:left="780" w:right="160" w:hanging="556"/>
        <w:spacing w:after="0" w:line="253"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780" w:hanging="556"/>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780" w:right="220" w:hanging="556"/>
        <w:spacing w:after="0" w:line="264" w:lineRule="auto"/>
        <w:tabs>
          <w:tab w:leader="none" w:pos="7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780" w:right="100" w:hanging="556"/>
        <w:spacing w:after="0" w:line="238"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780" w:right="260" w:hanging="556"/>
        <w:spacing w:after="0" w:line="253"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79"/>
        <w:spacing w:after="0"/>
        <w:rPr>
          <w:sz w:val="20"/>
          <w:szCs w:val="20"/>
          <w:color w:val="auto"/>
        </w:rPr>
      </w:pPr>
      <w:r>
        <w:rPr>
          <w:rFonts w:ascii="Arial" w:cs="Arial" w:eastAsia="Arial" w:hAnsi="Arial"/>
          <w:sz w:val="14"/>
          <w:szCs w:val="14"/>
          <w:b w:val="1"/>
          <w:bCs w:val="1"/>
          <w:color w:val="auto"/>
        </w:rPr>
        <w:t>SEPTEMBER 30, 2014</w:t>
      </w:r>
    </w:p>
    <w:p>
      <w:pPr>
        <w:spacing w:after="0" w:line="200" w:lineRule="exact"/>
        <w:rPr>
          <w:sz w:val="20"/>
          <w:szCs w:val="20"/>
          <w:color w:val="auto"/>
        </w:rPr>
      </w:pPr>
    </w:p>
    <w:p>
      <w:pPr>
        <w:spacing w:after="0" w:line="262" w:lineRule="exact"/>
        <w:rPr>
          <w:sz w:val="20"/>
          <w:szCs w:val="20"/>
          <w:color w:val="auto"/>
        </w:rPr>
      </w:pPr>
    </w:p>
    <w:p>
      <w:pPr>
        <w:ind w:right="20" w:firstLine="674"/>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 / Unrealized Gains or Losses</w:t>
      </w:r>
    </w:p>
    <w:p>
      <w:pPr>
        <w:spacing w:after="0" w:line="136" w:lineRule="exact"/>
        <w:rPr>
          <w:sz w:val="20"/>
          <w:szCs w:val="20"/>
          <w:color w:val="auto"/>
        </w:rPr>
      </w:pPr>
    </w:p>
    <w:p>
      <w:pPr>
        <w:ind w:right="20" w:firstLine="674"/>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our 2019 Notes and our 2025 Notes during the reporting period, including any reversal of previously recorded unrealized appreciation or depreciation, when gains or losses are realized.</w:t>
      </w:r>
    </w:p>
    <w:p>
      <w:pPr>
        <w:spacing w:after="0" w:line="94" w:lineRule="exact"/>
        <w:rPr>
          <w:sz w:val="20"/>
          <w:szCs w:val="20"/>
          <w:color w:val="auto"/>
        </w:rPr>
      </w:pPr>
    </w:p>
    <w:p>
      <w:pPr>
        <w:ind w:right="140" w:firstLine="674"/>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140" w:firstLine="674"/>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100" w:firstLine="674"/>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taxes of $0.1 million, $(0.1) million and $0.3 million for the fiscal years ended September 30, 2014, 2013 and 2012, respectively.</w:t>
      </w:r>
    </w:p>
    <w:p>
      <w:pPr>
        <w:spacing w:after="0" w:line="109"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17"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20" w:firstLine="674"/>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360" w:firstLine="67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160"/>
          </w:cols>
          <w:pgMar w:left="32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00" w:hanging="209"/>
        <w:spacing w:after="0"/>
        <w:tabs>
          <w:tab w:leader="none" w:pos="1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000" w:hanging="209"/>
        <w:spacing w:after="0"/>
        <w:tabs>
          <w:tab w:leader="none" w:pos="1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ind w:right="320" w:firstLine="674"/>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40"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16" w:lineRule="exact"/>
        <w:rPr>
          <w:sz w:val="20"/>
          <w:szCs w:val="20"/>
          <w:color w:val="auto"/>
        </w:rPr>
      </w:pPr>
    </w:p>
    <w:p>
      <w:pPr>
        <w:ind w:right="60" w:firstLine="674"/>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a base management fee of $24.3 million, $21.3 million and $17.5 million, respectively, from us.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20" w:firstLine="674"/>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auto"/>
        </w:rPr>
        <w:t>2.1875% in any calendar quarter. These calculations are pro-rated for any share issuances or repurchases during the relevant quarter, if applicable. For the years ended September 30, 2014, 2013 and 2012, the Investment Adviser received an incentive fee of $17.8 million, $16.8 million and $14.2 million, respectively, from us.</w:t>
      </w:r>
    </w:p>
    <w:p>
      <w:pPr>
        <w:spacing w:after="0" w:line="116" w:lineRule="exact"/>
        <w:rPr>
          <w:sz w:val="20"/>
          <w:szCs w:val="20"/>
          <w:color w:val="auto"/>
        </w:rPr>
      </w:pPr>
    </w:p>
    <w:p>
      <w:pPr>
        <w:ind w:right="40" w:firstLine="674"/>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2014, 2013 and 2012 the Investment Adviser did not earn an incentive fee on capital gains as calculated under the Investment Management Agreement (as described above).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right="20" w:firstLine="674"/>
        <w:spacing w:after="0" w:line="245"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16" w:lineRule="exact"/>
        <w:rPr>
          <w:sz w:val="20"/>
          <w:szCs w:val="20"/>
          <w:color w:val="auto"/>
        </w:rPr>
      </w:pPr>
    </w:p>
    <w:p>
      <w:pPr>
        <w:ind w:firstLine="674"/>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2014, 2013 and 2012, the Investment Adviser was reimbursed $3.0 million, $2.9 million and $3.6 million, respectively, from us, including expenses incurred on behalf of the Administrator, for the services described above.</w:t>
      </w:r>
    </w:p>
    <w:p>
      <w:pPr>
        <w:spacing w:after="0" w:line="121" w:lineRule="exact"/>
        <w:rPr>
          <w:sz w:val="20"/>
          <w:szCs w:val="20"/>
          <w:color w:val="auto"/>
        </w:rPr>
      </w:pPr>
    </w:p>
    <w:p>
      <w:pPr>
        <w:ind w:right="20" w:firstLine="674"/>
        <w:spacing w:after="0" w:line="248"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2014, 2013 and 2012, PennantPark Investment was reimbursed $0.5 million, $0.4 million and $0.7 million, respectively, for the services described above.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00" w:firstLine="674"/>
        <w:spacing w:after="0" w:line="290" w:lineRule="auto"/>
        <w:rPr>
          <w:sz w:val="20"/>
          <w:szCs w:val="20"/>
          <w:color w:val="auto"/>
        </w:rPr>
      </w:pPr>
      <w:r>
        <w:rPr>
          <w:rFonts w:ascii="Arial" w:cs="Arial" w:eastAsia="Arial" w:hAnsi="Arial"/>
          <w:sz w:val="13"/>
          <w:szCs w:val="13"/>
          <w:color w:val="auto"/>
        </w:rPr>
        <w:t>Purchases of investments, including PIK, for the fiscal years ended September 30, 2014, 2013 and 2012 totaled $806.1 million, $516.2 million and $337.3 million, respectively. Sales and repayments of investments for the fiscal years ended September 30, 2014, 2013 and 2012 totaled $625.6 million, $437.1 million and $201.7 million, respectively.</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2013</w:t>
            </w:r>
          </w:p>
        </w:tc>
      </w:tr>
      <w:tr>
        <w:trPr>
          <w:trHeight w:val="142"/>
        </w:trPr>
        <w:tc>
          <w:tcPr>
            <w:tcW w:w="504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 Classification</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5040" w:type="dxa"/>
            <w:vAlign w:val="bottom"/>
          </w:tcPr>
          <w:p>
            <w:pPr>
              <w:spacing w:after="0" w:line="142" w:lineRule="exact"/>
              <w:rPr>
                <w:sz w:val="20"/>
                <w:szCs w:val="20"/>
                <w:color w:val="auto"/>
              </w:rPr>
            </w:pPr>
            <w:r>
              <w:rPr>
                <w:rFonts w:ascii="Arial" w:cs="Arial" w:eastAsia="Arial" w:hAnsi="Arial"/>
                <w:sz w:val="14"/>
                <w:szCs w:val="14"/>
                <w:color w:val="auto"/>
              </w:rPr>
              <w:t>First lien</w:t>
            </w:r>
          </w:p>
        </w:tc>
        <w:tc>
          <w:tcPr>
            <w:tcW w:w="10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453,835,589</w:t>
            </w:r>
          </w:p>
        </w:tc>
        <w:tc>
          <w:tcPr>
            <w:tcW w:w="18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465,593,894</w:t>
            </w:r>
          </w:p>
        </w:tc>
        <w:tc>
          <w:tcPr>
            <w:tcW w:w="18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290,000,430</w:t>
            </w:r>
          </w:p>
        </w:tc>
        <w:tc>
          <w:tcPr>
            <w:tcW w:w="16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299,516,291</w:t>
            </w:r>
          </w:p>
        </w:tc>
        <w:tc>
          <w:tcPr>
            <w:tcW w:w="80" w:type="dxa"/>
            <w:vAlign w:val="bottom"/>
          </w:tcPr>
          <w:p>
            <w:pPr>
              <w:spacing w:after="0"/>
              <w:rPr>
                <w:sz w:val="12"/>
                <w:szCs w:val="12"/>
                <w:color w:val="auto"/>
              </w:rPr>
            </w:pPr>
          </w:p>
        </w:tc>
      </w:tr>
      <w:tr>
        <w:trPr>
          <w:trHeight w:val="148"/>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489,813,322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493,360,024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346,717,448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357,543,217</w:t>
            </w:r>
          </w:p>
        </w:tc>
        <w:tc>
          <w:tcPr>
            <w:tcW w:w="80" w:type="dxa"/>
            <w:vAlign w:val="bottom"/>
            <w:shd w:val="clear" w:color="auto" w:fill="CCEEFF"/>
          </w:tcPr>
          <w:p>
            <w:pPr>
              <w:spacing w:after="0"/>
              <w:rPr>
                <w:sz w:val="12"/>
                <w:szCs w:val="12"/>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250,905,632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247,146,967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311,240,637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302,447,308</w:t>
            </w:r>
          </w:p>
        </w:tc>
        <w:tc>
          <w:tcPr>
            <w:tcW w:w="80" w:type="dxa"/>
            <w:vAlign w:val="bottom"/>
          </w:tcPr>
          <w:p>
            <w:pPr>
              <w:spacing w:after="0"/>
              <w:rPr>
                <w:sz w:val="12"/>
                <w:szCs w:val="12"/>
                <w:color w:val="auto"/>
              </w:rPr>
            </w:pPr>
          </w:p>
        </w:tc>
      </w:tr>
      <w:tr>
        <w:trPr>
          <w:trHeight w:val="148"/>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124,299,777</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111,953,881</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143,559,370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118,668,737</w:t>
            </w:r>
          </w:p>
        </w:tc>
        <w:tc>
          <w:tcPr>
            <w:tcW w:w="80" w:type="dxa"/>
            <w:vAlign w:val="bottom"/>
            <w:shd w:val="clear" w:color="auto" w:fill="CCEEFF"/>
          </w:tcPr>
          <w:p>
            <w:pPr>
              <w:spacing w:after="0"/>
              <w:rPr>
                <w:sz w:val="12"/>
                <w:szCs w:val="12"/>
                <w:color w:val="auto"/>
              </w:rPr>
            </w:pPr>
          </w:p>
        </w:tc>
      </w:tr>
      <w:tr>
        <w:trPr>
          <w:trHeight w:val="155"/>
        </w:trPr>
        <w:tc>
          <w:tcPr>
            <w:tcW w:w="5040" w:type="dxa"/>
            <w:vAlign w:val="bottom"/>
          </w:tcPr>
          <w:p>
            <w:pPr>
              <w:spacing w:after="0" w:line="155" w:lineRule="exact"/>
              <w:rPr>
                <w:sz w:val="20"/>
                <w:szCs w:val="20"/>
                <w:color w:val="auto"/>
              </w:rPr>
            </w:pPr>
            <w:r>
              <w:rPr>
                <w:rFonts w:ascii="Arial" w:cs="Arial" w:eastAsia="Arial" w:hAnsi="Arial"/>
                <w:sz w:val="14"/>
                <w:szCs w:val="14"/>
                <w:color w:val="auto"/>
              </w:rPr>
              <w:t>Total investments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1,318,854,320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1,318,054,766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1,091,517,885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1,078,175,553</w:t>
            </w:r>
          </w:p>
        </w:tc>
        <w:tc>
          <w:tcPr>
            <w:tcW w:w="80" w:type="dxa"/>
            <w:vAlign w:val="bottom"/>
          </w:tcPr>
          <w:p>
            <w:pPr>
              <w:spacing w:after="0"/>
              <w:rPr>
                <w:sz w:val="13"/>
                <w:szCs w:val="13"/>
                <w:color w:val="auto"/>
              </w:rPr>
            </w:pPr>
          </w:p>
        </w:tc>
      </w:tr>
      <w:tr>
        <w:trPr>
          <w:trHeight w:val="148"/>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66,600,195</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shd w:val="clear" w:color="auto" w:fill="CCEEFF"/>
          </w:tcPr>
          <w:p>
            <w:pPr>
              <w:spacing w:after="0"/>
              <w:rPr>
                <w:sz w:val="12"/>
                <w:szCs w:val="12"/>
                <w:color w:val="auto"/>
              </w:rPr>
            </w:pPr>
          </w:p>
        </w:tc>
      </w:tr>
      <w:tr>
        <w:trPr>
          <w:trHeight w:val="156"/>
        </w:trPr>
        <w:tc>
          <w:tcPr>
            <w:tcW w:w="5040" w:type="dxa"/>
            <w:vAlign w:val="bottom"/>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1,385,454,515</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1,384,573,448</w:t>
            </w:r>
          </w:p>
        </w:tc>
        <w:tc>
          <w:tcPr>
            <w:tcW w:w="180" w:type="dxa"/>
            <w:vAlign w:val="bottom"/>
          </w:tcPr>
          <w:p>
            <w:pPr>
              <w:spacing w:after="0"/>
              <w:rPr>
                <w:sz w:val="13"/>
                <w:szCs w:val="13"/>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1,149,958,714</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1,136,616,382</w:t>
            </w:r>
          </w:p>
        </w:tc>
        <w:tc>
          <w:tcPr>
            <w:tcW w:w="80" w:type="dxa"/>
            <w:vAlign w:val="bottom"/>
          </w:tcPr>
          <w:p>
            <w:pPr>
              <w:spacing w:after="0"/>
              <w:rPr>
                <w:sz w:val="13"/>
                <w:szCs w:val="13"/>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6"/>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82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industries:</w:t>
      </w:r>
    </w:p>
    <w:p>
      <w:pPr>
        <w:spacing w:after="0" w:line="12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80" w:type="dxa"/>
            <w:vAlign w:val="bottom"/>
            <w:vMerge w:val="restart"/>
          </w:tcPr>
          <w:p>
            <w:pPr>
              <w:spacing w:after="0"/>
              <w:rPr>
                <w:sz w:val="14"/>
                <w:szCs w:val="14"/>
                <w:color w:val="auto"/>
              </w:rPr>
            </w:pPr>
          </w:p>
        </w:tc>
        <w:tc>
          <w:tcPr>
            <w:tcW w:w="212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Oil and Gas</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1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100%</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67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740" w:hanging="1011"/>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720" w:hanging="1011"/>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06" w:lineRule="exact"/>
        <w:rPr>
          <w:sz w:val="20"/>
          <w:szCs w:val="20"/>
          <w:color w:val="auto"/>
        </w:rPr>
      </w:pPr>
    </w:p>
    <w:p>
      <w:pPr>
        <w:jc w:val="both"/>
        <w:ind w:right="160" w:firstLine="674"/>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1" w:lineRule="exact"/>
        <w:rPr>
          <w:sz w:val="20"/>
          <w:szCs w:val="20"/>
          <w:color w:val="auto"/>
        </w:rPr>
      </w:pPr>
    </w:p>
    <w:p>
      <w:pPr>
        <w:jc w:val="both"/>
        <w:ind w:right="20" w:firstLine="674"/>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59" w:lineRule="exact"/>
        <w:rPr>
          <w:sz w:val="20"/>
          <w:szCs w:val="20"/>
          <w:color w:val="auto"/>
        </w:rPr>
      </w:pPr>
    </w:p>
    <w:p>
      <w:pPr>
        <w:ind w:right="100" w:firstLine="674"/>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8"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117" w:lineRule="exact"/>
        <w:rPr>
          <w:sz w:val="20"/>
          <w:szCs w:val="20"/>
          <w:color w:val="auto"/>
        </w:rPr>
      </w:pPr>
    </w:p>
    <w:p>
      <w:pPr>
        <w:ind w:right="80" w:firstLine="674"/>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2" w:lineRule="exact"/>
        <w:rPr>
          <w:sz w:val="20"/>
          <w:szCs w:val="20"/>
          <w:color w:val="auto"/>
        </w:rPr>
      </w:pPr>
    </w:p>
    <w:p>
      <w:pPr>
        <w:ind w:firstLine="674"/>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17" w:lineRule="exact"/>
        <w:rPr>
          <w:sz w:val="20"/>
          <w:szCs w:val="20"/>
          <w:color w:val="auto"/>
        </w:rPr>
      </w:pPr>
    </w:p>
    <w:p>
      <w:pPr>
        <w:ind w:right="80" w:firstLine="674"/>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Unobservable 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2014</w:t>
            </w:r>
          </w:p>
        </w:tc>
        <w:tc>
          <w:tcPr>
            <w:tcW w:w="16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2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68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681,131,020</w:t>
            </w: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4"/>
              </w:rPr>
              <w:t>9.7% – 21.3%</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(13.2%)</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12,163,865</w:t>
            </w: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Broker/Dealer bid quotes</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6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99,698,372</w:t>
            </w:r>
          </w:p>
        </w:tc>
        <w:tc>
          <w:tcPr>
            <w:tcW w:w="280" w:type="dxa"/>
            <w:vAlign w:val="bottom"/>
          </w:tcPr>
          <w:p>
            <w:pPr>
              <w:spacing w:after="0"/>
              <w:rPr>
                <w:sz w:val="13"/>
                <w:szCs w:val="13"/>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EBITDA multiple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3.3x – 14.0x (8.8x)</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Level 3 investments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1,273,338,136</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8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Market Yield</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4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251,350,250</w:t>
            </w: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6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2"/>
              </w:rPr>
              <w:t>Broker/Dealer bid quotes</w:t>
            </w:r>
          </w:p>
        </w:tc>
        <w:tc>
          <w:tcPr>
            <w:tcW w:w="13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Unobservable 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2013</w:t>
            </w:r>
          </w:p>
        </w:tc>
        <w:tc>
          <w:tcPr>
            <w:tcW w:w="16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448,842,468</w:t>
            </w:r>
          </w:p>
        </w:tc>
        <w:tc>
          <w:tcPr>
            <w:tcW w:w="2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68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466,571,947</w:t>
            </w: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4"/>
              </w:rPr>
              <w:t>9.5% – 21.5%</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(13.5%)</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110,923,751</w:t>
            </w: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EBITDA multiple</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6.0x – 15.0x (9.0x)</w:t>
            </w:r>
          </w:p>
        </w:tc>
        <w:tc>
          <w:tcPr>
            <w:tcW w:w="0" w:type="dxa"/>
            <w:vAlign w:val="bottom"/>
          </w:tcPr>
          <w:p>
            <w:pPr>
              <w:spacing w:after="0"/>
              <w:rPr>
                <w:sz w:val="1"/>
                <w:szCs w:val="1"/>
                <w:color w:val="auto"/>
              </w:rPr>
            </w:pPr>
          </w:p>
        </w:tc>
      </w:tr>
      <w:tr>
        <w:trPr>
          <w:trHeight w:val="155"/>
        </w:trPr>
        <w:tc>
          <w:tcPr>
            <w:tcW w:w="4680" w:type="dxa"/>
            <w:vAlign w:val="bottom"/>
          </w:tcPr>
          <w:p>
            <w:pPr>
              <w:ind w:left="160"/>
              <w:spacing w:after="0" w:line="155" w:lineRule="exact"/>
              <w:rPr>
                <w:sz w:val="20"/>
                <w:szCs w:val="20"/>
                <w:color w:val="auto"/>
              </w:rPr>
            </w:pPr>
            <w:r>
              <w:rPr>
                <w:rFonts w:ascii="Arial" w:cs="Arial" w:eastAsia="Arial" w:hAnsi="Arial"/>
                <w:sz w:val="14"/>
                <w:szCs w:val="14"/>
                <w:color w:val="auto"/>
              </w:rPr>
              <w:t>Total Level 3 investments</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1,026,338,166</w:t>
            </w: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117,500,000</w:t>
            </w: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6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7"/>
              </w:rPr>
              <w:t>Market Yield</w:t>
            </w:r>
          </w:p>
        </w:tc>
        <w:tc>
          <w:tcPr>
            <w:tcW w:w="13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investments, cash and cash equivalents, Credit Facility, the 2019 Notes and the 2025 Notes were categorized as follows in the fair value hierarchy for ASC 820 purposes: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Fair Value at September 30, 2014</w:t>
            </w: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1,206,100,885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44,624,986</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111,953,881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91,644</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1,318,054,766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44,716,630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1,384,573,448</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44,716,630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376,667,870</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71,820,000</w:t>
            </w:r>
          </w:p>
        </w:tc>
        <w:tc>
          <w:tcPr>
            <w:tcW w:w="2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304,847,870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right"/>
              <w:ind w:right="18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13"/>
          </w:tcPr>
          <w:p>
            <w:pPr>
              <w:jc w:val="right"/>
              <w:ind w:right="78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44,092,400</w:t>
            </w:r>
          </w:p>
        </w:tc>
        <w:tc>
          <w:tcPr>
            <w:tcW w:w="2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118,668,738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7,539,320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205,667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110,923,751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1,078,175,553</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7,539,320</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44,298,067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1,026,338,166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58,440,829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58,440,829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1,136,616,382</w:t>
            </w:r>
          </w:p>
        </w:tc>
        <w:tc>
          <w:tcPr>
            <w:tcW w:w="28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65,980,149</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44,298,067</w:t>
            </w: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1,026,338,166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 (excluding temporary draw of $28.0 million)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117,500,000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68,400,000</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40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debt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185,900,000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68,400,000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0300" w:type="dxa"/>
            <w:vAlign w:val="bottom"/>
            <w:gridSpan w:val="20"/>
          </w:tcPr>
          <w:p>
            <w:pPr>
              <w:ind w:left="680"/>
              <w:spacing w:after="0"/>
              <w:rPr>
                <w:sz w:val="20"/>
                <w:szCs w:val="20"/>
                <w:color w:val="auto"/>
              </w:rPr>
            </w:pPr>
            <w:r>
              <w:rPr>
                <w:rFonts w:ascii="Arial" w:cs="Arial" w:eastAsia="Arial" w:hAnsi="Arial"/>
                <w:sz w:val="14"/>
                <w:szCs w:val="14"/>
                <w:color w:val="auto"/>
                <w:w w:val="93"/>
              </w:rPr>
              <w:t>The following tables show a reconciliation of the beginning and ending balances for fair valued investments measured using significant unobservable inputs (Level 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September 30, 2014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Debt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915,414,415</w:t>
            </w:r>
          </w:p>
        </w:tc>
        <w:tc>
          <w:tcPr>
            <w:tcW w:w="10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2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1,026,338,166</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19,314,901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3,956,456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23,271,357</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Unrealized (depreciation) appreciation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(10,373,678)</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17,034,882</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6,661,204</w:t>
            </w:r>
          </w:p>
        </w:tc>
        <w:tc>
          <w:tcPr>
            <w:tcW w:w="0" w:type="dxa"/>
            <w:vAlign w:val="bottom"/>
          </w:tcPr>
          <w:p>
            <w:pPr>
              <w:spacing w:after="0"/>
              <w:rPr>
                <w:sz w:val="1"/>
                <w:szCs w:val="1"/>
                <w:color w:val="auto"/>
              </w:rPr>
            </w:pPr>
          </w:p>
        </w:tc>
      </w:tr>
      <w:tr>
        <w:trPr>
          <w:trHeight w:val="148"/>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782,753,337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25,548,400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808,301,737</w:t>
            </w:r>
          </w:p>
        </w:tc>
        <w:tc>
          <w:tcPr>
            <w:tcW w:w="0" w:type="dxa"/>
            <w:vAlign w:val="bottom"/>
          </w:tcPr>
          <w:p>
            <w:pPr>
              <w:spacing w:after="0"/>
              <w:rPr>
                <w:sz w:val="1"/>
                <w:szCs w:val="1"/>
                <w:color w:val="auto"/>
              </w:rPr>
            </w:pPr>
          </w:p>
        </w:tc>
      </w:tr>
      <w:tr>
        <w:trPr>
          <w:trHeight w:val="149"/>
        </w:trPr>
        <w:tc>
          <w:tcPr>
            <w:tcW w:w="64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(545,633,076)</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(45,601,252)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(591,234,328)</w:t>
            </w:r>
          </w:p>
        </w:tc>
        <w:tc>
          <w:tcPr>
            <w:tcW w:w="0" w:type="dxa"/>
            <w:vAlign w:val="bottom"/>
          </w:tcPr>
          <w:p>
            <w:pPr>
              <w:spacing w:after="0"/>
              <w:rPr>
                <w:sz w:val="1"/>
                <w:szCs w:val="1"/>
                <w:color w:val="auto"/>
              </w:rPr>
            </w:pPr>
          </w:p>
        </w:tc>
      </w:tr>
      <w:tr>
        <w:trPr>
          <w:trHeight w:val="148"/>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lef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1,161,475,899</w:t>
            </w: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111,862,237</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1,273,338,136</w:t>
            </w:r>
          </w:p>
        </w:tc>
        <w:tc>
          <w:tcPr>
            <w:tcW w:w="0" w:type="dxa"/>
            <w:vAlign w:val="bottom"/>
          </w:tcPr>
          <w:p>
            <w:pPr>
              <w:spacing w:after="0"/>
              <w:rPr>
                <w:sz w:val="1"/>
                <w:szCs w:val="1"/>
                <w:color w:val="auto"/>
              </w:rPr>
            </w:pPr>
          </w:p>
        </w:tc>
      </w:tr>
      <w:tr>
        <w:trPr>
          <w:trHeight w:val="20"/>
        </w:trPr>
        <w:tc>
          <w:tcPr>
            <w:tcW w:w="73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6"/>
          </w:tcPr>
          <w:p>
            <w:pPr>
              <w:spacing w:after="0" w:line="124" w:lineRule="exact"/>
              <w:rPr>
                <w:sz w:val="20"/>
                <w:szCs w:val="20"/>
                <w:color w:val="auto"/>
              </w:rPr>
            </w:pPr>
            <w:r>
              <w:rPr>
                <w:rFonts w:ascii="Arial" w:cs="Arial" w:eastAsia="Arial" w:hAnsi="Arial"/>
                <w:sz w:val="14"/>
                <w:szCs w:val="14"/>
                <w:color w:val="auto"/>
                <w:w w:val="94"/>
              </w:rPr>
              <w:t>Net change in unrealized appreciation (depreciation) reported within the net change in unrealized appreciation on investments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400" w:type="dxa"/>
            <w:vAlign w:val="bottom"/>
            <w:gridSpan w:val="2"/>
          </w:tcPr>
          <w:p>
            <w:pPr>
              <w:ind w:left="160"/>
              <w:spacing w:after="0"/>
              <w:rPr>
                <w:sz w:val="20"/>
                <w:szCs w:val="20"/>
                <w:color w:val="auto"/>
              </w:rPr>
            </w:pPr>
            <w:r>
              <w:rPr>
                <w:rFonts w:ascii="Arial" w:cs="Arial" w:eastAsia="Arial" w:hAnsi="Arial"/>
                <w:sz w:val="14"/>
                <w:szCs w:val="14"/>
                <w:color w:val="auto"/>
                <w:w w:val="92"/>
              </w:rPr>
              <w:t>in our Consolidated Statement of Operations attributable to our Level 3 assets still held at the reporting date.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2,129,283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(15,261,361)</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(13,132,078)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2"/>
          </w:tcPr>
          <w:p>
            <w:pPr>
              <w:jc w:val="right"/>
              <w:ind w:right="768"/>
              <w:spacing w:after="0"/>
              <w:rPr>
                <w:sz w:val="20"/>
                <w:szCs w:val="20"/>
                <w:color w:val="auto"/>
              </w:rPr>
            </w:pPr>
            <w:r>
              <w:rPr>
                <w:rFonts w:ascii="Arial" w:cs="Arial" w:eastAsia="Arial" w:hAnsi="Arial"/>
                <w:sz w:val="14"/>
                <w:szCs w:val="14"/>
                <w:b w:val="1"/>
                <w:bCs w:val="1"/>
                <w:color w:val="auto"/>
              </w:rPr>
              <w:t>Year Ended September 30, 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Debt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lef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7"/>
              </w:rPr>
              <w:t>848,424,071</w:t>
            </w:r>
          </w:p>
        </w:tc>
        <w:tc>
          <w:tcPr>
            <w:tcW w:w="10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101,323,123</w:t>
            </w:r>
          </w:p>
        </w:tc>
        <w:tc>
          <w:tcPr>
            <w:tcW w:w="22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949,747,194</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6,721,638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3,311,652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10,033,290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Unrealized appreciation (depreciation)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35,227,586</w:t>
            </w: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(28,273,765)</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6,953,821</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512,045,145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46,647,608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558,692,753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Sales and repayments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(474,164,025)</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(12,084,867)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(486,248,892)</w:t>
            </w:r>
          </w:p>
        </w:tc>
        <w:tc>
          <w:tcPr>
            <w:tcW w:w="0" w:type="dxa"/>
            <w:vAlign w:val="bottom"/>
          </w:tcPr>
          <w:p>
            <w:pPr>
              <w:spacing w:after="0"/>
              <w:rPr>
                <w:sz w:val="1"/>
                <w:szCs w:val="1"/>
                <w:color w:val="auto"/>
              </w:rPr>
            </w:pPr>
          </w:p>
        </w:tc>
      </w:tr>
      <w:tr>
        <w:trPr>
          <w:trHeight w:val="148"/>
        </w:trPr>
        <w:tc>
          <w:tcPr>
            <w:tcW w:w="6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(12,840,000)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915,414,415</w:t>
            </w:r>
          </w:p>
        </w:tc>
        <w:tc>
          <w:tcPr>
            <w:tcW w:w="100" w:type="dxa"/>
            <w:vAlign w:val="bottom"/>
            <w:tcBorders>
              <w:left w:val="single" w:sz="8" w:color="CCEEFF"/>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110,923,751</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1,026,338,166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520" w:type="dxa"/>
            <w:vAlign w:val="bottom"/>
            <w:gridSpan w:val="7"/>
          </w:tcPr>
          <w:p>
            <w:pPr>
              <w:spacing w:after="0" w:line="124" w:lineRule="exact"/>
              <w:rPr>
                <w:sz w:val="20"/>
                <w:szCs w:val="20"/>
                <w:color w:val="auto"/>
              </w:rPr>
            </w:pPr>
            <w:r>
              <w:rPr>
                <w:rFonts w:ascii="Arial" w:cs="Arial" w:eastAsia="Arial" w:hAnsi="Arial"/>
                <w:sz w:val="14"/>
                <w:szCs w:val="14"/>
                <w:color w:val="auto"/>
                <w:w w:val="94"/>
              </w:rPr>
              <w:t>Net change in unrealized appreciation (depreciation) reported within the net change in unrealized appreciation (depreciation) on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20" w:type="dxa"/>
            <w:vAlign w:val="bottom"/>
            <w:gridSpan w:val="7"/>
          </w:tcPr>
          <w:p>
            <w:pPr>
              <w:ind w:left="160"/>
              <w:spacing w:after="0"/>
              <w:rPr>
                <w:sz w:val="20"/>
                <w:szCs w:val="20"/>
                <w:color w:val="auto"/>
              </w:rPr>
            </w:pPr>
            <w:r>
              <w:rPr>
                <w:rFonts w:ascii="Arial" w:cs="Arial" w:eastAsia="Arial" w:hAnsi="Arial"/>
                <w:sz w:val="14"/>
                <w:szCs w:val="14"/>
                <w:color w:val="auto"/>
                <w:w w:val="97"/>
              </w:rPr>
              <w:t>investments in our Consolidated Statement of Operations attributable to our Level 3 assets still held at the reporting date.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33,158,082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(30,958,706)</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2,199,376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6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w w:val="94"/>
              </w:rPr>
              <w:t>Long-Term Credit Facility and 2019 Notes</w:t>
            </w:r>
          </w:p>
        </w:tc>
        <w:tc>
          <w:tcPr>
            <w:tcW w:w="59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8"/>
        </w:trPr>
        <w:tc>
          <w:tcPr>
            <w:tcW w:w="2620" w:type="dxa"/>
            <w:vAlign w:val="bottom"/>
            <w:tcBorders>
              <w:bottom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5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Beginning Balance (cost – $117,500,000 and $109,500,000, respectively)</w:t>
            </w:r>
          </w:p>
        </w:tc>
        <w:tc>
          <w:tcPr>
            <w:tcW w:w="24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117,500,000</w:t>
            </w:r>
          </w:p>
        </w:tc>
        <w:tc>
          <w:tcPr>
            <w:tcW w:w="4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108,952,500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24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(378,430)</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8"/>
        </w:trPr>
        <w:tc>
          <w:tcPr>
            <w:tcW w:w="85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Issuance of 2019 Notes</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250,000,000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804,053,100</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660,800,000</w:t>
            </w:r>
          </w:p>
        </w:tc>
        <w:tc>
          <w:tcPr>
            <w:tcW w:w="0" w:type="dxa"/>
            <w:vAlign w:val="bottom"/>
          </w:tcPr>
          <w:p>
            <w:pPr>
              <w:spacing w:after="0"/>
              <w:rPr>
                <w:sz w:val="1"/>
                <w:szCs w:val="1"/>
                <w:color w:val="auto"/>
              </w:rPr>
            </w:pPr>
          </w:p>
        </w:tc>
      </w:tr>
      <w:tr>
        <w:trPr>
          <w:trHeight w:val="148"/>
        </w:trPr>
        <w:tc>
          <w:tcPr>
            <w:tcW w:w="85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(866,326,800)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(652,800,000)</w:t>
            </w:r>
          </w:p>
        </w:tc>
        <w:tc>
          <w:tcPr>
            <w:tcW w:w="0" w:type="dxa"/>
            <w:vAlign w:val="bottom"/>
          </w:tcPr>
          <w:p>
            <w:pPr>
              <w:spacing w:after="0"/>
              <w:rPr>
                <w:sz w:val="1"/>
                <w:szCs w:val="1"/>
                <w:color w:val="auto"/>
              </w:rPr>
            </w:pPr>
          </w:p>
        </w:tc>
      </w:tr>
      <w:tr>
        <w:trPr>
          <w:trHeight w:val="149"/>
        </w:trPr>
        <w:tc>
          <w:tcPr>
            <w:tcW w:w="8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$117,500,000, respectively)</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304,847,870</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117,500,000</w:t>
            </w:r>
          </w:p>
        </w:tc>
        <w:tc>
          <w:tcPr>
            <w:tcW w:w="0" w:type="dxa"/>
            <w:vAlign w:val="bottom"/>
          </w:tcPr>
          <w:p>
            <w:pPr>
              <w:spacing w:after="0"/>
              <w:rPr>
                <w:sz w:val="1"/>
                <w:szCs w:val="1"/>
                <w:color w:val="auto"/>
              </w:rPr>
            </w:pPr>
          </w:p>
        </w:tc>
      </w:tr>
      <w:tr>
        <w:trPr>
          <w:trHeight w:val="148"/>
        </w:trPr>
        <w:tc>
          <w:tcPr>
            <w:tcW w:w="8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Temporary draws outstanding, at cost</w:t>
            </w:r>
          </w:p>
        </w:tc>
        <w:tc>
          <w:tcPr>
            <w:tcW w:w="24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28,000,000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$145,500,000, respectively)</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304,847,870</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145,500,000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37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136" w:lineRule="exact"/>
        <w:rPr>
          <w:sz w:val="20"/>
          <w:szCs w:val="20"/>
          <w:color w:val="auto"/>
        </w:rPr>
      </w:pPr>
    </w:p>
    <w:p>
      <w:pPr>
        <w:jc w:val="both"/>
        <w:ind w:right="40" w:firstLine="674"/>
        <w:spacing w:after="0" w:line="253" w:lineRule="auto"/>
        <w:rPr>
          <w:sz w:val="20"/>
          <w:szCs w:val="20"/>
          <w:color w:val="auto"/>
        </w:rPr>
      </w:pPr>
      <w:r>
        <w:rPr>
          <w:rFonts w:ascii="Arial" w:cs="Arial" w:eastAsia="Arial" w:hAnsi="Arial"/>
          <w:sz w:val="14"/>
          <w:szCs w:val="14"/>
          <w:color w:val="auto"/>
        </w:rPr>
        <w:t>As of September 30, 2014, we had outstanding non-USD borrowing on our Credit Facility denominated in British Pounds. Net change in fair value on these outstanding borrowings is listed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Foreign Currency</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40" w:type="dxa"/>
            <w:vAlign w:val="bottom"/>
          </w:tcPr>
          <w:p>
            <w:pPr>
              <w:spacing w:after="0"/>
              <w:rPr>
                <w:sz w:val="14"/>
                <w:szCs w:val="14"/>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Original</w:t>
            </w:r>
          </w:p>
        </w:tc>
        <w:tc>
          <w:tcPr>
            <w:tcW w:w="16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7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Reset Date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1620" w:type="dxa"/>
            <w:vAlign w:val="bottom"/>
            <w:tcBorders>
              <w:top w:val="single" w:sz="8" w:color="CCEEFF"/>
            </w:tcBorders>
            <w:shd w:val="clear" w:color="auto" w:fill="CCEEFF"/>
          </w:tcPr>
          <w:p>
            <w:pPr>
              <w:ind w:left="80"/>
              <w:spacing w:after="0" w:line="135" w:lineRule="exact"/>
              <w:rPr>
                <w:sz w:val="20"/>
                <w:szCs w:val="20"/>
                <w:color w:val="auto"/>
              </w:rPr>
            </w:pPr>
            <w:r>
              <w:rPr>
                <w:rFonts w:ascii="Arial" w:cs="Arial" w:eastAsia="Arial" w:hAnsi="Arial"/>
                <w:sz w:val="14"/>
                <w:szCs w:val="14"/>
                <w:color w:val="auto"/>
              </w:rPr>
              <w:t>British Pound</w:t>
            </w:r>
          </w:p>
        </w:tc>
        <w:tc>
          <w:tcPr>
            <w:tcW w:w="1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33,000,000</w:t>
            </w: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55,226,300</w:t>
            </w: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53,497,620</w:t>
            </w:r>
          </w:p>
        </w:tc>
        <w:tc>
          <w:tcPr>
            <w:tcW w:w="56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October 1, 2014</w:t>
            </w:r>
          </w:p>
        </w:tc>
        <w:tc>
          <w:tcPr>
            <w:tcW w:w="5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(1,728,680)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20" w:firstLine="674"/>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 September 30, 2014, 2013 and 2012, our Credit Facility, 2019 Notes and 2025 Notes had a net change in unrealized (appreciation) depreciation of $(3.0) million, $2.3 million and $(1.6) million, respectively. As of September 30, 2014 and 2013, net unrealized (appreciation) depreciation on our Credit Facility, 2019 Notes and 2025 Notes totaled $(0.2) million and $2.8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0" w:firstLine="674"/>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year ended September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Purchases of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Sale of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4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 *</w:t>
            </w: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 *</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3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21,942,989</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1,990,168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21,210,823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13,500,000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1,659,972</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14,000,000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17,552,044</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22,592,260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(72,539,605)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4,059,881</w:t>
            </w:r>
          </w:p>
        </w:tc>
        <w:tc>
          <w:tcPr>
            <w:tcW w:w="16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17,805,936</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1,329,930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(1,126,015)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1,341,888</w:t>
            </w:r>
          </w:p>
        </w:tc>
        <w:tc>
          <w:tcPr>
            <w:tcW w:w="16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11,283,172</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21,265,345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9,196,328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707,326</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21,268,379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L.P.</w:t>
            </w: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2,500,165</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1,694,296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1,650,729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33,470,058</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3,634,291</w:t>
            </w:r>
          </w:p>
        </w:tc>
        <w:tc>
          <w:tcPr>
            <w:tcW w:w="16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33,645,241</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107,787,844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59,061,507</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(77,165,620)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13,393,526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103,058,344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37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Excluding delayed draws.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42"/>
        </w:trPr>
        <w:tc>
          <w:tcPr>
            <w:tcW w:w="7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r>
      <w:tr>
        <w:trPr>
          <w:trHeight w:val="142"/>
        </w:trPr>
        <w:tc>
          <w:tcPr>
            <w:tcW w:w="7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110,983,477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91,777,652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63,353,100</w:t>
            </w:r>
          </w:p>
        </w:tc>
        <w:tc>
          <w:tcPr>
            <w:tcW w:w="260" w:type="dxa"/>
            <w:vAlign w:val="bottom"/>
            <w:shd w:val="clear" w:color="auto" w:fill="CCEEFF"/>
          </w:tcPr>
          <w:p>
            <w:pPr>
              <w:spacing w:after="0"/>
              <w:rPr>
                <w:sz w:val="12"/>
                <w:szCs w:val="12"/>
                <w:color w:val="auto"/>
              </w:rPr>
            </w:pPr>
          </w:p>
        </w:tc>
      </w:tr>
      <w:tr>
        <w:trPr>
          <w:trHeight w:val="148"/>
        </w:trPr>
        <w:tc>
          <w:tcPr>
            <w:tcW w:w="7760" w:type="dxa"/>
            <w:vAlign w:val="bottom"/>
          </w:tcPr>
          <w:p>
            <w:pPr>
              <w:spacing w:after="0" w:line="149" w:lineRule="exact"/>
              <w:rPr>
                <w:sz w:val="20"/>
                <w:szCs w:val="20"/>
                <w:color w:val="auto"/>
              </w:rPr>
            </w:pPr>
            <w:r>
              <w:rPr>
                <w:rFonts w:ascii="Arial" w:cs="Arial" w:eastAsia="Arial" w:hAnsi="Arial"/>
                <w:sz w:val="14"/>
                <w:szCs w:val="14"/>
                <w:color w:val="auto"/>
              </w:rPr>
              <w:t>Denominator for basic/diluted and weighted average 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67,058,474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66,380,829</w:t>
            </w: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52,969,278*</w:t>
            </w:r>
          </w:p>
        </w:tc>
      </w:tr>
      <w:tr>
        <w:trPr>
          <w:trHeight w:val="148"/>
        </w:trPr>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37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50" w:lineRule="exact"/>
        <w:rPr>
          <w:sz w:val="20"/>
          <w:szCs w:val="20"/>
          <w:color w:val="auto"/>
        </w:rPr>
      </w:pPr>
    </w:p>
    <w:p>
      <w:pPr>
        <w:ind w:left="180" w:hanging="100"/>
        <w:spacing w:after="0"/>
        <w:tabs>
          <w:tab w:leader="none" w:pos="18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The denominator for diluted weighted average shares was 52,975,015 shares.</w:t>
      </w:r>
    </w:p>
    <w:p>
      <w:pPr>
        <w:spacing w:after="0" w:line="199" w:lineRule="exact"/>
        <w:rPr>
          <w:rFonts w:ascii="Arial" w:cs="Arial" w:eastAsia="Arial" w:hAnsi="Arial"/>
          <w:sz w:val="14"/>
          <w:szCs w:val="14"/>
          <w:color w:val="auto"/>
        </w:rPr>
      </w:pPr>
    </w:p>
    <w:p>
      <w:pPr>
        <w:ind w:left="160" w:hanging="152"/>
        <w:spacing w:after="0"/>
        <w:tabs>
          <w:tab w:leader="none" w:pos="1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TAXES AND DISTRIBUTIONS</w:t>
      </w:r>
    </w:p>
    <w:p>
      <w:pPr>
        <w:spacing w:after="0" w:line="127" w:lineRule="exact"/>
        <w:rPr>
          <w:sz w:val="20"/>
          <w:szCs w:val="20"/>
          <w:color w:val="auto"/>
        </w:rPr>
      </w:pPr>
    </w:p>
    <w:p>
      <w:pPr>
        <w:ind w:right="220" w:firstLine="674"/>
        <w:spacing w:after="0" w:line="255" w:lineRule="auto"/>
        <w:rPr>
          <w:sz w:val="20"/>
          <w:szCs w:val="20"/>
          <w:color w:val="auto"/>
        </w:rPr>
      </w:pPr>
      <w:r>
        <w:rPr>
          <w:rFonts w:ascii="Arial" w:cs="Arial" w:eastAsia="Arial" w:hAnsi="Arial"/>
          <w:sz w:val="13"/>
          <w:szCs w:val="13"/>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07" w:lineRule="exact"/>
        <w:rPr>
          <w:sz w:val="20"/>
          <w:szCs w:val="20"/>
          <w:color w:val="auto"/>
        </w:rPr>
      </w:pPr>
    </w:p>
    <w:p>
      <w:pPr>
        <w:ind w:right="200" w:firstLine="674"/>
        <w:spacing w:after="0" w:line="253" w:lineRule="auto"/>
        <w:rPr>
          <w:sz w:val="20"/>
          <w:szCs w:val="20"/>
          <w:color w:val="auto"/>
        </w:rPr>
      </w:pPr>
      <w:r>
        <w:rPr>
          <w:rFonts w:ascii="Arial" w:cs="Arial" w:eastAsia="Arial" w:hAnsi="Arial"/>
          <w:sz w:val="14"/>
          <w:szCs w:val="14"/>
          <w:color w:val="auto"/>
        </w:rPr>
        <w:t>As of September 30, 2014 and 2013, the cost of investments for federal income tax purposes was $1,316.9 million and $1,089.8 million, respectively, resulting in a gross unrealized appreciation of $70.1 million and $76.8 million, respectively, and depreciation of $68.9 million and $88.4 million,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ind w:left="680"/>
              <w:spacing w:after="0"/>
              <w:rPr>
                <w:sz w:val="20"/>
                <w:szCs w:val="20"/>
                <w:color w:val="auto"/>
              </w:rPr>
            </w:pPr>
            <w:r>
              <w:rPr>
                <w:rFonts w:ascii="Arial" w:cs="Arial" w:eastAsia="Arial" w:hAnsi="Arial"/>
                <w:sz w:val="14"/>
                <w:szCs w:val="14"/>
                <w:color w:val="auto"/>
              </w:rPr>
              <w:t>The following differences were reclassified for tax purposes:</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96"/>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2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6"/>
              </w:rPr>
              <w:t>Year Ended September 30,</w:t>
            </w:r>
          </w:p>
        </w:tc>
        <w:tc>
          <w:tcPr>
            <w:tcW w:w="740" w:type="dxa"/>
            <w:vAlign w:val="bottom"/>
            <w:tcBorders>
              <w:bottom w:val="single" w:sz="8" w:color="auto"/>
            </w:tcBorders>
          </w:tcPr>
          <w:p>
            <w:pPr>
              <w:spacing w:after="0"/>
              <w:rPr>
                <w:sz w:val="24"/>
                <w:szCs w:val="24"/>
                <w:color w:val="auto"/>
              </w:rPr>
            </w:pPr>
          </w:p>
        </w:tc>
      </w:tr>
      <w:tr>
        <w:trPr>
          <w:trHeight w:val="156"/>
        </w:trPr>
        <w:tc>
          <w:tcPr>
            <w:tcW w:w="69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2012</w:t>
            </w:r>
          </w:p>
        </w:tc>
      </w:tr>
      <w:tr>
        <w:trPr>
          <w:trHeight w:val="142"/>
        </w:trPr>
        <w:tc>
          <w:tcPr>
            <w:tcW w:w="6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10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903,627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276,902</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0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1,519,280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(824,021)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2,176,918</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undistributed net investment income</w:t>
            </w:r>
          </w:p>
        </w:tc>
        <w:tc>
          <w:tcPr>
            <w:tcW w:w="10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(1,518,119)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(79,606)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(2,453,820)</w:t>
            </w:r>
          </w:p>
        </w:tc>
      </w:tr>
      <w:tr>
        <w:trPr>
          <w:trHeight w:val="298"/>
        </w:trPr>
        <w:tc>
          <w:tcPr>
            <w:tcW w:w="6980" w:type="dxa"/>
            <w:vAlign w:val="bottom"/>
          </w:tcPr>
          <w:p>
            <w:pPr>
              <w:ind w:left="68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8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110,983,477</w:t>
            </w:r>
          </w:p>
        </w:tc>
        <w:tc>
          <w:tcPr>
            <w:tcW w:w="16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91,777,652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63,353,100</w:t>
            </w:r>
          </w:p>
        </w:tc>
        <w:tc>
          <w:tcPr>
            <w:tcW w:w="60" w:type="dxa"/>
            <w:vAlign w:val="bottom"/>
            <w:shd w:val="clear" w:color="auto" w:fill="CCEEFF"/>
          </w:tcPr>
          <w:p>
            <w:pPr>
              <w:spacing w:after="0"/>
              <w:rPr>
                <w:sz w:val="12"/>
                <w:szCs w:val="12"/>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 not taxable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(30,235,265)</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(17,687,211)</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12,798,035</w:t>
            </w:r>
          </w:p>
        </w:tc>
      </w:tr>
      <w:tr>
        <w:trPr>
          <w:trHeight w:val="148"/>
        </w:trPr>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on investments, Credit Facility, 2019 Notes and 2025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(9,419,695)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(7,092,320)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(19,081,794)</w:t>
            </w:r>
          </w:p>
        </w:tc>
      </w:tr>
      <w:tr>
        <w:trPr>
          <w:trHeight w:val="148"/>
        </w:trPr>
        <w:tc>
          <w:tcPr>
            <w:tcW w:w="8180" w:type="dxa"/>
            <w:vAlign w:val="bottom"/>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(4,459,940)</w:t>
            </w: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(3,035,861)</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2,444,817</w:t>
            </w:r>
          </w:p>
        </w:tc>
      </w:tr>
      <w:tr>
        <w:trPr>
          <w:trHeight w:val="149"/>
        </w:trPr>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8,419,651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2,715,980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307,990</w:t>
            </w:r>
          </w:p>
        </w:tc>
      </w:tr>
      <w:tr>
        <w:trPr>
          <w:trHeight w:val="155"/>
        </w:trPr>
        <w:tc>
          <w:tcPr>
            <w:tcW w:w="8180" w:type="dxa"/>
            <w:vAlign w:val="bottom"/>
          </w:tcPr>
          <w:p>
            <w:pPr>
              <w:spacing w:after="0" w:line="155" w:lineRule="exact"/>
              <w:rPr>
                <w:sz w:val="20"/>
                <w:szCs w:val="20"/>
                <w:color w:val="auto"/>
              </w:rPr>
            </w:pPr>
            <w:r>
              <w:rPr>
                <w:rFonts w:ascii="Arial" w:cs="Arial" w:eastAsia="Arial" w:hAnsi="Arial"/>
                <w:sz w:val="14"/>
                <w:szCs w:val="14"/>
                <w:color w:val="auto"/>
              </w:rPr>
              <w:t>Taxable income before deductions for distributions</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75,288,228</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66,678,240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59,822,148</w:t>
            </w:r>
          </w:p>
        </w:tc>
        <w:tc>
          <w:tcPr>
            <w:tcW w:w="60" w:type="dxa"/>
            <w:vAlign w:val="bottom"/>
          </w:tcPr>
          <w:p>
            <w:pPr>
              <w:spacing w:after="0"/>
              <w:rPr>
                <w:sz w:val="13"/>
                <w:szCs w:val="13"/>
                <w:color w:val="auto"/>
              </w:rPr>
            </w:pP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w w:val="92"/>
              </w:rPr>
              <w:t>As of September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r>
      <w:tr>
        <w:trPr>
          <w:trHeight w:val="142"/>
        </w:trPr>
        <w:tc>
          <w:tcPr>
            <w:tcW w:w="8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Undistributed taxable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16,082,048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15,325,379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18,634,553</w:t>
            </w:r>
          </w:p>
        </w:tc>
        <w:tc>
          <w:tcPr>
            <w:tcW w:w="60" w:type="dxa"/>
            <w:vAlign w:val="bottom"/>
            <w:shd w:val="clear" w:color="auto" w:fill="CCEEFF"/>
          </w:tcPr>
          <w:p>
            <w:pPr>
              <w:spacing w:after="0"/>
              <w:rPr>
                <w:sz w:val="12"/>
                <w:szCs w:val="12"/>
                <w:color w:val="auto"/>
              </w:rPr>
            </w:pPr>
          </w:p>
        </w:tc>
      </w:tr>
      <w:tr>
        <w:trPr>
          <w:trHeight w:val="148"/>
        </w:trPr>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Capital loss carry forward </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(8,518,111)</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(39,216,288)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(56,786,282)</w:t>
            </w:r>
          </w:p>
        </w:tc>
      </w:tr>
      <w:tr>
        <w:trPr>
          <w:trHeight w:val="149"/>
        </w:trPr>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8"/>
              </w:rPr>
              <w:t>(31,021,819)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(26,021,069)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(21,086,425)</w:t>
            </w:r>
          </w:p>
        </w:tc>
      </w:tr>
      <w:tr>
        <w:trPr>
          <w:trHeight w:val="148"/>
        </w:trPr>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(depreciation) of investments, Credit Facility, 2019 Notes and 2025 Notes</w:t>
            </w:r>
          </w:p>
        </w:tc>
        <w:tc>
          <w:tcPr>
            <w:tcW w:w="100" w:type="dxa"/>
            <w:vAlign w:val="bottom"/>
          </w:tcPr>
          <w:p>
            <w:pPr>
              <w:spacing w:after="0"/>
              <w:rPr>
                <w:sz w:val="12"/>
                <w:szCs w:val="12"/>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(1,072,637)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(8,727,689)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(15,815,138)</w:t>
            </w:r>
          </w:p>
        </w:tc>
      </w:tr>
      <w:tr>
        <w:trPr>
          <w:trHeight w:val="27"/>
        </w:trPr>
        <w:tc>
          <w:tcPr>
            <w:tcW w:w="25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8"/>
        </w:trPr>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8"/>
              </w:rPr>
              <w:t>(24,530,519)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(58,639,667)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(75,053,292)</w:t>
            </w:r>
          </w:p>
        </w:tc>
      </w:tr>
      <w:tr>
        <w:trPr>
          <w:trHeight w:val="142"/>
        </w:trPr>
        <w:tc>
          <w:tcPr>
            <w:tcW w:w="2580" w:type="dxa"/>
            <w:vAlign w:val="bottom"/>
            <w:tcBorders>
              <w:bottom w:val="single" w:sz="8" w:color="auto"/>
            </w:tcBorders>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103" w:lineRule="exact"/>
        <w:rPr>
          <w:sz w:val="20"/>
          <w:szCs w:val="20"/>
          <w:color w:val="auto"/>
        </w:rPr>
      </w:pPr>
    </w:p>
    <w:p>
      <w:pPr>
        <w:ind w:left="400" w:hanging="320"/>
        <w:spacing w:after="0"/>
        <w:tabs>
          <w:tab w:leader="none" w:pos="400" w:val="left"/>
        </w:tabs>
        <w:numPr>
          <w:ilvl w:val="0"/>
          <w:numId w:val="46"/>
        </w:numPr>
        <w:rPr>
          <w:rFonts w:ascii="Arial" w:cs="Arial" w:eastAsia="Arial" w:hAnsi="Arial"/>
          <w:sz w:val="12"/>
          <w:szCs w:val="12"/>
          <w:color w:val="auto"/>
        </w:rPr>
      </w:pPr>
      <w:r>
        <w:rPr>
          <w:rFonts w:ascii="Arial" w:cs="Arial" w:eastAsia="Arial" w:hAnsi="Arial"/>
          <w:sz w:val="14"/>
          <w:szCs w:val="14"/>
          <w:color w:val="auto"/>
        </w:rPr>
        <w:t>As of September 30, 2014, the capital loss carry forward of $8.5 million expires, if not utilized against future capital gains in 2018.</w:t>
      </w:r>
    </w:p>
    <w:p>
      <w:pPr>
        <w:spacing w:after="0" w:line="123" w:lineRule="exact"/>
        <w:rPr>
          <w:sz w:val="20"/>
          <w:szCs w:val="20"/>
          <w:color w:val="auto"/>
        </w:rPr>
      </w:pPr>
    </w:p>
    <w:p>
      <w:pPr>
        <w:ind w:right="80" w:firstLine="674"/>
        <w:spacing w:after="0" w:line="25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2014, 2013 and 2012 were solely from ordinary income and totaled $76.9 million, or $1.12 per share, $74.4 million, or $1.12 per share and $60.1 million, or $1.12 per share,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40" w:lineRule="exact"/>
        <w:rPr>
          <w:sz w:val="20"/>
          <w:szCs w:val="20"/>
          <w:color w:val="auto"/>
        </w:rPr>
      </w:pPr>
    </w:p>
    <w:p>
      <w:pPr>
        <w:ind w:right="80" w:firstLine="674"/>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2014 and 2013, cash and cash equivalents consisted of $66.5 million and $58.4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r>
      <w:tr>
        <w:trPr>
          <w:trHeight w:val="128"/>
        </w:trPr>
        <w:tc>
          <w:tcPr>
            <w:tcW w:w="41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10.49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10.22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10.13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10.69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11.85</w:t>
            </w: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w:t>
            </w: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0.60</w:t>
            </w:r>
          </w:p>
        </w:tc>
        <w:tc>
          <w:tcPr>
            <w:tcW w:w="12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(0.53)</w:t>
            </w:r>
          </w:p>
        </w:tc>
      </w:tr>
      <w:tr>
        <w:trPr>
          <w:trHeight w:val="27"/>
        </w:trPr>
        <w:tc>
          <w:tcPr>
            <w:tcW w:w="2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0.24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Distributions of net investment income to stockholders </w:t>
            </w:r>
            <w:r>
              <w:rPr>
                <w:rFonts w:ascii="Arial" w:cs="Arial" w:eastAsia="Arial" w:hAnsi="Arial"/>
                <w:sz w:val="12"/>
                <w:szCs w:val="12"/>
                <w:color w:val="auto"/>
              </w:rPr>
              <w:t>(1),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(1.15)</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r>
      <w:tr>
        <w:trPr>
          <w:trHeight w:val="130"/>
        </w:trPr>
        <w:tc>
          <w:tcPr>
            <w:tcW w:w="4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Accretive (Dilutive) effect of common stock</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7"/>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 xml:space="preserve">issuance </w:t>
            </w:r>
            <w:r>
              <w:rPr>
                <w:rFonts w:ascii="Arial" w:cs="Arial" w:eastAsia="Arial" w:hAnsi="Arial"/>
                <w:sz w:val="12"/>
                <w:szCs w:val="12"/>
                <w:color w:val="auto"/>
              </w:rPr>
              <w:t>(1)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(0.63)</w:t>
            </w:r>
          </w:p>
        </w:tc>
      </w:tr>
      <w:tr>
        <w:trPr>
          <w:trHeight w:val="163"/>
        </w:trPr>
        <w:tc>
          <w:tcPr>
            <w:tcW w:w="4160" w:type="dxa"/>
            <w:vAlign w:val="bottom"/>
            <w:gridSpan w:val="2"/>
          </w:tcPr>
          <w:p>
            <w:pPr>
              <w:spacing w:after="0" w:line="155" w:lineRule="exact"/>
              <w:rPr>
                <w:sz w:val="20"/>
                <w:szCs w:val="20"/>
                <w:color w:val="auto"/>
              </w:rPr>
            </w:pPr>
            <w:r>
              <w:rPr>
                <w:rFonts w:ascii="Arial" w:cs="Arial" w:eastAsia="Arial" w:hAnsi="Arial"/>
                <w:sz w:val="14"/>
                <w:szCs w:val="14"/>
                <w:color w:val="auto"/>
              </w:rPr>
              <w:t>Net asset value, end of year</w:t>
            </w: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5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4"/>
                <w:szCs w:val="14"/>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year</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10.61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10.61</w:t>
            </w: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6.76%</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28.71%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44.79%</w:t>
            </w: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75,092,911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66,499,327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65,514,503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45,689,781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36,158,772</w:t>
            </w: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7.16%</w:t>
            </w: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3.83%</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r>
      <w:tr>
        <w:trPr>
          <w:trHeight w:val="27"/>
        </w:trPr>
        <w:tc>
          <w:tcPr>
            <w:tcW w:w="2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8.24%</w:t>
            </w: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9.55%</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9.45%</w:t>
            </w: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5"/>
              </w:rPr>
              <w:t>828,009,949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697,506,199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5"/>
              </w:rPr>
              <w:t>669,717,047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5"/>
              </w:rPr>
              <w:t>462,657,196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386,575,223</w:t>
            </w: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5"/>
              </w:rPr>
              <w:t>526,252,068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5"/>
              </w:rPr>
              <w:t>363,246,849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5"/>
              </w:rPr>
              <w:t>340,868,033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5"/>
              </w:rPr>
              <w:t>278,294,433</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246,216,548</w:t>
            </w:r>
          </w:p>
        </w:tc>
      </w:tr>
      <w:tr>
        <w:trPr>
          <w:trHeight w:val="148"/>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6.44</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w:t>
            </w: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3,198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4,261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5,636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2,937</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2,655</w:t>
            </w: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Portfolio turnover ratio</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50.66%</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40.91%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22.81%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40.89%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25.97%</w:t>
            </w:r>
          </w:p>
        </w:tc>
      </w:tr>
      <w:tr>
        <w:trPr>
          <w:trHeight w:val="101"/>
        </w:trPr>
        <w:tc>
          <w:tcPr>
            <w:tcW w:w="25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7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40" w:hanging="332"/>
        <w:spacing w:after="0" w:line="221"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40" w:hanging="332"/>
        <w:spacing w:after="0" w:line="238" w:lineRule="auto"/>
        <w:tabs>
          <w:tab w:leader="none" w:pos="340" w:val="left"/>
        </w:tabs>
        <w:numPr>
          <w:ilvl w:val="0"/>
          <w:numId w:val="47"/>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40" w:hanging="332"/>
        <w:spacing w:after="0" w:line="237" w:lineRule="auto"/>
        <w:tabs>
          <w:tab w:leader="none" w:pos="340" w:val="left"/>
        </w:tabs>
        <w:numPr>
          <w:ilvl w:val="0"/>
          <w:numId w:val="4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100" w:firstLine="674"/>
        <w:spacing w:after="0" w:line="233" w:lineRule="auto"/>
        <w:rPr>
          <w:sz w:val="20"/>
          <w:szCs w:val="20"/>
          <w:color w:val="auto"/>
        </w:rPr>
      </w:pPr>
      <w:r>
        <w:rPr>
          <w:rFonts w:ascii="Arial" w:cs="Arial" w:eastAsia="Arial" w:hAnsi="Arial"/>
          <w:sz w:val="14"/>
          <w:szCs w:val="14"/>
          <w:color w:val="auto"/>
        </w:rPr>
        <w:t>Our annualized weighted average cost of debt for the fiscal year ended September 30, 2014 and 2013, inclusive of the fee on the undrawn commitment on the Credit Facility and amortized upfront fees on SBA debentures but excluding debt issuance costs, was 3.85% and 4.24%,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firstLine="674"/>
        <w:spacing w:after="0" w:line="228" w:lineRule="auto"/>
        <w:rPr>
          <w:sz w:val="20"/>
          <w:szCs w:val="20"/>
          <w:color w:val="auto"/>
        </w:rPr>
      </w:pPr>
      <w:r>
        <w:rPr>
          <w:rFonts w:ascii="Arial" w:cs="Arial" w:eastAsia="Arial" w:hAnsi="Arial"/>
          <w:sz w:val="14"/>
          <w:szCs w:val="14"/>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September 30, 2014 and September 30,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firstLine="67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104" w:lineRule="exact"/>
        <w:rPr>
          <w:sz w:val="20"/>
          <w:szCs w:val="20"/>
          <w:color w:val="auto"/>
        </w:rPr>
      </w:pPr>
    </w:p>
    <w:p>
      <w:pPr>
        <w:ind w:right="160" w:firstLine="674"/>
        <w:spacing w:after="0" w:line="238" w:lineRule="auto"/>
        <w:rPr>
          <w:sz w:val="20"/>
          <w:szCs w:val="20"/>
          <w:color w:val="auto"/>
        </w:rPr>
      </w:pPr>
      <w:r>
        <w:rPr>
          <w:rFonts w:ascii="Arial" w:cs="Arial" w:eastAsia="Arial" w:hAnsi="Arial"/>
          <w:sz w:val="14"/>
          <w:szCs w:val="14"/>
          <w:color w:val="auto"/>
        </w:rPr>
        <w:t>As of September 30, 2014 and September 30, 2013, our SBIC Funds had $225 million and $150 million in debt commitments, respectively, and $150 million was drawn for each period. Both SBA debentures’ upfront fees of 3.43% consist of a commitment fee of 1.00% and an issuance discount of 2.43%, which are being amortized. Our fixed-rate SBA debentures as of September 30, 2014 and September 30, 2013 were as follows:</w:t>
      </w:r>
    </w:p>
    <w:p>
      <w:pPr>
        <w:spacing w:after="0" w:line="206"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1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Issuance Dates</w:t>
            </w:r>
          </w:p>
        </w:tc>
        <w:tc>
          <w:tcPr>
            <w:tcW w:w="2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Maturity</w:t>
            </w:r>
          </w:p>
        </w:tc>
        <w:tc>
          <w:tcPr>
            <w:tcW w:w="3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tcBorders>
              <w:bottom w:val="single" w:sz="8" w:color="CCEEFF"/>
            </w:tcBorders>
          </w:tcPr>
          <w:p>
            <w:pPr>
              <w:spacing w:after="0"/>
              <w:rPr>
                <w:sz w:val="16"/>
                <w:szCs w:val="16"/>
                <w:color w:val="auto"/>
              </w:rPr>
            </w:pPr>
          </w:p>
        </w:tc>
      </w:tr>
      <w:tr>
        <w:trPr>
          <w:trHeight w:val="142"/>
        </w:trPr>
        <w:tc>
          <w:tcPr>
            <w:tcW w:w="19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3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82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r>
      <w:tr>
        <w:trPr>
          <w:trHeight w:val="148"/>
        </w:trPr>
        <w:tc>
          <w:tcPr>
            <w:tcW w:w="2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March 29, 2011</w:t>
            </w:r>
          </w:p>
        </w:tc>
        <w:tc>
          <w:tcPr>
            <w:tcW w:w="1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March 1, 2021</w:t>
            </w:r>
          </w:p>
        </w:tc>
        <w:tc>
          <w:tcPr>
            <w:tcW w:w="2080" w:type="dxa"/>
            <w:vAlign w:val="bottom"/>
          </w:tcPr>
          <w:p>
            <w:pPr>
              <w:ind w:left="1820"/>
              <w:spacing w:after="0" w:line="149" w:lineRule="exact"/>
              <w:rPr>
                <w:sz w:val="20"/>
                <w:szCs w:val="20"/>
                <w:color w:val="auto"/>
              </w:rPr>
            </w:pPr>
            <w:r>
              <w:rPr>
                <w:rFonts w:ascii="Arial" w:cs="Arial" w:eastAsia="Arial" w:hAnsi="Arial"/>
                <w:sz w:val="14"/>
                <w:szCs w:val="14"/>
                <w:color w:val="auto"/>
                <w:w w:val="87"/>
              </w:rPr>
              <w:t>4.46</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r>
      <w:tr>
        <w:trPr>
          <w:trHeight w:val="148"/>
        </w:trPr>
        <w:tc>
          <w:tcPr>
            <w:tcW w:w="2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September 21, 2011</w:t>
            </w:r>
          </w:p>
        </w:tc>
        <w:tc>
          <w:tcPr>
            <w:tcW w:w="1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September 1, 2021</w:t>
            </w:r>
          </w:p>
        </w:tc>
        <w:tc>
          <w:tcPr>
            <w:tcW w:w="2080" w:type="dxa"/>
            <w:vAlign w:val="bottom"/>
            <w:tcBorders>
              <w:bottom w:val="single" w:sz="8" w:color="auto"/>
            </w:tcBorders>
            <w:shd w:val="clear" w:color="auto" w:fill="CCEEFF"/>
          </w:tcPr>
          <w:p>
            <w:pPr>
              <w:ind w:left="1820"/>
              <w:spacing w:after="0" w:line="149" w:lineRule="exact"/>
              <w:rPr>
                <w:sz w:val="20"/>
                <w:szCs w:val="20"/>
                <w:color w:val="auto"/>
              </w:rPr>
            </w:pPr>
            <w:r>
              <w:rPr>
                <w:rFonts w:ascii="Arial" w:cs="Arial" w:eastAsia="Arial" w:hAnsi="Arial"/>
                <w:sz w:val="14"/>
                <w:szCs w:val="14"/>
                <w:color w:val="auto"/>
                <w:w w:val="87"/>
              </w:rPr>
              <w:t>3.38</w:t>
            </w:r>
          </w:p>
        </w:tc>
        <w:tc>
          <w:tcPr>
            <w:tcW w:w="4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r>
      <w:tr>
        <w:trPr>
          <w:trHeight w:val="155"/>
        </w:trPr>
        <w:tc>
          <w:tcPr>
            <w:tcW w:w="22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8"/>
              </w:rPr>
              <w:t>Weighted Average Rate / Total</w:t>
            </w: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2"/>
          </w:tcPr>
          <w:p>
            <w:pPr>
              <w:ind w:left="182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r>
      <w:tr>
        <w:trPr>
          <w:trHeight w:val="20"/>
        </w:trPr>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94615</wp:posOffset>
            </wp:positionV>
            <wp:extent cx="1200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64" w:lineRule="exact"/>
        <w:rPr>
          <w:sz w:val="20"/>
          <w:szCs w:val="20"/>
          <w:color w:val="auto"/>
        </w:rPr>
      </w:pPr>
    </w:p>
    <w:p>
      <w:pPr>
        <w:ind w:left="1720" w:hanging="175"/>
        <w:spacing w:after="0"/>
        <w:tabs>
          <w:tab w:leader="none" w:pos="1720" w:val="left"/>
        </w:tabs>
        <w:numPr>
          <w:ilvl w:val="0"/>
          <w:numId w:val="48"/>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50" w:lineRule="exact"/>
        <w:rPr>
          <w:sz w:val="20"/>
          <w:szCs w:val="20"/>
          <w:color w:val="auto"/>
        </w:rPr>
      </w:pPr>
    </w:p>
    <w:p>
      <w:pPr>
        <w:ind w:firstLine="67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60" w:firstLine="674"/>
        <w:spacing w:after="0" w:line="233"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ind w:right="200" w:firstLine="674"/>
        <w:spacing w:after="0" w:line="255" w:lineRule="auto"/>
        <w:rPr>
          <w:sz w:val="20"/>
          <w:szCs w:val="20"/>
          <w:color w:val="auto"/>
        </w:rPr>
      </w:pPr>
      <w:r>
        <w:rPr>
          <w:rFonts w:ascii="Arial" w:cs="Arial" w:eastAsia="Arial" w:hAnsi="Arial"/>
          <w:sz w:val="13"/>
          <w:szCs w:val="13"/>
          <w:color w:val="auto"/>
        </w:rPr>
        <w:t>In January 2013, we issued $71.3 million in aggregate principal amount of 2025 Notes, including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20"/>
          </w:cols>
          <w:pgMar w:left="32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40" w:firstLine="674"/>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17" w:lineRule="exact"/>
        <w:rPr>
          <w:sz w:val="20"/>
          <w:szCs w:val="20"/>
          <w:color w:val="auto"/>
        </w:rPr>
      </w:pPr>
    </w:p>
    <w:p>
      <w:pPr>
        <w:ind w:firstLine="674"/>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00"/>
          </w:cols>
          <w:pgMar w:left="320" w:top="459" w:right="3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5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142"/>
        </w:trPr>
        <w:tc>
          <w:tcPr>
            <w:tcW w:w="76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40,144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35,474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37,879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34,439</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20,148</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13,197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20,029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17,955</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(21,250)</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18,753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20,652</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21,500</w:t>
            </w: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(1,102)</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31,949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40,681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39,455</w:t>
            </w:r>
          </w:p>
        </w:tc>
      </w:tr>
      <w:tr>
        <w:trPr>
          <w:trHeight w:val="149"/>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net assets resulting from operations per common share *</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(0.02)</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0.59</w:t>
            </w: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11.03</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10.80</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10.91</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11.05</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11.60</w:t>
            </w:r>
          </w:p>
        </w:tc>
      </w:tr>
      <w:tr>
        <w:trPr>
          <w:trHeight w:val="148"/>
        </w:trPr>
        <w:tc>
          <w:tcPr>
            <w:tcW w:w="2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89"/>
              <w:spacing w:after="0" w:line="149"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5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142"/>
        </w:trPr>
        <w:tc>
          <w:tcPr>
            <w:tcW w:w="76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33,725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31,057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32,958</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17,099</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17,655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14,063</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18,181</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5,379</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(3,869)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12,910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10,360</w:t>
            </w: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22,479</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13,786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26,972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28,541</w:t>
            </w:r>
          </w:p>
        </w:tc>
      </w:tr>
      <w:tr>
        <w:trPr>
          <w:trHeight w:val="149"/>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0.33</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0.44</w:t>
            </w: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10.49</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10.38</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11.28</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11.00</w:t>
            </w:r>
          </w:p>
        </w:tc>
      </w:tr>
      <w:tr>
        <w:trPr>
          <w:trHeight w:val="148"/>
        </w:trPr>
        <w:tc>
          <w:tcPr>
            <w:tcW w:w="2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89"/>
              <w:spacing w:after="0" w:line="149"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7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5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142"/>
        </w:trPr>
        <w:tc>
          <w:tcPr>
            <w:tcW w:w="76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30,806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29,385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26,362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26,839</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16,742</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15,571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9,759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14,997</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948</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(12,151)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16,638</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849</w:t>
            </w:r>
          </w:p>
        </w:tc>
      </w:tr>
      <w:tr>
        <w:trPr>
          <w:trHeight w:val="149"/>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17,690</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3,420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26,397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15,846</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0.31</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0.34</w:t>
            </w:r>
          </w:p>
        </w:tc>
      </w:tr>
      <w:tr>
        <w:trPr>
          <w:trHeight w:val="148"/>
        </w:trPr>
        <w:tc>
          <w:tcPr>
            <w:tcW w:w="764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10.22</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10.19</w:t>
            </w:r>
          </w:p>
        </w:tc>
      </w:tr>
      <w:tr>
        <w:trPr>
          <w:trHeight w:val="148"/>
        </w:trPr>
        <w:tc>
          <w:tcPr>
            <w:tcW w:w="7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10.61</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10.09</w:t>
            </w:r>
          </w:p>
        </w:tc>
      </w:tr>
      <w:tr>
        <w:trPr>
          <w:trHeight w:val="135"/>
        </w:trPr>
        <w:tc>
          <w:tcPr>
            <w:tcW w:w="25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Based on the weighted average shares outstanding for the respective periods.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20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2014,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Management’s Report on Internal Control Over Financial Reporting, which appears on page 53 of this Form 10-K, is incorporated by reference herein.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204"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180"/>
          </w:cols>
          <w:pgMar w:left="32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III</w:t>
      </w:r>
    </w:p>
    <w:p>
      <w:pPr>
        <w:spacing w:after="0" w:line="3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will file a definitive Proxy Statement for our 2015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208"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2015 Annual Meeting of Stockholders, to be filed with the Securities and Exchange Commission within 120 days following the end of our fiscal year.</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208"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2015 Annual Meeting of Stockholders, to be filed with the Securities and Exchange Commission within 120 days following the end of our fiscal year.</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208"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2015 Annual Meeting of Stockholders, to be filed with the Securities and Exchange Commission within 120 days following the end of our fiscal year.</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208"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2015 Annual Meeting of Stockholders, to be filed with the Securities and Exchange Commission within 120 days following the end of our fiscal year.</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208"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2015 Annual Meeting of Stockholders, to be filed with the Securities and Exchange Commission within 120 days following the end of our fiscal year.</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160"/>
          </w:cols>
          <w:pgMar w:left="32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231" w:lineRule="exact"/>
        <w:rPr>
          <w:sz w:val="20"/>
          <w:szCs w:val="20"/>
          <w:color w:val="auto"/>
        </w:rPr>
      </w:pPr>
    </w:p>
    <w:p>
      <w:pPr>
        <w:ind w:left="780" w:hanging="448"/>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52.</w:t>
      </w:r>
    </w:p>
    <w:p>
      <w:pPr>
        <w:spacing w:after="0" w:line="230" w:lineRule="exact"/>
        <w:rPr>
          <w:rFonts w:ascii="Arial" w:cs="Arial" w:eastAsia="Arial" w:hAnsi="Arial"/>
          <w:sz w:val="14"/>
          <w:szCs w:val="14"/>
          <w:color w:val="auto"/>
        </w:rPr>
      </w:pPr>
    </w:p>
    <w:p>
      <w:pPr>
        <w:ind w:left="780" w:hanging="448"/>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230" w:lineRule="exact"/>
        <w:rPr>
          <w:rFonts w:ascii="Arial" w:cs="Arial" w:eastAsia="Arial" w:hAnsi="Arial"/>
          <w:sz w:val="14"/>
          <w:szCs w:val="14"/>
          <w:color w:val="auto"/>
        </w:rPr>
      </w:pPr>
    </w:p>
    <w:p>
      <w:pPr>
        <w:ind w:left="780" w:hanging="448"/>
        <w:spacing w:after="0"/>
        <w:tabs>
          <w:tab w:leader="none" w:pos="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Exhibits</w:t>
      </w:r>
    </w:p>
    <w:p>
      <w:pPr>
        <w:spacing w:after="0" w:line="352" w:lineRule="exact"/>
        <w:rPr>
          <w:sz w:val="20"/>
          <w:szCs w:val="20"/>
          <w:color w:val="auto"/>
        </w:rPr>
      </w:pPr>
    </w:p>
    <w:p>
      <w:pPr>
        <w:ind w:left="640" w:right="160" w:hanging="597"/>
        <w:spacing w:after="0" w:line="253" w:lineRule="auto"/>
        <w:tabs>
          <w:tab w:leader="none" w:pos="6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Incorporation (Incorporated by reference to the Registrant’s Pre-Effective Amendment No.1 to the Registration Statement on Form N-2/A (File No. 333-140092), filed on March 5, 2007).</w:t>
      </w:r>
    </w:p>
    <w:p>
      <w:pPr>
        <w:spacing w:after="0" w:line="3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the Registrant’s Annual Report on Form 10-K (File No. 814-00736), filed on November 13, 2013).</w:t>
      </w:r>
    </w:p>
    <w:p>
      <w:pPr>
        <w:spacing w:after="0" w:line="69"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69" w:lineRule="exact"/>
        <w:rPr>
          <w:sz w:val="20"/>
          <w:szCs w:val="20"/>
          <w:color w:val="auto"/>
        </w:rPr>
      </w:pPr>
    </w:p>
    <w:p>
      <w:pPr>
        <w:ind w:left="640" w:right="240" w:hanging="597"/>
        <w:spacing w:after="0" w:line="238" w:lineRule="auto"/>
        <w:tabs>
          <w:tab w:leader="none" w:pos="6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Base Indenture, dated as of January 22, 2013, relating to the 6.25% Senior Notes due 2025, between the Registrant and American Stock Transfer &amp; Trust Company, LLC, as trustee (Incorporated by reference to Exhibit 99(d)(8) to the Registrant’s Post-Effective Amendment No.4 to the Registration Statement on Form N-2/A (File No.333-172524), filed on January 22, 2013).</w:t>
      </w:r>
    </w:p>
    <w:p>
      <w:pPr>
        <w:spacing w:after="0" w:line="48" w:lineRule="exact"/>
        <w:rPr>
          <w:sz w:val="20"/>
          <w:szCs w:val="20"/>
          <w:color w:val="auto"/>
        </w:rPr>
      </w:pPr>
    </w:p>
    <w:p>
      <w:pPr>
        <w:ind w:left="640" w:hanging="597"/>
        <w:spacing w:after="0" w:line="238" w:lineRule="auto"/>
        <w:tabs>
          <w:tab w:leader="none" w:pos="6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First Supplemental Indenture, dated as of January 22, 2013, relating to the 6.25% Senior Notes due 2025, between the Registrant and American Stock Transfer &amp; Trust Company, LLC, as trustee (Incorporated by reference to Exhibit 99(d)(9) to the Registrant’s Post-Effective Amendment No.4 to the Registration Statement on Form N-2/A (File No.333-172524), filed on January 22, 2013).</w:t>
      </w:r>
    </w:p>
    <w:p>
      <w:pPr>
        <w:spacing w:after="0" w:line="48"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Form of 6.25% Senior Notes due 2025 (included as part of Exhibit 4.3).</w:t>
      </w:r>
    </w:p>
    <w:p>
      <w:pPr>
        <w:spacing w:after="0" w:line="69" w:lineRule="exact"/>
        <w:rPr>
          <w:sz w:val="20"/>
          <w:szCs w:val="20"/>
          <w:color w:val="auto"/>
        </w:rPr>
      </w:pPr>
    </w:p>
    <w:p>
      <w:pPr>
        <w:ind w:left="640" w:right="80" w:hanging="597"/>
        <w:spacing w:after="0" w:line="290" w:lineRule="auto"/>
        <w:tabs>
          <w:tab w:leader="none" w:pos="6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color w:val="auto"/>
        </w:rPr>
        <w:t>Second Supplemental Indenture, dated as of September 23, 2014, relating to the 4.50% Notes due 2019, between the Registrant and American Stock Transfer &amp; Trust Company, LLC, as trustee (Incorporated by reference to Exhibit 99 (d)(11) to the Registrant’s Post-Effective Amendment No. 2 to Form N-2 (File No. 333-192782), filed on September 23, 2014.</w:t>
      </w:r>
    </w:p>
    <w:p>
      <w:pPr>
        <w:spacing w:after="0" w:line="17"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3"/>
          <w:szCs w:val="13"/>
          <w:color w:val="auto"/>
        </w:rPr>
        <w:t>Form of 4.50% Senior Notes due 2019 (included as part of Exhibit 4.5).</w:t>
      </w:r>
    </w:p>
    <w:p>
      <w:pPr>
        <w:spacing w:after="0" w:line="69" w:lineRule="exact"/>
        <w:rPr>
          <w:sz w:val="20"/>
          <w:szCs w:val="20"/>
          <w:color w:val="auto"/>
        </w:rPr>
      </w:pPr>
    </w:p>
    <w:p>
      <w:pPr>
        <w:ind w:left="640" w:right="460" w:hanging="633"/>
        <w:spacing w:after="0" w:line="253" w:lineRule="auto"/>
        <w:tabs>
          <w:tab w:leader="none" w:pos="62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Form of Investment Management Agreement between the Registrant and PennantPark Investment Advisers, LLC (Incorporated by reference to Exhibit 99(g) to the Registrant’s Registration Statement on Form N-2 (File No. 333-150033), filed on April 2, 2008).</w:t>
      </w:r>
    </w:p>
    <w:p>
      <w:pPr>
        <w:spacing w:after="0" w:line="39" w:lineRule="exact"/>
        <w:rPr>
          <w:sz w:val="20"/>
          <w:szCs w:val="20"/>
          <w:color w:val="auto"/>
        </w:rPr>
      </w:pPr>
    </w:p>
    <w:p>
      <w:pPr>
        <w:ind w:left="640" w:right="520" w:hanging="633"/>
        <w:spacing w:after="0" w:line="253" w:lineRule="auto"/>
        <w:tabs>
          <w:tab w:leader="none" w:pos="62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Form of Administration Agreement between the Registrant and PennantPark Investment Administration LLC (Incorporated by reference to Exhibit 99(k)(1) to the Registrant’s Registration Statement on Form N-2 (File No. 333-150033), filed on April 2, 2008).</w:t>
      </w:r>
    </w:p>
    <w:p>
      <w:pPr>
        <w:spacing w:after="0" w:line="3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Dividend Reinvestment Plan (Incorporated by reference to Exhibit 99(e) to the Registrant’s Registration Statement on Form N-2 (File No. 333-150033), filed on April 2, 2008).</w:t>
      </w:r>
    </w:p>
    <w:p>
      <w:pPr>
        <w:spacing w:after="0" w:line="69" w:lineRule="exact"/>
        <w:rPr>
          <w:sz w:val="20"/>
          <w:szCs w:val="20"/>
          <w:color w:val="auto"/>
        </w:rPr>
      </w:pPr>
    </w:p>
    <w:p>
      <w:pPr>
        <w:ind w:left="640" w:right="160" w:hanging="633"/>
        <w:spacing w:after="0" w:line="238" w:lineRule="auto"/>
        <w:tabs>
          <w:tab w:leader="none" w:pos="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Second Amended and Restated Senior Secured Revolving Credit Agreement, dated as of June 25, 2014, among PennantPark Investment Corporation, the lenders party thereto and SunTrust Bank, as administrative agent for the lenders (Incorporated by reference to Exhibit 99.2 to the Registrant’s Current Report on Form 8-K (File No. 814-00736), filed on June 30, 2014).</w:t>
      </w:r>
    </w:p>
    <w:p>
      <w:pPr>
        <w:spacing w:after="0" w:line="48"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14.1*</w:t>
      </w:r>
      <w:r>
        <w:rPr>
          <w:rFonts w:ascii="Arial" w:cs="Arial" w:eastAsia="Arial" w:hAnsi="Arial"/>
          <w:sz w:val="13"/>
          <w:szCs w:val="13"/>
          <w:color w:val="auto"/>
        </w:rPr>
        <w:t>Joint Code of Ethics of the Registrant.</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21.1*</w:t>
      </w:r>
      <w:r>
        <w:rPr>
          <w:rFonts w:ascii="Arial" w:cs="Arial" w:eastAsia="Arial" w:hAnsi="Arial"/>
          <w:sz w:val="13"/>
          <w:szCs w:val="13"/>
          <w:color w:val="auto"/>
        </w:rPr>
        <w:t>Subsidiaries of the Registrant.</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99.1</w:t>
      </w:r>
      <w:r>
        <w:rPr>
          <w:rFonts w:ascii="Arial" w:cs="Arial" w:eastAsia="Arial" w:hAnsi="Arial"/>
          <w:sz w:val="13"/>
          <w:szCs w:val="13"/>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637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35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33"/>
        </w:trPr>
        <w:tc>
          <w:tcPr>
            <w:tcW w:w="56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6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97"/>
              </w:rPr>
              <w:t>Chief Executive Officer and Chairman of the Board of</w:t>
            </w:r>
          </w:p>
        </w:tc>
      </w:tr>
      <w:tr>
        <w:trPr>
          <w:trHeight w:val="186"/>
        </w:trPr>
        <w:tc>
          <w:tcPr>
            <w:tcW w:w="560" w:type="dxa"/>
            <w:vAlign w:val="bottom"/>
          </w:tcPr>
          <w:p>
            <w:pPr>
              <w:spacing w:after="0"/>
              <w:rPr>
                <w:sz w:val="16"/>
                <w:szCs w:val="16"/>
                <w:color w:val="auto"/>
              </w:rPr>
            </w:pPr>
          </w:p>
        </w:tc>
        <w:tc>
          <w:tcPr>
            <w:tcW w:w="3680" w:type="dxa"/>
            <w:vAlign w:val="bottom"/>
          </w:tcPr>
          <w:p>
            <w:pPr>
              <w:ind w:left="1520"/>
              <w:spacing w:after="0"/>
              <w:rPr>
                <w:sz w:val="20"/>
                <w:szCs w:val="20"/>
                <w:color w:val="auto"/>
              </w:rPr>
            </w:pPr>
            <w:r>
              <w:rPr>
                <w:rFonts w:ascii="Arial" w:cs="Arial" w:eastAsia="Arial" w:hAnsi="Arial"/>
                <w:sz w:val="14"/>
                <w:szCs w:val="14"/>
                <w:b w:val="1"/>
                <w:bCs w:val="1"/>
                <w:color w:val="auto"/>
              </w:rPr>
              <w:t>Directors</w:t>
            </w:r>
          </w:p>
        </w:tc>
      </w:tr>
    </w:tbl>
    <w:p>
      <w:pPr>
        <w:spacing w:after="0" w:line="142"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7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100" w:type="dxa"/>
            <w:vAlign w:val="bottom"/>
          </w:tcPr>
          <w:p>
            <w:pPr>
              <w:spacing w:after="0"/>
              <w:rPr>
                <w:sz w:val="15"/>
                <w:szCs w:val="15"/>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6"/>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00" w:type="dxa"/>
            <w:vAlign w:val="bottom"/>
          </w:tcPr>
          <w:p>
            <w:pPr>
              <w:spacing w:after="0"/>
              <w:rPr>
                <w:sz w:val="16"/>
                <w:szCs w:val="16"/>
                <w:color w:val="auto"/>
              </w:rPr>
            </w:pPr>
          </w:p>
        </w:tc>
        <w:tc>
          <w:tcPr>
            <w:tcW w:w="4160" w:type="dxa"/>
            <w:vAlign w:val="bottom"/>
            <w:gridSpan w:val="2"/>
          </w:tcPr>
          <w:p>
            <w:pPr>
              <w:jc w:val="center"/>
              <w:ind w:right="200"/>
              <w:spacing w:after="0" w:line="150" w:lineRule="exact"/>
              <w:rPr>
                <w:sz w:val="20"/>
                <w:szCs w:val="20"/>
                <w:color w:val="auto"/>
              </w:rPr>
            </w:pPr>
            <w:r>
              <w:rPr>
                <w:rFonts w:ascii="Arial" w:cs="Arial" w:eastAsia="Arial" w:hAnsi="Arial"/>
                <w:sz w:val="14"/>
                <w:szCs w:val="14"/>
                <w:color w:val="auto"/>
                <w:w w:val="97"/>
              </w:rPr>
              <w:t>(Principal Executive Officer)</w:t>
            </w:r>
          </w:p>
        </w:tc>
        <w:tc>
          <w:tcPr>
            <w:tcW w:w="2100" w:type="dxa"/>
            <w:vAlign w:val="bottom"/>
          </w:tcPr>
          <w:p>
            <w:pPr>
              <w:spacing w:after="0"/>
              <w:rPr>
                <w:sz w:val="16"/>
                <w:szCs w:val="16"/>
                <w:color w:val="auto"/>
              </w:rPr>
            </w:pP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00" w:type="dxa"/>
            <w:vAlign w:val="bottom"/>
          </w:tcPr>
          <w:p>
            <w:pPr>
              <w:spacing w:after="0"/>
              <w:rPr>
                <w:sz w:val="19"/>
                <w:szCs w:val="19"/>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Chief Financial Officer and Treasurer</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6"/>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00" w:type="dxa"/>
            <w:vAlign w:val="bottom"/>
          </w:tcPr>
          <w:p>
            <w:pPr>
              <w:spacing w:after="0"/>
              <w:rPr>
                <w:sz w:val="16"/>
                <w:szCs w:val="16"/>
                <w:color w:val="auto"/>
              </w:rPr>
            </w:pPr>
          </w:p>
        </w:tc>
        <w:tc>
          <w:tcPr>
            <w:tcW w:w="4160" w:type="dxa"/>
            <w:vAlign w:val="bottom"/>
            <w:gridSpan w:val="2"/>
          </w:tcPr>
          <w:p>
            <w:pPr>
              <w:jc w:val="center"/>
              <w:ind w:right="200"/>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2100" w:type="dxa"/>
            <w:vAlign w:val="bottom"/>
          </w:tcPr>
          <w:p>
            <w:pPr>
              <w:spacing w:after="0"/>
              <w:rPr>
                <w:sz w:val="16"/>
                <w:szCs w:val="16"/>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00" w:type="dxa"/>
            <w:vAlign w:val="bottom"/>
          </w:tcPr>
          <w:p>
            <w:pPr>
              <w:spacing w:after="0"/>
              <w:rPr>
                <w:sz w:val="20"/>
                <w:szCs w:val="20"/>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Director</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0"/>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00" w:type="dxa"/>
            <w:vAlign w:val="bottom"/>
          </w:tcPr>
          <w:p>
            <w:pPr>
              <w:spacing w:after="0"/>
              <w:rPr>
                <w:sz w:val="20"/>
                <w:szCs w:val="20"/>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Director</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0"/>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00" w:type="dxa"/>
            <w:vAlign w:val="bottom"/>
          </w:tcPr>
          <w:p>
            <w:pPr>
              <w:spacing w:after="0"/>
              <w:rPr>
                <w:sz w:val="20"/>
                <w:szCs w:val="20"/>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Director</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0"/>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00" w:type="dxa"/>
            <w:vAlign w:val="bottom"/>
          </w:tcPr>
          <w:p>
            <w:pPr>
              <w:spacing w:after="0"/>
              <w:rPr>
                <w:sz w:val="20"/>
                <w:szCs w:val="20"/>
                <w:color w:val="auto"/>
              </w:rPr>
            </w:pPr>
          </w:p>
        </w:tc>
        <w:tc>
          <w:tcPr>
            <w:tcW w:w="41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Director</w:t>
            </w:r>
          </w:p>
        </w:tc>
        <w:tc>
          <w:tcPr>
            <w:tcW w:w="2100" w:type="dxa"/>
            <w:vAlign w:val="bottom"/>
          </w:tcPr>
          <w:p>
            <w:pPr>
              <w:jc w:val="center"/>
              <w:spacing w:after="0"/>
              <w:rPr>
                <w:sz w:val="20"/>
                <w:szCs w:val="20"/>
                <w:color w:val="auto"/>
              </w:rPr>
            </w:pPr>
            <w:r>
              <w:rPr>
                <w:rFonts w:ascii="Arial" w:cs="Arial" w:eastAsia="Arial" w:hAnsi="Arial"/>
                <w:sz w:val="14"/>
                <w:szCs w:val="14"/>
                <w:color w:val="auto"/>
                <w:w w:val="92"/>
              </w:rPr>
              <w:t>November 12, 2014</w:t>
            </w:r>
          </w:p>
        </w:tc>
      </w:tr>
      <w:tr>
        <w:trPr>
          <w:trHeight w:val="180"/>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88"/>
        </w:trPr>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60" w:type="dxa"/>
            <w:vAlign w:val="bottom"/>
            <w:gridSpan w:val="2"/>
          </w:tcPr>
          <w:p>
            <w:pPr>
              <w:jc w:val="right"/>
              <w:ind w:right="3168"/>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b w:val="1"/>
          <w:bCs w:val="1"/>
          <w:color w:val="auto"/>
        </w:rPr>
        <w:t>EXHIBIT 14.1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rPr>
          <w:sz w:val="20"/>
          <w:szCs w:val="20"/>
          <w:color w:val="auto"/>
        </w:rPr>
      </w:pPr>
      <w:r>
        <w:rPr>
          <w:rFonts w:ascii="Arial" w:cs="Arial" w:eastAsia="Arial" w:hAnsi="Arial"/>
          <w:sz w:val="14"/>
          <w:szCs w:val="14"/>
          <w:b w:val="1"/>
          <w:bCs w:val="1"/>
          <w:color w:val="auto"/>
        </w:rPr>
        <w:t>PENNANTPARK INVESTMENT CORPORATION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00" w:lineRule="exact"/>
        <w:rPr>
          <w:sz w:val="20"/>
          <w:szCs w:val="20"/>
          <w:color w:val="auto"/>
        </w:rPr>
      </w:pPr>
    </w:p>
    <w:p>
      <w:pPr>
        <w:jc w:val="both"/>
        <w:ind w:firstLine="898"/>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44" w:lineRule="exact"/>
        <w:rPr>
          <w:sz w:val="20"/>
          <w:szCs w:val="20"/>
          <w:color w:val="auto"/>
        </w:rPr>
      </w:pPr>
    </w:p>
    <w:p>
      <w:pPr>
        <w:jc w:val="both"/>
        <w:ind w:firstLine="898"/>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50"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All Covered Personnel must read and retain this Code.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235" w:lineRule="exact"/>
        <w:rPr>
          <w:sz w:val="20"/>
          <w:szCs w:val="20"/>
          <w:color w:val="auto"/>
        </w:rPr>
      </w:pPr>
    </w:p>
    <w:p>
      <w:pPr>
        <w:ind w:left="780" w:hanging="448"/>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 or the Adviser.</w:t>
      </w:r>
    </w:p>
    <w:p>
      <w:pPr>
        <w:spacing w:after="0" w:line="203" w:lineRule="exact"/>
        <w:rPr>
          <w:rFonts w:ascii="Arial" w:cs="Arial" w:eastAsia="Arial" w:hAnsi="Arial"/>
          <w:sz w:val="14"/>
          <w:szCs w:val="14"/>
          <w:color w:val="auto"/>
        </w:rPr>
      </w:pPr>
    </w:p>
    <w:p>
      <w:pPr>
        <w:jc w:val="both"/>
        <w:ind w:left="780" w:hanging="448"/>
        <w:spacing w:after="0" w:line="231"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83" w:lineRule="exact"/>
        <w:rPr>
          <w:rFonts w:ascii="Arial" w:cs="Arial" w:eastAsia="Arial" w:hAnsi="Arial"/>
          <w:sz w:val="14"/>
          <w:szCs w:val="14"/>
          <w:color w:val="auto"/>
        </w:rPr>
      </w:pPr>
    </w:p>
    <w:p>
      <w:pPr>
        <w:ind w:left="780" w:right="20" w:hanging="448"/>
        <w:spacing w:after="0" w:line="253"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73" w:lineRule="exact"/>
        <w:rPr>
          <w:rFonts w:ascii="Arial" w:cs="Arial" w:eastAsia="Arial" w:hAnsi="Arial"/>
          <w:sz w:val="14"/>
          <w:szCs w:val="14"/>
          <w:color w:val="auto"/>
        </w:rPr>
      </w:pPr>
    </w:p>
    <w:p>
      <w:pPr>
        <w:ind w:left="780" w:hanging="448"/>
        <w:spacing w:after="0" w:line="253"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73" w:lineRule="exact"/>
        <w:rPr>
          <w:rFonts w:ascii="Arial" w:cs="Arial" w:eastAsia="Arial" w:hAnsi="Arial"/>
          <w:sz w:val="14"/>
          <w:szCs w:val="14"/>
          <w:color w:val="auto"/>
        </w:rPr>
      </w:pPr>
    </w:p>
    <w:p>
      <w:pPr>
        <w:ind w:left="780" w:hanging="448"/>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203" w:lineRule="exact"/>
        <w:rPr>
          <w:rFonts w:ascii="Arial" w:cs="Arial" w:eastAsia="Arial" w:hAnsi="Arial"/>
          <w:sz w:val="14"/>
          <w:szCs w:val="14"/>
          <w:color w:val="auto"/>
        </w:rPr>
      </w:pPr>
    </w:p>
    <w:p>
      <w:pPr>
        <w:jc w:val="both"/>
        <w:ind w:left="780" w:hanging="448"/>
        <w:spacing w:after="0" w:line="248" w:lineRule="auto"/>
        <w:tabs>
          <w:tab w:leader="none" w:pos="7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72" w:lineRule="exact"/>
        <w:rPr>
          <w:rFonts w:ascii="Arial" w:cs="Arial" w:eastAsia="Arial" w:hAnsi="Arial"/>
          <w:sz w:val="13"/>
          <w:szCs w:val="13"/>
          <w:color w:val="auto"/>
        </w:rPr>
      </w:pPr>
    </w:p>
    <w:p>
      <w:pPr>
        <w:jc w:val="both"/>
        <w:ind w:left="800"/>
        <w:spacing w:after="0" w:line="247" w:lineRule="auto"/>
        <w:rPr>
          <w:rFonts w:ascii="Arial" w:cs="Arial" w:eastAsia="Arial" w:hAnsi="Arial"/>
          <w:sz w:val="13"/>
          <w:szCs w:val="13"/>
          <w:color w:val="auto"/>
        </w:rPr>
      </w:pPr>
      <w:r>
        <w:rPr>
          <w:rFonts w:ascii="Arial" w:cs="Arial" w:eastAsia="Arial" w:hAnsi="Arial"/>
          <w:sz w:val="13"/>
          <w:szCs w:val="13"/>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78" w:lineRule="exact"/>
        <w:rPr>
          <w:rFonts w:ascii="Arial" w:cs="Arial" w:eastAsia="Arial" w:hAnsi="Arial"/>
          <w:sz w:val="13"/>
          <w:szCs w:val="13"/>
          <w:color w:val="auto"/>
        </w:rPr>
      </w:pPr>
    </w:p>
    <w:p>
      <w:pPr>
        <w:ind w:left="780" w:hanging="448"/>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203" w:lineRule="exact"/>
        <w:rPr>
          <w:rFonts w:ascii="Arial" w:cs="Arial" w:eastAsia="Arial" w:hAnsi="Arial"/>
          <w:sz w:val="14"/>
          <w:szCs w:val="14"/>
          <w:color w:val="auto"/>
        </w:rPr>
      </w:pPr>
    </w:p>
    <w:p>
      <w:pPr>
        <w:ind w:left="780" w:hanging="448"/>
        <w:spacing w:after="0" w:line="253"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73" w:lineRule="exact"/>
        <w:rPr>
          <w:rFonts w:ascii="Arial" w:cs="Arial" w:eastAsia="Arial" w:hAnsi="Arial"/>
          <w:sz w:val="14"/>
          <w:szCs w:val="14"/>
          <w:color w:val="auto"/>
        </w:rPr>
      </w:pPr>
    </w:p>
    <w:p>
      <w:pPr>
        <w:ind w:left="780" w:hanging="448"/>
        <w:spacing w:after="0" w:line="253"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173" w:lineRule="exact"/>
        <w:rPr>
          <w:rFonts w:ascii="Arial" w:cs="Arial" w:eastAsia="Arial" w:hAnsi="Arial"/>
          <w:sz w:val="14"/>
          <w:szCs w:val="14"/>
          <w:color w:val="auto"/>
        </w:rPr>
      </w:pPr>
    </w:p>
    <w:p>
      <w:pPr>
        <w:ind w:left="780" w:hanging="448"/>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40"/>
          </w:cols>
          <w:pgMar w:left="320" w:top="118" w:right="339" w:bottom="1440" w:gutter="0" w:footer="0" w:header="0"/>
        </w:sectPr>
      </w:pPr>
    </w:p>
    <w:bookmarkStart w:id="89" w:name="page90"/>
    <w:bookmarkEnd w:id="89"/>
    <w:p>
      <w:pPr>
        <w:ind w:left="800" w:right="40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01" w:lineRule="exact"/>
        <w:rPr>
          <w:sz w:val="20"/>
          <w:szCs w:val="20"/>
          <w:color w:val="auto"/>
        </w:rPr>
      </w:pPr>
    </w:p>
    <w:p>
      <w:pPr>
        <w:ind w:left="780" w:hanging="448"/>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00"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3" w:lineRule="exact"/>
        <w:rPr>
          <w:sz w:val="20"/>
          <w:szCs w:val="20"/>
          <w:color w:val="auto"/>
        </w:rPr>
      </w:pPr>
    </w:p>
    <w:p>
      <w:pPr>
        <w:jc w:val="both"/>
        <w:ind w:firstLine="898"/>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95" w:lineRule="exact"/>
        <w:rPr>
          <w:sz w:val="20"/>
          <w:szCs w:val="20"/>
          <w:color w:val="auto"/>
        </w:rPr>
      </w:pPr>
    </w:p>
    <w:p>
      <w:pPr>
        <w:ind w:left="1340" w:hanging="549"/>
        <w:spacing w:after="0"/>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09" w:lineRule="exact"/>
        <w:rPr>
          <w:rFonts w:ascii="Arial" w:cs="Arial" w:eastAsia="Arial" w:hAnsi="Arial"/>
          <w:sz w:val="14"/>
          <w:szCs w:val="14"/>
          <w:color w:val="auto"/>
        </w:rPr>
      </w:pPr>
    </w:p>
    <w:p>
      <w:pPr>
        <w:ind w:left="1340" w:hanging="549"/>
        <w:spacing w:after="0" w:line="253" w:lineRule="auto"/>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9" w:lineRule="exact"/>
        <w:rPr>
          <w:rFonts w:ascii="Arial" w:cs="Arial" w:eastAsia="Arial" w:hAnsi="Arial"/>
          <w:sz w:val="14"/>
          <w:szCs w:val="14"/>
          <w:color w:val="auto"/>
        </w:rPr>
      </w:pPr>
    </w:p>
    <w:p>
      <w:pPr>
        <w:ind w:left="1340" w:hanging="549"/>
        <w:spacing w:after="0"/>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09" w:lineRule="exact"/>
        <w:rPr>
          <w:rFonts w:ascii="Arial" w:cs="Arial" w:eastAsia="Arial" w:hAnsi="Arial"/>
          <w:sz w:val="14"/>
          <w:szCs w:val="14"/>
          <w:color w:val="auto"/>
        </w:rPr>
      </w:pPr>
    </w:p>
    <w:p>
      <w:pPr>
        <w:ind w:left="1340" w:hanging="549"/>
        <w:spacing w:after="0"/>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96" w:lineRule="exact"/>
        <w:rPr>
          <w:sz w:val="20"/>
          <w:szCs w:val="20"/>
          <w:color w:val="auto"/>
        </w:rPr>
      </w:pPr>
    </w:p>
    <w:p>
      <w:pPr>
        <w:ind w:firstLine="898"/>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X below; or (2) administrative, civil and, in certain cases, criminal fines, sanctions or penalties.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Transactions in Personal Account</w:t>
      </w:r>
    </w:p>
    <w:p>
      <w:pPr>
        <w:spacing w:after="0" w:line="316" w:lineRule="exact"/>
        <w:rPr>
          <w:sz w:val="20"/>
          <w:szCs w:val="20"/>
          <w:color w:val="auto"/>
        </w:rPr>
      </w:pPr>
    </w:p>
    <w:p>
      <w:pPr>
        <w:jc w:val="both"/>
        <w:ind w:firstLine="898"/>
        <w:spacing w:after="0" w:line="255" w:lineRule="auto"/>
        <w:rPr>
          <w:sz w:val="20"/>
          <w:szCs w:val="20"/>
          <w:color w:val="auto"/>
        </w:rPr>
      </w:pPr>
      <w:r>
        <w:rPr>
          <w:rFonts w:ascii="Arial" w:cs="Arial" w:eastAsia="Arial" w:hAnsi="Arial"/>
          <w:sz w:val="13"/>
          <w:szCs w:val="13"/>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28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235" w:lineRule="exact"/>
        <w:rPr>
          <w:sz w:val="20"/>
          <w:szCs w:val="20"/>
          <w:color w:val="auto"/>
        </w:rPr>
      </w:pPr>
    </w:p>
    <w:p>
      <w:pPr>
        <w:jc w:val="both"/>
        <w:ind w:left="780" w:hanging="448"/>
        <w:spacing w:after="0" w:line="231"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210" w:lineRule="exact"/>
        <w:rPr>
          <w:rFonts w:ascii="Arial" w:cs="Arial" w:eastAsia="Arial" w:hAnsi="Arial"/>
          <w:sz w:val="14"/>
          <w:szCs w:val="14"/>
          <w:color w:val="auto"/>
        </w:rPr>
      </w:pPr>
    </w:p>
    <w:p>
      <w:pPr>
        <w:jc w:val="both"/>
        <w:ind w:left="780" w:hanging="448"/>
        <w:spacing w:after="0" w:line="238"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209" w:lineRule="exact"/>
        <w:rPr>
          <w:rFonts w:ascii="Arial" w:cs="Arial" w:eastAsia="Arial" w:hAnsi="Arial"/>
          <w:sz w:val="14"/>
          <w:szCs w:val="14"/>
          <w:color w:val="auto"/>
        </w:rPr>
      </w:pPr>
    </w:p>
    <w:p>
      <w:pPr>
        <w:jc w:val="both"/>
        <w:ind w:left="780" w:hanging="448"/>
        <w:spacing w:after="0" w:line="233" w:lineRule="auto"/>
        <w:tabs>
          <w:tab w:leader="none" w:pos="7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235" w:lineRule="exact"/>
        <w:rPr>
          <w:sz w:val="20"/>
          <w:szCs w:val="20"/>
          <w:color w:val="auto"/>
        </w:rPr>
      </w:pPr>
    </w:p>
    <w:p>
      <w:pPr>
        <w:ind w:left="780" w:hanging="448"/>
        <w:spacing w:after="0"/>
        <w:tabs>
          <w:tab w:leader="none" w:pos="7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96" w:lineRule="exact"/>
        <w:rPr>
          <w:sz w:val="20"/>
          <w:szCs w:val="20"/>
          <w:color w:val="auto"/>
        </w:rPr>
      </w:pPr>
    </w:p>
    <w:p>
      <w:pPr>
        <w:jc w:val="both"/>
        <w:ind w:firstLine="898"/>
        <w:spacing w:after="0" w:line="229"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212" w:lineRule="exact"/>
        <w:rPr>
          <w:sz w:val="20"/>
          <w:szCs w:val="20"/>
          <w:color w:val="auto"/>
        </w:rPr>
      </w:pPr>
    </w:p>
    <w:p>
      <w:pPr>
        <w:ind w:left="780" w:hanging="448"/>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96" w:lineRule="exact"/>
        <w:rPr>
          <w:sz w:val="20"/>
          <w:szCs w:val="20"/>
          <w:color w:val="auto"/>
        </w:rPr>
      </w:pPr>
    </w:p>
    <w:p>
      <w:pPr>
        <w:ind w:firstLine="898"/>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44" w:lineRule="exact"/>
        <w:rPr>
          <w:sz w:val="20"/>
          <w:szCs w:val="20"/>
          <w:color w:val="auto"/>
        </w:rPr>
      </w:pPr>
    </w:p>
    <w:p>
      <w:pPr>
        <w:ind w:right="20" w:firstLine="898"/>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6" w:lineRule="exact"/>
        <w:rPr>
          <w:sz w:val="20"/>
          <w:szCs w:val="20"/>
          <w:color w:val="auto"/>
        </w:rPr>
      </w:pPr>
    </w:p>
    <w:p>
      <w:pPr>
        <w:ind w:left="1120" w:hanging="214"/>
        <w:spacing w:after="0"/>
        <w:tabs>
          <w:tab w:leader="none" w:pos="11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95" w:lineRule="exact"/>
        <w:rPr>
          <w:rFonts w:ascii="Arial" w:cs="Arial" w:eastAsia="Arial" w:hAnsi="Arial"/>
          <w:sz w:val="14"/>
          <w:szCs w:val="14"/>
          <w:color w:val="auto"/>
        </w:rPr>
      </w:pPr>
    </w:p>
    <w:p>
      <w:pPr>
        <w:ind w:right="20" w:firstLine="906"/>
        <w:spacing w:after="0" w:line="253" w:lineRule="auto"/>
        <w:tabs>
          <w:tab w:leader="none" w:pos="110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ectPr>
          <w:pgSz w:w="11900" w:h="16838" w:orient="portrait"/>
          <w:cols w:equalWidth="0" w:num="1">
            <w:col w:w="11240"/>
          </w:cols>
          <w:pgMar w:left="320" w:top="269"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240"/>
          </w:cols>
          <w:pgMar w:left="320" w:top="269" w:right="339" w:bottom="1440" w:gutter="0" w:footer="0" w:header="0"/>
          <w:type w:val="continuous"/>
        </w:sectPr>
      </w:pPr>
    </w:p>
    <w:bookmarkStart w:id="90" w:name="page91"/>
    <w:bookmarkEnd w:id="90"/>
    <w:p>
      <w:pPr>
        <w:ind w:left="1120" w:hanging="214"/>
        <w:spacing w:after="0"/>
        <w:tabs>
          <w:tab w:leader="none" w:pos="1120" w:val="left"/>
        </w:tabs>
        <w:numPr>
          <w:ilvl w:val="1"/>
          <w:numId w:val="5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the report is submitted by the Access Person.</w:t>
      </w:r>
    </w:p>
    <w:p>
      <w:pPr>
        <w:spacing w:after="0" w:line="230" w:lineRule="exact"/>
        <w:rPr>
          <w:rFonts w:ascii="Arial" w:cs="Arial" w:eastAsia="Arial" w:hAnsi="Arial"/>
          <w:sz w:val="14"/>
          <w:szCs w:val="14"/>
          <w:color w:val="auto"/>
        </w:rPr>
      </w:pPr>
    </w:p>
    <w:p>
      <w:pPr>
        <w:ind w:left="780" w:hanging="448"/>
        <w:spacing w:after="0"/>
        <w:tabs>
          <w:tab w:leader="none" w:pos="7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96" w:lineRule="exact"/>
        <w:rPr>
          <w:sz w:val="20"/>
          <w:szCs w:val="20"/>
          <w:color w:val="auto"/>
        </w:rPr>
      </w:pPr>
    </w:p>
    <w:p>
      <w:pPr>
        <w:jc w:val="both"/>
        <w:ind w:firstLine="898"/>
        <w:spacing w:after="0" w:line="231" w:lineRule="auto"/>
        <w:rPr>
          <w:sz w:val="20"/>
          <w:szCs w:val="20"/>
          <w:color w:val="auto"/>
        </w:rPr>
      </w:pPr>
      <w:r>
        <w:rPr>
          <w:rFonts w:ascii="Arial" w:cs="Arial" w:eastAsia="Arial" w:hAnsi="Arial"/>
          <w:sz w:val="14"/>
          <w:szCs w:val="14"/>
          <w:color w:val="auto"/>
        </w:rPr>
        <w:t>Notwithstanding the reporting requirements set forth in this Section VI, an Independent Director who would be required to make a report under this Section VI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211" w:lineRule="exact"/>
        <w:rPr>
          <w:sz w:val="20"/>
          <w:szCs w:val="20"/>
          <w:color w:val="auto"/>
        </w:rPr>
      </w:pPr>
    </w:p>
    <w:p>
      <w:pPr>
        <w:ind w:left="780" w:hanging="448"/>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96" w:lineRule="exact"/>
        <w:rPr>
          <w:sz w:val="20"/>
          <w:szCs w:val="20"/>
          <w:color w:val="auto"/>
        </w:rPr>
      </w:pPr>
    </w:p>
    <w:p>
      <w:pPr>
        <w:ind w:right="20" w:firstLine="898"/>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201" w:lineRule="exact"/>
        <w:rPr>
          <w:sz w:val="20"/>
          <w:szCs w:val="20"/>
          <w:color w:val="auto"/>
        </w:rPr>
      </w:pPr>
    </w:p>
    <w:p>
      <w:pPr>
        <w:ind w:left="780" w:hanging="448"/>
        <w:spacing w:after="0"/>
        <w:tabs>
          <w:tab w:leader="none" w:pos="7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Access Persons, except Independent Directors, shall:</w:t>
      </w:r>
    </w:p>
    <w:p>
      <w:pPr>
        <w:spacing w:after="0" w:line="96" w:lineRule="exact"/>
        <w:rPr>
          <w:sz w:val="20"/>
          <w:szCs w:val="20"/>
          <w:color w:val="auto"/>
        </w:rPr>
      </w:pPr>
    </w:p>
    <w:p>
      <w:pPr>
        <w:jc w:val="both"/>
        <w:ind w:firstLine="906"/>
        <w:spacing w:after="0" w:line="238" w:lineRule="auto"/>
        <w:tabs>
          <w:tab w:leader="none" w:pos="1118" w:val="left"/>
        </w:tabs>
        <w:numPr>
          <w:ilvl w:val="1"/>
          <w:numId w:val="62"/>
        </w:numPr>
        <w:rPr>
          <w:rFonts w:ascii="Arial" w:cs="Arial" w:eastAsia="Arial" w:hAnsi="Arial"/>
          <w:sz w:val="14"/>
          <w:szCs w:val="14"/>
          <w:color w:val="auto"/>
        </w:rPr>
      </w:pPr>
      <w:r>
        <w:rPr>
          <w:rFonts w:ascii="Arial" w:cs="Arial" w:eastAsia="Arial" w:hAnsi="Arial"/>
          <w:sz w:val="14"/>
          <w:szCs w:val="14"/>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82" w:lineRule="exact"/>
        <w:rPr>
          <w:rFonts w:ascii="Arial" w:cs="Arial" w:eastAsia="Arial" w:hAnsi="Arial"/>
          <w:sz w:val="14"/>
          <w:szCs w:val="14"/>
          <w:color w:val="auto"/>
        </w:rPr>
      </w:pPr>
    </w:p>
    <w:p>
      <w:pPr>
        <w:ind w:left="1120" w:hanging="214"/>
        <w:spacing w:after="0"/>
        <w:tabs>
          <w:tab w:leader="none" w:pos="11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203" w:lineRule="exact"/>
        <w:rPr>
          <w:rFonts w:ascii="Arial" w:cs="Arial" w:eastAsia="Arial" w:hAnsi="Arial"/>
          <w:sz w:val="14"/>
          <w:szCs w:val="14"/>
          <w:color w:val="auto"/>
        </w:rPr>
      </w:pPr>
    </w:p>
    <w:p>
      <w:pPr>
        <w:ind w:left="1120" w:hanging="214"/>
        <w:spacing w:after="0"/>
        <w:tabs>
          <w:tab w:leader="none" w:pos="1120" w:val="left"/>
        </w:tabs>
        <w:numPr>
          <w:ilvl w:val="1"/>
          <w:numId w:val="62"/>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230" w:lineRule="exact"/>
        <w:rPr>
          <w:rFonts w:ascii="Arial" w:cs="Arial" w:eastAsia="Arial" w:hAnsi="Arial"/>
          <w:sz w:val="14"/>
          <w:szCs w:val="14"/>
          <w:color w:val="auto"/>
        </w:rPr>
      </w:pPr>
    </w:p>
    <w:p>
      <w:pPr>
        <w:ind w:left="780" w:hanging="448"/>
        <w:spacing w:after="0"/>
        <w:tabs>
          <w:tab w:leader="none" w:pos="7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96" w:lineRule="exact"/>
        <w:rPr>
          <w:sz w:val="20"/>
          <w:szCs w:val="20"/>
          <w:color w:val="auto"/>
        </w:rPr>
      </w:pPr>
    </w:p>
    <w:p>
      <w:pPr>
        <w:ind w:firstLine="898"/>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201" w:lineRule="exact"/>
        <w:rPr>
          <w:sz w:val="20"/>
          <w:szCs w:val="20"/>
          <w:color w:val="auto"/>
        </w:rPr>
      </w:pPr>
    </w:p>
    <w:p>
      <w:pPr>
        <w:ind w:left="780" w:hanging="448"/>
        <w:spacing w:after="0"/>
        <w:tabs>
          <w:tab w:leader="none" w:pos="7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96"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210" w:lineRule="exact"/>
        <w:rPr>
          <w:sz w:val="20"/>
          <w:szCs w:val="20"/>
          <w:color w:val="auto"/>
        </w:rPr>
      </w:pPr>
    </w:p>
    <w:p>
      <w:pPr>
        <w:ind w:left="780" w:hanging="448"/>
        <w:spacing w:after="0"/>
        <w:tabs>
          <w:tab w:leader="none" w:pos="7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231" w:lineRule="exact"/>
        <w:rPr>
          <w:sz w:val="20"/>
          <w:szCs w:val="20"/>
          <w:color w:val="auto"/>
        </w:rPr>
      </w:pPr>
    </w:p>
    <w:p>
      <w:pPr>
        <w:ind w:left="780" w:hanging="448"/>
        <w:spacing w:after="0"/>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96" w:lineRule="exact"/>
        <w:rPr>
          <w:sz w:val="20"/>
          <w:szCs w:val="20"/>
          <w:color w:val="auto"/>
        </w:rPr>
      </w:pPr>
    </w:p>
    <w:p>
      <w:pPr>
        <w:ind w:firstLine="898"/>
        <w:spacing w:after="0" w:line="253" w:lineRule="auto"/>
        <w:rPr>
          <w:sz w:val="20"/>
          <w:szCs w:val="20"/>
          <w:color w:val="auto"/>
        </w:rPr>
      </w:pPr>
      <w:r>
        <w:rPr>
          <w:rFonts w:ascii="Arial" w:cs="Arial" w:eastAsia="Arial" w:hAnsi="Arial"/>
          <w:sz w:val="14"/>
          <w:szCs w:val="14"/>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235" w:lineRule="exact"/>
        <w:rPr>
          <w:sz w:val="20"/>
          <w:szCs w:val="20"/>
          <w:color w:val="auto"/>
        </w:rPr>
      </w:pPr>
    </w:p>
    <w:p>
      <w:pPr>
        <w:ind w:left="780" w:hanging="448"/>
        <w:spacing w:after="0"/>
        <w:tabs>
          <w:tab w:leader="none" w:pos="7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96"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210" w:lineRule="exact"/>
        <w:rPr>
          <w:sz w:val="20"/>
          <w:szCs w:val="20"/>
          <w:color w:val="auto"/>
        </w:rPr>
      </w:pPr>
    </w:p>
    <w:p>
      <w:pPr>
        <w:ind w:left="780" w:hanging="448"/>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96"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210" w:lineRule="exact"/>
        <w:rPr>
          <w:sz w:val="20"/>
          <w:szCs w:val="20"/>
          <w:color w:val="auto"/>
        </w:rPr>
      </w:pPr>
    </w:p>
    <w:p>
      <w:pPr>
        <w:ind w:left="780" w:hanging="448"/>
        <w:spacing w:after="0"/>
        <w:tabs>
          <w:tab w:leader="none" w:pos="7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Gratuities.</w:t>
      </w:r>
    </w:p>
    <w:p>
      <w:pPr>
        <w:spacing w:after="0" w:line="96" w:lineRule="exact"/>
        <w:rPr>
          <w:sz w:val="20"/>
          <w:szCs w:val="20"/>
          <w:color w:val="auto"/>
        </w:rPr>
      </w:pPr>
    </w:p>
    <w:p>
      <w:pPr>
        <w:jc w:val="both"/>
        <w:ind w:firstLine="898"/>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00" w:lineRule="exact"/>
        <w:rPr>
          <w:sz w:val="20"/>
          <w:szCs w:val="20"/>
          <w:color w:val="auto"/>
        </w:rPr>
      </w:pPr>
    </w:p>
    <w:p>
      <w:pPr>
        <w:jc w:val="both"/>
        <w:ind w:firstLine="898"/>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204" w:lineRule="exact"/>
        <w:rPr>
          <w:sz w:val="20"/>
          <w:szCs w:val="20"/>
          <w:color w:val="auto"/>
        </w:rPr>
      </w:pPr>
    </w:p>
    <w:p>
      <w:pPr>
        <w:ind w:left="780" w:hanging="448"/>
        <w:spacing w:after="0" w:line="253"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200" w:lineRule="exact"/>
        <w:rPr>
          <w:rFonts w:ascii="Arial" w:cs="Arial" w:eastAsia="Arial" w:hAnsi="Arial"/>
          <w:sz w:val="14"/>
          <w:szCs w:val="14"/>
          <w:color w:val="auto"/>
        </w:rPr>
      </w:pPr>
    </w:p>
    <w:p>
      <w:pPr>
        <w:jc w:val="both"/>
        <w:ind w:left="780" w:hanging="448"/>
        <w:spacing w:after="0" w:line="231" w:lineRule="auto"/>
        <w:tabs>
          <w:tab w:leader="none" w:pos="7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w:t>
      </w:r>
    </w:p>
    <w:p>
      <w:pPr>
        <w:sectPr>
          <w:pgSz w:w="11900" w:h="16838" w:orient="portrait"/>
          <w:cols w:equalWidth="0" w:num="1">
            <w:col w:w="11240"/>
          </w:cols>
          <w:pgMar w:left="320" w:top="269" w:right="33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240"/>
          </w:cols>
          <w:pgMar w:left="320" w:top="269" w:right="339" w:bottom="1440" w:gutter="0" w:footer="0" w:header="0"/>
          <w:type w:val="continuous"/>
        </w:sectPr>
      </w:pPr>
    </w:p>
    <w:bookmarkStart w:id="91" w:name="page92"/>
    <w:bookmarkEnd w:id="91"/>
    <w:p>
      <w:pPr>
        <w:ind w:left="800" w:right="60"/>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210" w:lineRule="exact"/>
        <w:rPr>
          <w:sz w:val="20"/>
          <w:szCs w:val="20"/>
          <w:color w:val="auto"/>
        </w:rPr>
      </w:pPr>
    </w:p>
    <w:p>
      <w:pPr>
        <w:jc w:val="both"/>
        <w:ind w:left="780" w:hanging="448"/>
        <w:spacing w:after="0" w:line="238" w:lineRule="auto"/>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209" w:lineRule="exact"/>
        <w:rPr>
          <w:rFonts w:ascii="Arial" w:cs="Arial" w:eastAsia="Arial" w:hAnsi="Arial"/>
          <w:sz w:val="14"/>
          <w:szCs w:val="14"/>
          <w:color w:val="auto"/>
        </w:rPr>
      </w:pPr>
    </w:p>
    <w:p>
      <w:pPr>
        <w:jc w:val="both"/>
        <w:ind w:left="780" w:hanging="448"/>
        <w:spacing w:after="0" w:line="238" w:lineRule="auto"/>
        <w:tabs>
          <w:tab w:leader="none" w:pos="7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209" w:lineRule="exact"/>
        <w:rPr>
          <w:rFonts w:ascii="Arial" w:cs="Arial" w:eastAsia="Arial" w:hAnsi="Arial"/>
          <w:sz w:val="14"/>
          <w:szCs w:val="14"/>
          <w:color w:val="auto"/>
        </w:rPr>
      </w:pPr>
    </w:p>
    <w:p>
      <w:pPr>
        <w:ind w:left="1120" w:hanging="329"/>
        <w:spacing w:after="0"/>
        <w:tabs>
          <w:tab w:leader="none" w:pos="11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210" w:lineRule="exact"/>
        <w:rPr>
          <w:sz w:val="20"/>
          <w:szCs w:val="20"/>
          <w:color w:val="auto"/>
        </w:rPr>
      </w:pPr>
    </w:p>
    <w:p>
      <w:pPr>
        <w:jc w:val="both"/>
        <w:ind w:left="780" w:hanging="448"/>
        <w:spacing w:after="0" w:line="228" w:lineRule="auto"/>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211" w:lineRule="exact"/>
        <w:rPr>
          <w:rFonts w:ascii="Arial" w:cs="Arial" w:eastAsia="Arial" w:hAnsi="Arial"/>
          <w:sz w:val="14"/>
          <w:szCs w:val="14"/>
          <w:color w:val="auto"/>
        </w:rPr>
      </w:pPr>
    </w:p>
    <w:p>
      <w:pPr>
        <w:jc w:val="both"/>
        <w:ind w:left="780" w:hanging="448"/>
        <w:spacing w:after="0" w:line="229" w:lineRule="auto"/>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235" w:lineRule="exact"/>
        <w:rPr>
          <w:sz w:val="20"/>
          <w:szCs w:val="20"/>
          <w:color w:val="auto"/>
        </w:rPr>
      </w:pPr>
    </w:p>
    <w:p>
      <w:pPr>
        <w:ind w:left="780" w:hanging="448"/>
        <w:spacing w:after="0"/>
        <w:tabs>
          <w:tab w:leader="none" w:pos="7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96" w:lineRule="exact"/>
        <w:rPr>
          <w:sz w:val="20"/>
          <w:szCs w:val="20"/>
          <w:color w:val="auto"/>
        </w:rPr>
      </w:pPr>
    </w:p>
    <w:p>
      <w:pPr>
        <w:ind w:firstLine="898"/>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79" w:lineRule="exact"/>
        <w:rPr>
          <w:sz w:val="20"/>
          <w:szCs w:val="20"/>
          <w:color w:val="auto"/>
        </w:rPr>
      </w:pPr>
    </w:p>
    <w:p>
      <w:pPr>
        <w:ind w:left="780" w:hanging="448"/>
        <w:spacing w:after="0"/>
        <w:tabs>
          <w:tab w:leader="none" w:pos="7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No less frequently than annually, the Corporation and the Adviser must furnish to the Corporation’s board of directors, and the board must consider, a written report that:</w:t>
      </w:r>
    </w:p>
    <w:p>
      <w:pPr>
        <w:spacing w:after="0" w:line="11" w:lineRule="exact"/>
        <w:rPr>
          <w:sz w:val="20"/>
          <w:szCs w:val="20"/>
          <w:color w:val="auto"/>
        </w:rPr>
      </w:pPr>
    </w:p>
    <w:p>
      <w:pPr>
        <w:jc w:val="both"/>
        <w:ind w:firstLine="8"/>
        <w:spacing w:after="0" w:line="232" w:lineRule="auto"/>
        <w:tabs>
          <w:tab w:leader="none" w:pos="238" w:val="left"/>
        </w:tabs>
        <w:numPr>
          <w:ilvl w:val="0"/>
          <w:numId w:val="75"/>
        </w:numPr>
        <w:rPr>
          <w:rFonts w:ascii="Arial" w:cs="Arial" w:eastAsia="Arial" w:hAnsi="Arial"/>
          <w:sz w:val="14"/>
          <w:szCs w:val="14"/>
          <w:color w:val="auto"/>
        </w:rPr>
      </w:pPr>
      <w:r>
        <w:rPr>
          <w:rFonts w:ascii="Arial" w:cs="Arial" w:eastAsia="Arial" w:hAnsi="Arial"/>
          <w:sz w:val="14"/>
          <w:szCs w:val="14"/>
          <w:color w:val="auto"/>
        </w:rPr>
        <w:t>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00" w:lineRule="exact"/>
        <w:rPr>
          <w:sz w:val="20"/>
          <w:szCs w:val="20"/>
          <w:color w:val="auto"/>
        </w:rPr>
      </w:pPr>
    </w:p>
    <w:p>
      <w:pPr>
        <w:jc w:val="both"/>
        <w:ind w:firstLine="898"/>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780" w:hanging="448"/>
        <w:spacing w:after="0"/>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780" w:hanging="448"/>
        <w:spacing w:after="0"/>
        <w:tabs>
          <w:tab w:leader="none" w:pos="7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rFonts w:ascii="Arial" w:cs="Arial" w:eastAsia="Arial" w:hAnsi="Arial"/>
          <w:sz w:val="14"/>
          <w:szCs w:val="14"/>
          <w:color w:val="auto"/>
        </w:rPr>
      </w:pPr>
    </w:p>
    <w:p>
      <w:pPr>
        <w:jc w:val="both"/>
        <w:ind w:firstLine="906"/>
        <w:spacing w:after="0" w:line="238" w:lineRule="auto"/>
        <w:tabs>
          <w:tab w:leader="none" w:pos="1127" w:val="left"/>
        </w:tabs>
        <w:numPr>
          <w:ilvl w:val="1"/>
          <w:numId w:val="76"/>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firstLine="906"/>
        <w:spacing w:after="0" w:line="253" w:lineRule="auto"/>
        <w:tabs>
          <w:tab w:leader="none" w:pos="1115" w:val="left"/>
        </w:tabs>
        <w:numPr>
          <w:ilvl w:val="1"/>
          <w:numId w:val="76"/>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1"/>
          <w:numId w:val="76"/>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5" w:lineRule="exact"/>
        <w:rPr>
          <w:rFonts w:ascii="Arial" w:cs="Arial" w:eastAsia="Arial" w:hAnsi="Arial"/>
          <w:sz w:val="14"/>
          <w:szCs w:val="14"/>
          <w:color w:val="auto"/>
        </w:rPr>
      </w:pPr>
    </w:p>
    <w:p>
      <w:pPr>
        <w:ind w:firstLine="906"/>
        <w:spacing w:after="0" w:line="253" w:lineRule="auto"/>
        <w:tabs>
          <w:tab w:leader="none" w:pos="1123" w:val="left"/>
        </w:tabs>
        <w:numPr>
          <w:ilvl w:val="1"/>
          <w:numId w:val="76"/>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120" w:hanging="214"/>
        <w:spacing w:after="0"/>
        <w:tabs>
          <w:tab w:leader="none" w:pos="1120" w:val="left"/>
        </w:tabs>
        <w:numPr>
          <w:ilvl w:val="1"/>
          <w:numId w:val="76"/>
        </w:numPr>
        <w:rPr>
          <w:rFonts w:ascii="Arial" w:cs="Arial" w:eastAsia="Arial" w:hAnsi="Arial"/>
          <w:sz w:val="13"/>
          <w:szCs w:val="13"/>
          <w:color w:val="auto"/>
        </w:rPr>
      </w:pPr>
      <w:r>
        <w:rPr>
          <w:rFonts w:ascii="Arial" w:cs="Arial" w:eastAsia="Arial" w:hAnsi="Arial"/>
          <w:sz w:val="13"/>
          <w:szCs w:val="13"/>
          <w:color w:val="auto"/>
        </w:rPr>
        <w:t>Issuance either personally or with the assistance of counsel as may be appropriate, of any interpretation of this Code that may appear consistent with the objectives of Rule 17j-</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 and this Code;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40"/>
          </w:cols>
          <w:pgMar w:left="320" w:top="269" w:right="339" w:bottom="1440" w:gutter="0" w:footer="0" w:header="0"/>
        </w:sectPr>
      </w:pPr>
    </w:p>
    <w:bookmarkStart w:id="92" w:name="page93"/>
    <w:bookmarkEnd w:id="92"/>
    <w:p>
      <w:pPr>
        <w:ind w:firstLine="906"/>
        <w:spacing w:after="0" w:line="253" w:lineRule="auto"/>
        <w:tabs>
          <w:tab w:leader="none" w:pos="1113" w:val="left"/>
        </w:tabs>
        <w:numPr>
          <w:ilvl w:val="1"/>
          <w:numId w:val="7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firstLine="906"/>
        <w:spacing w:after="0" w:line="253" w:lineRule="auto"/>
        <w:tabs>
          <w:tab w:leader="none" w:pos="1106" w:val="left"/>
        </w:tabs>
        <w:numPr>
          <w:ilvl w:val="1"/>
          <w:numId w:val="77"/>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rFonts w:ascii="Arial" w:cs="Arial" w:eastAsia="Arial" w:hAnsi="Arial"/>
          <w:sz w:val="14"/>
          <w:szCs w:val="14"/>
          <w:color w:val="auto"/>
        </w:rPr>
      </w:pPr>
    </w:p>
    <w:p>
      <w:pPr>
        <w:ind w:left="780" w:hanging="448"/>
        <w:spacing w:after="0"/>
        <w:tabs>
          <w:tab w:leader="none" w:pos="7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Chief Financial Officer shall maintain and cause to be maintained in an easily accessible place at the principal place of business of the 17j-1 Organization, the following records:</w:t>
      </w:r>
    </w:p>
    <w:p>
      <w:pPr>
        <w:spacing w:after="0" w:line="134" w:lineRule="exact"/>
        <w:rPr>
          <w:rFonts w:ascii="Arial" w:cs="Arial" w:eastAsia="Arial" w:hAnsi="Arial"/>
          <w:sz w:val="13"/>
          <w:szCs w:val="13"/>
          <w:color w:val="auto"/>
        </w:rPr>
      </w:pPr>
    </w:p>
    <w:p>
      <w:pPr>
        <w:ind w:firstLine="906"/>
        <w:spacing w:after="0" w:line="253" w:lineRule="auto"/>
        <w:tabs>
          <w:tab w:leader="none" w:pos="1105"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1120" w:hanging="214"/>
        <w:spacing w:after="0"/>
        <w:tabs>
          <w:tab w:leader="none" w:pos="11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violation occurs;</w:t>
      </w:r>
    </w:p>
    <w:p>
      <w:pPr>
        <w:spacing w:after="0" w:line="124" w:lineRule="exact"/>
        <w:rPr>
          <w:rFonts w:ascii="Arial" w:cs="Arial" w:eastAsia="Arial" w:hAnsi="Arial"/>
          <w:sz w:val="13"/>
          <w:szCs w:val="13"/>
          <w:color w:val="auto"/>
        </w:rPr>
      </w:pPr>
    </w:p>
    <w:p>
      <w:pPr>
        <w:ind w:firstLine="906"/>
        <w:spacing w:after="0" w:line="253" w:lineRule="auto"/>
        <w:tabs>
          <w:tab w:leader="none" w:pos="1105"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92" w:lineRule="exact"/>
        <w:rPr>
          <w:rFonts w:ascii="Arial" w:cs="Arial" w:eastAsia="Arial" w:hAnsi="Arial"/>
          <w:sz w:val="14"/>
          <w:szCs w:val="14"/>
          <w:color w:val="auto"/>
        </w:rPr>
      </w:pPr>
    </w:p>
    <w:p>
      <w:pPr>
        <w:ind w:firstLine="906"/>
        <w:spacing w:after="0" w:line="253" w:lineRule="auto"/>
        <w:tabs>
          <w:tab w:leader="none" w:pos="1105"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right="20" w:firstLine="906"/>
        <w:spacing w:after="0" w:line="253" w:lineRule="auto"/>
        <w:tabs>
          <w:tab w:leader="none" w:pos="1105"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firstLine="906"/>
        <w:spacing w:after="0" w:line="253" w:lineRule="auto"/>
        <w:tabs>
          <w:tab w:leader="none" w:pos="1107"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92" w:lineRule="exact"/>
        <w:rPr>
          <w:rFonts w:ascii="Arial" w:cs="Arial" w:eastAsia="Arial" w:hAnsi="Arial"/>
          <w:sz w:val="14"/>
          <w:szCs w:val="14"/>
          <w:color w:val="auto"/>
        </w:rPr>
      </w:pPr>
    </w:p>
    <w:p>
      <w:pPr>
        <w:ind w:right="20" w:firstLine="906"/>
        <w:spacing w:after="0" w:line="253" w:lineRule="auto"/>
        <w:tabs>
          <w:tab w:leader="none" w:pos="1118" w:val="left"/>
        </w:tabs>
        <w:numPr>
          <w:ilvl w:val="1"/>
          <w:numId w:val="78"/>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rFonts w:ascii="Arial" w:cs="Arial" w:eastAsia="Arial" w:hAnsi="Arial"/>
          <w:sz w:val="14"/>
          <w:szCs w:val="14"/>
          <w:color w:val="auto"/>
        </w:rPr>
      </w:pPr>
    </w:p>
    <w:p>
      <w:pPr>
        <w:ind w:left="780" w:hanging="448"/>
        <w:spacing w:after="0"/>
        <w:tabs>
          <w:tab w:leader="none" w:pos="7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20" w:firstLine="898"/>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40"/>
          </w:cols>
          <w:pgMar w:left="320" w:top="26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gridSpan w:val="2"/>
          </w:tcPr>
          <w:p>
            <w:pPr>
              <w:ind w:left="74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4"/>
                <w:szCs w:val="24"/>
                <w:color w:val="auto"/>
              </w:rPr>
            </w:pPr>
          </w:p>
        </w:tc>
        <w:tc>
          <w:tcPr>
            <w:tcW w:w="6980" w:type="dxa"/>
            <w:vAlign w:val="bottom"/>
            <w:gridSpan w:val="4"/>
          </w:tcPr>
          <w:p>
            <w:pPr>
              <w:ind w:left="46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354"/>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SBIC GP, LLC (Delaware)</w:t>
            </w:r>
          </w:p>
        </w:tc>
        <w:tc>
          <w:tcPr>
            <w:tcW w:w="40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108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PennantPark SBIC LP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Acentia, LLC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(3)</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CI (FBM) Investment Holdings LLC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ecoserve, LLC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Power Products Holdings, LLC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RAM Energy LLC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PNNT Transportation 100 Holdco, LLC (Delaware)</w:t>
            </w:r>
          </w:p>
        </w:tc>
        <w:tc>
          <w:tcPr>
            <w:tcW w:w="6980" w:type="dxa"/>
            <w:vAlign w:val="bottom"/>
            <w:gridSpan w:val="4"/>
            <w:shd w:val="clear" w:color="auto" w:fill="CCEEFF"/>
          </w:tcPr>
          <w:p>
            <w:pPr>
              <w:ind w:left="64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SuttonPark Holdings, Inc. (Delaware)</w:t>
            </w:r>
          </w:p>
        </w:tc>
        <w:tc>
          <w:tcPr>
            <w:tcW w:w="6980" w:type="dxa"/>
            <w:vAlign w:val="bottom"/>
            <w:gridSpan w:val="4"/>
          </w:tcPr>
          <w:p>
            <w:pPr>
              <w:ind w:left="642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(4)</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Capital LLC (Delaware)</w:t>
            </w:r>
          </w:p>
        </w:tc>
        <w:tc>
          <w:tcPr>
            <w:tcW w:w="40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 xml:space="preserve">N/A </w:t>
            </w: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37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LLC which is effectively wholly-owned by us.</w:t>
      </w:r>
    </w:p>
    <w:p>
      <w:pPr>
        <w:ind w:left="340" w:hanging="332"/>
        <w:spacing w:after="0" w:line="221"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340" w:hanging="332"/>
        <w:spacing w:after="0" w:line="221"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340" w:hanging="332"/>
        <w:spacing w:after="0" w:line="221" w:lineRule="auto"/>
        <w:tabs>
          <w:tab w:leader="none" w:pos="3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ind w:left="340" w:hanging="332"/>
        <w:spacing w:after="0"/>
        <w:tabs>
          <w:tab w:leader="none" w:pos="340" w:val="left"/>
        </w:tabs>
        <w:numPr>
          <w:ilvl w:val="0"/>
          <w:numId w:val="79"/>
        </w:numPr>
        <w:rPr>
          <w:rFonts w:ascii="Arial" w:cs="Arial" w:eastAsia="Arial" w:hAnsi="Arial"/>
          <w:sz w:val="12"/>
          <w:szCs w:val="12"/>
          <w:color w:val="auto"/>
        </w:rPr>
      </w:pPr>
      <w:r>
        <w:rPr>
          <w:rFonts w:ascii="Arial" w:cs="Arial" w:eastAsia="Arial" w:hAnsi="Arial"/>
          <w:sz w:val="14"/>
          <w:szCs w:val="14"/>
          <w:color w:val="auto"/>
        </w:rPr>
        <w:t>The entity is indirectly owned by us and directly owned by SuttonPark Holdings, Inc.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31.1</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96" w:lineRule="exact"/>
        <w:rPr>
          <w:sz w:val="20"/>
          <w:szCs w:val="20"/>
          <w:color w:val="auto"/>
        </w:rPr>
      </w:pPr>
    </w:p>
    <w:p>
      <w:pPr>
        <w:ind w:left="260" w:hanging="140"/>
        <w:spacing w:after="0"/>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63" w:lineRule="exact"/>
        <w:rPr>
          <w:rFonts w:ascii="Arial" w:cs="Arial" w:eastAsia="Arial" w:hAnsi="Arial"/>
          <w:sz w:val="14"/>
          <w:szCs w:val="14"/>
          <w:color w:val="auto"/>
        </w:rPr>
      </w:pPr>
    </w:p>
    <w:p>
      <w:pPr>
        <w:ind w:left="120" w:right="760"/>
        <w:spacing w:after="0" w:line="253" w:lineRule="auto"/>
        <w:tabs>
          <w:tab w:leader="none" w:pos="2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120" w:right="220"/>
        <w:spacing w:after="0" w:line="253" w:lineRule="auto"/>
        <w:tabs>
          <w:tab w:leader="none" w:pos="2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120" w:right="60"/>
        <w:spacing w:after="0" w:line="253" w:lineRule="auto"/>
        <w:tabs>
          <w:tab w:leader="none" w:pos="2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4"/>
          <w:szCs w:val="14"/>
          <w:color w:val="auto"/>
        </w:rPr>
      </w:pPr>
    </w:p>
    <w:p>
      <w:pPr>
        <w:ind w:left="240" w:right="180" w:hanging="8"/>
        <w:spacing w:after="0" w:line="290" w:lineRule="auto"/>
        <w:tabs>
          <w:tab w:leader="none" w:pos="388"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3" w:lineRule="exact"/>
        <w:rPr>
          <w:rFonts w:ascii="Arial" w:cs="Arial" w:eastAsia="Arial" w:hAnsi="Arial"/>
          <w:sz w:val="13"/>
          <w:szCs w:val="13"/>
          <w:color w:val="auto"/>
        </w:rPr>
      </w:pPr>
    </w:p>
    <w:p>
      <w:pPr>
        <w:ind w:left="240" w:right="400" w:hanging="8"/>
        <w:spacing w:after="0" w:line="290" w:lineRule="auto"/>
        <w:tabs>
          <w:tab w:leader="none" w:pos="396" w:val="left"/>
        </w:tabs>
        <w:numPr>
          <w:ilvl w:val="1"/>
          <w:numId w:val="8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43" w:lineRule="exact"/>
        <w:rPr>
          <w:rFonts w:ascii="Arial" w:cs="Arial" w:eastAsia="Arial" w:hAnsi="Arial"/>
          <w:sz w:val="13"/>
          <w:szCs w:val="13"/>
          <w:color w:val="auto"/>
        </w:rPr>
      </w:pPr>
    </w:p>
    <w:p>
      <w:pPr>
        <w:ind w:left="240" w:right="600" w:hanging="8"/>
        <w:spacing w:after="0" w:line="253" w:lineRule="auto"/>
        <w:tabs>
          <w:tab w:leader="none" w:pos="388" w:val="left"/>
        </w:tabs>
        <w:numPr>
          <w:ilvl w:val="1"/>
          <w:numId w:val="8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4"/>
          <w:szCs w:val="14"/>
          <w:color w:val="auto"/>
        </w:rPr>
      </w:pPr>
    </w:p>
    <w:p>
      <w:pPr>
        <w:ind w:left="240" w:right="220" w:hanging="8"/>
        <w:spacing w:after="0" w:line="290" w:lineRule="auto"/>
        <w:tabs>
          <w:tab w:leader="none" w:pos="396"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left="120" w:right="560"/>
        <w:spacing w:after="0" w:line="253" w:lineRule="auto"/>
        <w:tabs>
          <w:tab w:leader="none" w:pos="2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4"/>
          <w:szCs w:val="14"/>
          <w:color w:val="auto"/>
        </w:rPr>
      </w:pPr>
    </w:p>
    <w:p>
      <w:pPr>
        <w:ind w:left="240" w:right="280" w:hanging="8"/>
        <w:spacing w:after="0" w:line="253" w:lineRule="auto"/>
        <w:tabs>
          <w:tab w:leader="none" w:pos="388" w:val="left"/>
        </w:tabs>
        <w:numPr>
          <w:ilvl w:val="1"/>
          <w:numId w:val="8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4"/>
          <w:szCs w:val="14"/>
          <w:color w:val="auto"/>
        </w:rPr>
      </w:pPr>
    </w:p>
    <w:p>
      <w:pPr>
        <w:ind w:left="380" w:hanging="148"/>
        <w:spacing w:after="0"/>
        <w:tabs>
          <w:tab w:leader="none" w:pos="380" w:val="left"/>
        </w:tabs>
        <w:numPr>
          <w:ilvl w:val="1"/>
          <w:numId w:val="8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12, 2014</w:t>
      </w:r>
    </w:p>
    <w:p>
      <w:pPr>
        <w:spacing w:after="0" w:line="204" w:lineRule="exact"/>
        <w:rPr>
          <w:sz w:val="20"/>
          <w:szCs w:val="20"/>
          <w:color w:val="auto"/>
        </w:rPr>
      </w:pPr>
    </w:p>
    <w:p>
      <w:pPr>
        <w:spacing w:after="0"/>
        <w:tabs>
          <w:tab w:leader="none" w:pos="1700" w:val="left"/>
          <w:tab w:leader="none" w:pos="1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3810</wp:posOffset>
            </wp:positionV>
            <wp:extent cx="26142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right="6380"/>
        <w:spacing w:after="0"/>
        <w:rPr>
          <w:sz w:val="20"/>
          <w:szCs w:val="20"/>
          <w:color w:val="auto"/>
        </w:rPr>
      </w:pPr>
      <w:r>
        <w:rPr>
          <w:rFonts w:ascii="Arial" w:cs="Arial" w:eastAsia="Arial" w:hAnsi="Arial"/>
          <w:sz w:val="14"/>
          <w:szCs w:val="14"/>
          <w:b w:val="1"/>
          <w:bCs w:val="1"/>
          <w:color w:val="auto"/>
        </w:rPr>
        <w:t>Arthur H. Penn</w:t>
      </w:r>
    </w:p>
    <w:p>
      <w:pPr>
        <w:jc w:val="center"/>
        <w:ind w:right="6380"/>
        <w:spacing w:after="0" w:line="221" w:lineRule="auto"/>
        <w:rPr>
          <w:sz w:val="20"/>
          <w:szCs w:val="20"/>
          <w:color w:val="auto"/>
        </w:rPr>
      </w:pPr>
      <w:r>
        <w:rPr>
          <w:rFonts w:ascii="Arial" w:cs="Arial" w:eastAsia="Arial" w:hAnsi="Arial"/>
          <w:sz w:val="14"/>
          <w:szCs w:val="14"/>
          <w:b w:val="1"/>
          <w:bCs w:val="1"/>
          <w:color w:val="auto"/>
        </w:rPr>
        <w:t>Chief Executive Officer and</w:t>
      </w:r>
    </w:p>
    <w:p>
      <w:pPr>
        <w:jc w:val="center"/>
        <w:ind w:right="6380"/>
        <w:spacing w:after="0"/>
        <w:rPr>
          <w:sz w:val="20"/>
          <w:szCs w:val="20"/>
          <w:color w:val="auto"/>
        </w:rPr>
      </w:pPr>
      <w:r>
        <w:rPr>
          <w:rFonts w:ascii="Arial" w:cs="Arial" w:eastAsia="Arial" w:hAnsi="Arial"/>
          <w:sz w:val="14"/>
          <w:szCs w:val="14"/>
          <w:b w:val="1"/>
          <w:bCs w:val="1"/>
          <w:color w:val="auto"/>
        </w:rPr>
        <w:t>Chairman of the Board of Directors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31.2</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96" w:lineRule="exact"/>
        <w:rPr>
          <w:sz w:val="20"/>
          <w:szCs w:val="20"/>
          <w:color w:val="auto"/>
        </w:rPr>
      </w:pPr>
    </w:p>
    <w:p>
      <w:pPr>
        <w:ind w:left="260" w:hanging="140"/>
        <w:spacing w:after="0"/>
        <w:tabs>
          <w:tab w:leader="none" w:pos="2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63" w:lineRule="exact"/>
        <w:rPr>
          <w:rFonts w:ascii="Arial" w:cs="Arial" w:eastAsia="Arial" w:hAnsi="Arial"/>
          <w:sz w:val="14"/>
          <w:szCs w:val="14"/>
          <w:color w:val="auto"/>
        </w:rPr>
      </w:pPr>
    </w:p>
    <w:p>
      <w:pPr>
        <w:ind w:left="120" w:right="760"/>
        <w:spacing w:after="0" w:line="253" w:lineRule="auto"/>
        <w:tabs>
          <w:tab w:leader="none" w:pos="2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120" w:right="220"/>
        <w:spacing w:after="0" w:line="253" w:lineRule="auto"/>
        <w:tabs>
          <w:tab w:leader="none" w:pos="2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120" w:right="60"/>
        <w:spacing w:after="0" w:line="253" w:lineRule="auto"/>
        <w:tabs>
          <w:tab w:leader="none" w:pos="2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4"/>
          <w:szCs w:val="14"/>
          <w:color w:val="auto"/>
        </w:rPr>
      </w:pPr>
    </w:p>
    <w:p>
      <w:pPr>
        <w:ind w:left="240" w:right="180" w:hanging="8"/>
        <w:spacing w:after="0" w:line="290" w:lineRule="auto"/>
        <w:tabs>
          <w:tab w:leader="none" w:pos="388"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3" w:lineRule="exact"/>
        <w:rPr>
          <w:rFonts w:ascii="Arial" w:cs="Arial" w:eastAsia="Arial" w:hAnsi="Arial"/>
          <w:sz w:val="13"/>
          <w:szCs w:val="13"/>
          <w:color w:val="auto"/>
        </w:rPr>
      </w:pPr>
    </w:p>
    <w:p>
      <w:pPr>
        <w:ind w:left="240" w:right="400" w:hanging="8"/>
        <w:spacing w:after="0" w:line="290" w:lineRule="auto"/>
        <w:tabs>
          <w:tab w:leader="none" w:pos="396"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43" w:lineRule="exact"/>
        <w:rPr>
          <w:rFonts w:ascii="Arial" w:cs="Arial" w:eastAsia="Arial" w:hAnsi="Arial"/>
          <w:sz w:val="13"/>
          <w:szCs w:val="13"/>
          <w:color w:val="auto"/>
        </w:rPr>
      </w:pPr>
    </w:p>
    <w:p>
      <w:pPr>
        <w:ind w:left="240" w:right="600" w:hanging="8"/>
        <w:spacing w:after="0" w:line="253" w:lineRule="auto"/>
        <w:tabs>
          <w:tab w:leader="none" w:pos="388" w:val="left"/>
        </w:tabs>
        <w:numPr>
          <w:ilvl w:val="1"/>
          <w:numId w:val="8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4"/>
          <w:szCs w:val="14"/>
          <w:color w:val="auto"/>
        </w:rPr>
      </w:pPr>
    </w:p>
    <w:p>
      <w:pPr>
        <w:ind w:left="240" w:right="220" w:hanging="8"/>
        <w:spacing w:after="0" w:line="290" w:lineRule="auto"/>
        <w:tabs>
          <w:tab w:leader="none" w:pos="396"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left="120" w:right="560"/>
        <w:spacing w:after="0" w:line="253" w:lineRule="auto"/>
        <w:tabs>
          <w:tab w:leader="none" w:pos="26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4"/>
          <w:szCs w:val="14"/>
          <w:color w:val="auto"/>
        </w:rPr>
      </w:pPr>
    </w:p>
    <w:p>
      <w:pPr>
        <w:ind w:left="240" w:right="280" w:hanging="8"/>
        <w:spacing w:after="0" w:line="253" w:lineRule="auto"/>
        <w:tabs>
          <w:tab w:leader="none" w:pos="388" w:val="left"/>
        </w:tabs>
        <w:numPr>
          <w:ilvl w:val="1"/>
          <w:numId w:val="8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4"/>
          <w:szCs w:val="14"/>
          <w:color w:val="auto"/>
        </w:rPr>
      </w:pPr>
    </w:p>
    <w:p>
      <w:pPr>
        <w:ind w:left="380" w:hanging="148"/>
        <w:spacing w:after="0"/>
        <w:tabs>
          <w:tab w:leader="none" w:pos="380" w:val="left"/>
        </w:tabs>
        <w:numPr>
          <w:ilvl w:val="1"/>
          <w:numId w:val="8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12, 2014</w:t>
      </w:r>
    </w:p>
    <w:p>
      <w:pPr>
        <w:spacing w:after="0" w:line="204" w:lineRule="exact"/>
        <w:rPr>
          <w:sz w:val="20"/>
          <w:szCs w:val="20"/>
          <w:color w:val="auto"/>
        </w:rPr>
      </w:pPr>
    </w:p>
    <w:p>
      <w:pPr>
        <w:spacing w:after="0"/>
        <w:tabs>
          <w:tab w:leader="none" w:pos="1860" w:val="left"/>
          <w:tab w:leader="none" w:pos="21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3810</wp:posOffset>
            </wp:positionV>
            <wp:extent cx="26142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right="6380"/>
        <w:spacing w:after="0"/>
        <w:rPr>
          <w:sz w:val="20"/>
          <w:szCs w:val="20"/>
          <w:color w:val="auto"/>
        </w:rPr>
      </w:pPr>
      <w:r>
        <w:rPr>
          <w:rFonts w:ascii="Arial" w:cs="Arial" w:eastAsia="Arial" w:hAnsi="Arial"/>
          <w:sz w:val="14"/>
          <w:szCs w:val="14"/>
          <w:b w:val="1"/>
          <w:bCs w:val="1"/>
          <w:color w:val="auto"/>
        </w:rPr>
        <w:t>Aviv Efrat</w:t>
      </w:r>
    </w:p>
    <w:p>
      <w:pPr>
        <w:jc w:val="center"/>
        <w:ind w:right="6380"/>
        <w:spacing w:after="0"/>
        <w:rPr>
          <w:sz w:val="20"/>
          <w:szCs w:val="20"/>
          <w:color w:val="auto"/>
        </w:rPr>
      </w:pPr>
      <w:r>
        <w:rPr>
          <w:rFonts w:ascii="Arial" w:cs="Arial" w:eastAsia="Arial" w:hAnsi="Arial"/>
          <w:sz w:val="14"/>
          <w:szCs w:val="14"/>
          <w:b w:val="1"/>
          <w:bCs w:val="1"/>
          <w:color w:val="auto"/>
        </w:rPr>
        <w:t>Chief Financial Officer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2014 as filed with the Securities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Exchange Commission on the date hereof (the “Report”), I, Arthur H. Penn, as Chief Executive Officer of the Registrant hereby certify, to the best of my knowledge that:</w:t>
      </w:r>
    </w:p>
    <w:p>
      <w:pPr>
        <w:spacing w:after="0" w:line="43" w:lineRule="exact"/>
        <w:rPr>
          <w:sz w:val="20"/>
          <w:szCs w:val="20"/>
          <w:color w:val="auto"/>
        </w:rPr>
      </w:pPr>
    </w:p>
    <w:p>
      <w:pPr>
        <w:ind w:left="320" w:hanging="200"/>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55" w:lineRule="exact"/>
        <w:rPr>
          <w:rFonts w:ascii="Arial" w:cs="Arial" w:eastAsia="Arial" w:hAnsi="Arial"/>
          <w:sz w:val="14"/>
          <w:szCs w:val="14"/>
          <w:color w:val="auto"/>
        </w:rPr>
      </w:pPr>
    </w:p>
    <w:p>
      <w:pPr>
        <w:ind w:left="320" w:hanging="200"/>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rPr>
              <w:t>/s/  ARTHUR H. PENN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1140" w:type="dxa"/>
            <w:vAlign w:val="bottom"/>
          </w:tcPr>
          <w:p>
            <w:pPr>
              <w:spacing w:after="0"/>
              <w:rPr>
                <w:sz w:val="11"/>
                <w:szCs w:val="11"/>
                <w:color w:val="auto"/>
              </w:rPr>
            </w:pPr>
          </w:p>
        </w:tc>
        <w:tc>
          <w:tcPr>
            <w:tcW w:w="2840" w:type="dxa"/>
            <w:vAlign w:val="bottom"/>
          </w:tcPr>
          <w:p>
            <w:pPr>
              <w:jc w:val="center"/>
              <w:ind w:right="1048"/>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86"/>
        </w:trPr>
        <w:tc>
          <w:tcPr>
            <w:tcW w:w="1640" w:type="dxa"/>
            <w:vAlign w:val="bottom"/>
            <w:gridSpan w:val="2"/>
          </w:tcPr>
          <w:p>
            <w:pPr>
              <w:spacing w:after="0"/>
              <w:rPr>
                <w:sz w:val="20"/>
                <w:szCs w:val="20"/>
                <w:color w:val="auto"/>
              </w:rPr>
            </w:pPr>
            <w:r>
              <w:rPr>
                <w:rFonts w:ascii="Arial" w:cs="Arial" w:eastAsia="Arial" w:hAnsi="Arial"/>
                <w:sz w:val="14"/>
                <w:szCs w:val="14"/>
                <w:color w:val="auto"/>
              </w:rPr>
              <w:t>Title:</w:t>
            </w:r>
          </w:p>
        </w:tc>
        <w:tc>
          <w:tcPr>
            <w:tcW w:w="28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3"/>
              </w:rPr>
              <w:t>Chief Executive Officer</w:t>
            </w:r>
          </w:p>
        </w:tc>
      </w:tr>
      <w:tr>
        <w:trPr>
          <w:trHeight w:val="229"/>
        </w:trPr>
        <w:tc>
          <w:tcPr>
            <w:tcW w:w="1640" w:type="dxa"/>
            <w:vAlign w:val="bottom"/>
            <w:gridSpan w:val="2"/>
          </w:tcPr>
          <w:p>
            <w:pPr>
              <w:spacing w:after="0"/>
              <w:rPr>
                <w:sz w:val="20"/>
                <w:szCs w:val="20"/>
                <w:color w:val="auto"/>
              </w:rPr>
            </w:pPr>
            <w:r>
              <w:rPr>
                <w:rFonts w:ascii="Arial" w:cs="Arial" w:eastAsia="Arial" w:hAnsi="Arial"/>
                <w:sz w:val="14"/>
                <w:szCs w:val="14"/>
                <w:color w:val="auto"/>
              </w:rPr>
              <w:t>Date: November 12, 2014</w:t>
            </w:r>
          </w:p>
        </w:tc>
        <w:tc>
          <w:tcPr>
            <w:tcW w:w="2840" w:type="dxa"/>
            <w:vAlign w:val="bottom"/>
          </w:tcPr>
          <w:p>
            <w:pPr>
              <w:spacing w:after="0"/>
              <w:rPr>
                <w:sz w:val="19"/>
                <w:szCs w:val="19"/>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2014 as filed with the Securities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Exchange Commission on the date hereof (the “Report”), I, Aviv Efrat, as Chief Financial Officer of the Registrant hereby certify, to the best of my knowledge that:</w:t>
      </w:r>
    </w:p>
    <w:p>
      <w:pPr>
        <w:spacing w:after="0" w:line="43" w:lineRule="exact"/>
        <w:rPr>
          <w:sz w:val="20"/>
          <w:szCs w:val="20"/>
          <w:color w:val="auto"/>
        </w:rPr>
      </w:pPr>
    </w:p>
    <w:p>
      <w:pPr>
        <w:ind w:left="320" w:hanging="200"/>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55" w:lineRule="exact"/>
        <w:rPr>
          <w:rFonts w:ascii="Arial" w:cs="Arial" w:eastAsia="Arial" w:hAnsi="Arial"/>
          <w:sz w:val="14"/>
          <w:szCs w:val="14"/>
          <w:color w:val="auto"/>
        </w:rPr>
      </w:pPr>
    </w:p>
    <w:p>
      <w:pPr>
        <w:ind w:left="320" w:hanging="200"/>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center"/>
              <w:ind w:right="968"/>
              <w:spacing w:after="0"/>
              <w:rPr>
                <w:sz w:val="20"/>
                <w:szCs w:val="20"/>
                <w:color w:val="auto"/>
              </w:rPr>
            </w:pPr>
            <w:r>
              <w:rPr>
                <w:rFonts w:ascii="Arial" w:cs="Arial" w:eastAsia="Arial" w:hAnsi="Arial"/>
                <w:sz w:val="14"/>
                <w:szCs w:val="14"/>
                <w:color w:val="auto"/>
              </w:rPr>
              <w:t>/s/  AVIV EFRAT</w:t>
            </w:r>
          </w:p>
        </w:tc>
      </w:tr>
      <w:tr>
        <w:trPr>
          <w:trHeight w:val="133"/>
        </w:trPr>
        <w:tc>
          <w:tcPr>
            <w:tcW w:w="6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1060" w:type="dxa"/>
            <w:vAlign w:val="bottom"/>
          </w:tcPr>
          <w:p>
            <w:pPr>
              <w:spacing w:after="0"/>
              <w:rPr>
                <w:sz w:val="11"/>
                <w:szCs w:val="11"/>
                <w:color w:val="auto"/>
              </w:rPr>
            </w:pPr>
          </w:p>
        </w:tc>
        <w:tc>
          <w:tcPr>
            <w:tcW w:w="2820" w:type="dxa"/>
            <w:vAlign w:val="bottom"/>
          </w:tcPr>
          <w:p>
            <w:pPr>
              <w:jc w:val="center"/>
              <w:ind w:right="988"/>
              <w:spacing w:after="0" w:line="133" w:lineRule="exact"/>
              <w:rPr>
                <w:sz w:val="20"/>
                <w:szCs w:val="20"/>
                <w:color w:val="auto"/>
              </w:rPr>
            </w:pPr>
            <w:r>
              <w:rPr>
                <w:rFonts w:ascii="Arial" w:cs="Arial" w:eastAsia="Arial" w:hAnsi="Arial"/>
                <w:sz w:val="14"/>
                <w:szCs w:val="14"/>
                <w:b w:val="1"/>
                <w:bCs w:val="1"/>
                <w:color w:val="auto"/>
                <w:w w:val="97"/>
              </w:rPr>
              <w:t>Aviv Efrat</w:t>
            </w:r>
          </w:p>
        </w:tc>
      </w:tr>
      <w:tr>
        <w:trPr>
          <w:trHeight w:val="186"/>
        </w:trPr>
        <w:tc>
          <w:tcPr>
            <w:tcW w:w="1660" w:type="dxa"/>
            <w:vAlign w:val="bottom"/>
            <w:gridSpan w:val="2"/>
          </w:tcPr>
          <w:p>
            <w:pPr>
              <w:spacing w:after="0"/>
              <w:rPr>
                <w:sz w:val="20"/>
                <w:szCs w:val="20"/>
                <w:color w:val="auto"/>
              </w:rPr>
            </w:pPr>
            <w:r>
              <w:rPr>
                <w:rFonts w:ascii="Arial" w:cs="Arial" w:eastAsia="Arial" w:hAnsi="Arial"/>
                <w:sz w:val="14"/>
                <w:szCs w:val="14"/>
                <w:color w:val="auto"/>
              </w:rPr>
              <w:t>Title:</w:t>
            </w:r>
          </w:p>
        </w:tc>
        <w:tc>
          <w:tcPr>
            <w:tcW w:w="2820" w:type="dxa"/>
            <w:vAlign w:val="bottom"/>
          </w:tcPr>
          <w:p>
            <w:pPr>
              <w:jc w:val="center"/>
              <w:ind w:right="968"/>
              <w:spacing w:after="0"/>
              <w:rPr>
                <w:sz w:val="20"/>
                <w:szCs w:val="20"/>
                <w:color w:val="auto"/>
              </w:rPr>
            </w:pPr>
            <w:r>
              <w:rPr>
                <w:rFonts w:ascii="Arial" w:cs="Arial" w:eastAsia="Arial" w:hAnsi="Arial"/>
                <w:sz w:val="14"/>
                <w:szCs w:val="14"/>
                <w:b w:val="1"/>
                <w:bCs w:val="1"/>
                <w:color w:val="auto"/>
                <w:w w:val="95"/>
              </w:rPr>
              <w:t>Chief Financial Officer</w:t>
            </w:r>
          </w:p>
        </w:tc>
      </w:tr>
      <w:tr>
        <w:trPr>
          <w:trHeight w:val="229"/>
        </w:trPr>
        <w:tc>
          <w:tcPr>
            <w:tcW w:w="1660" w:type="dxa"/>
            <w:vAlign w:val="bottom"/>
            <w:gridSpan w:val="2"/>
          </w:tcPr>
          <w:p>
            <w:pPr>
              <w:spacing w:after="0"/>
              <w:rPr>
                <w:sz w:val="20"/>
                <w:szCs w:val="20"/>
                <w:color w:val="auto"/>
              </w:rPr>
            </w:pPr>
            <w:r>
              <w:rPr>
                <w:rFonts w:ascii="Arial" w:cs="Arial" w:eastAsia="Arial" w:hAnsi="Arial"/>
                <w:sz w:val="14"/>
                <w:szCs w:val="14"/>
                <w:color w:val="auto"/>
              </w:rPr>
              <w:t>Date: November 12, 2014</w:t>
            </w:r>
          </w:p>
        </w:tc>
        <w:tc>
          <w:tcPr>
            <w:tcW w:w="2820" w:type="dxa"/>
            <w:vAlign w:val="bottom"/>
          </w:tcPr>
          <w:p>
            <w:pPr>
              <w:spacing w:after="0"/>
              <w:rPr>
                <w:sz w:val="19"/>
                <w:szCs w:val="19"/>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lowerLetter"/>
      <w:start w:val="2"/>
    </w:lvl>
  </w:abstractNum>
  <w:abstractNum w:abstractNumId="7">
    <w:nsid w:val="7A6D8D3C"/>
    <w:multiLevelType w:val="hybridMultilevel"/>
    <w:lvl w:ilvl="0">
      <w:lvlJc w:val="left"/>
      <w:lvlText w:val="%1)"/>
      <w:numFmt w:val="lowerLetter"/>
      <w:start w:val="3"/>
    </w:lvl>
  </w:abstractNum>
  <w:abstractNum w:abstractNumId="8">
    <w:nsid w:val="4B588F54"/>
    <w:multiLevelType w:val="hybridMultilevel"/>
    <w:lvl w:ilvl="0">
      <w:lvlJc w:val="left"/>
      <w:lvlText w:val="%1)"/>
      <w:numFmt w:val="lowerLetter"/>
      <w:start w:val="4"/>
    </w:lvl>
  </w:abstractNum>
  <w:abstractNum w:abstractNumId="9">
    <w:nsid w:val="542289EC"/>
    <w:multiLevelType w:val="hybridMultilevel"/>
    <w:lvl w:ilvl="0">
      <w:lvlJc w:val="left"/>
      <w:lvlText w:val="%1)"/>
      <w:numFmt w:val="lowerLetter"/>
      <w:start w:val="5"/>
    </w:lvl>
  </w:abstractNum>
  <w:abstractNum w:abstractNumId="10">
    <w:nsid w:val="6DE91B18"/>
    <w:multiLevelType w:val="hybridMultilevel"/>
    <w:lvl w:ilvl="0">
      <w:lvlJc w:val="left"/>
      <w:lvlText w:val="%1)"/>
      <w:numFmt w:val="lowerLetter"/>
      <w:start w:val="6"/>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lvl w:ilvl="1">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lvl w:ilvl="1">
      <w:lvlJc w:val="left"/>
      <w:lvlText w:val="%2)"/>
      <w:numFmt w:val="decimal"/>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7"/>
    </w:lvl>
    <w:lvl w:ilvl="1">
      <w:lvlJc w:val="left"/>
      <w:lvlText w:val="*"/>
      <w:numFmt w:val="bullet"/>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11"/>
    </w:lvl>
  </w:abstractNum>
  <w:abstractNum w:abstractNumId="50">
    <w:nsid w:val="1F48EAA1"/>
    <w:multiLevelType w:val="hybridMultilevel"/>
    <w:lvl w:ilvl="0">
      <w:lvlJc w:val="left"/>
      <w:lvlText w:val="(%1)"/>
      <w:numFmt w:val="upperLetter"/>
      <w:start w:val="1"/>
    </w:lvl>
  </w:abstractNum>
  <w:abstractNum w:abstractNumId="51">
    <w:nsid w:val="1381823A"/>
    <w:multiLevelType w:val="hybridMultilevel"/>
    <w:lvl w:ilvl="0">
      <w:lvlJc w:val="left"/>
      <w:lvlText w:val="(%1)"/>
      <w:numFmt w:val="upperLetter"/>
      <w:start w:val="11"/>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1)"/>
      <w:numFmt w:val="upperLetter"/>
      <w:start w:val="1"/>
    </w:lvl>
  </w:abstractNum>
  <w:abstractNum w:abstractNumId="54">
    <w:nsid w:val="6590700B"/>
    <w:multiLevelType w:val="hybridMultilevel"/>
    <w:lvl w:ilvl="0">
      <w:lvlJc w:val="left"/>
      <w:lvlText w:val="(%1)"/>
      <w:numFmt w:val="upperLetter"/>
      <w:start w:val="1"/>
    </w:lvl>
  </w:abstractNum>
  <w:abstractNum w:abstractNumId="55">
    <w:nsid w:val="15014ACB"/>
    <w:multiLevelType w:val="hybridMultilevel"/>
    <w:lvl w:ilvl="0">
      <w:lvlJc w:val="left"/>
      <w:lvlText w:val="(%1)"/>
      <w:numFmt w:val="upperLetter"/>
      <w:start w:val="2"/>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upperLetter"/>
      <w:start w:val="1"/>
    </w:lvl>
    <w:lvl w:ilvl="1">
      <w:lvlJc w:val="left"/>
      <w:lvlText w:val="(%2)"/>
      <w:numFmt w:val="decimal"/>
      <w:start w:val="4"/>
    </w:lvl>
  </w:abstractNum>
  <w:abstractNum w:abstractNumId="58">
    <w:nsid w:val="799D0247"/>
    <w:multiLevelType w:val="hybridMultilevel"/>
    <w:lvl w:ilvl="0">
      <w:lvlJc w:val="left"/>
      <w:lvlText w:val="(%1)"/>
      <w:numFmt w:val="upperLetter"/>
      <w:start w:val="3"/>
    </w:lvl>
    <w:lvl w:ilvl="1">
      <w:lvlJc w:val="left"/>
      <w:lvlText w:val="%2"/>
      <w:numFmt w:val="decimal"/>
      <w:start w:val="1"/>
    </w:lvl>
  </w:abstractNum>
  <w:abstractNum w:abstractNumId="59">
    <w:nsid w:val="6B94764"/>
    <w:multiLevelType w:val="hybridMultilevel"/>
    <w:lvl w:ilvl="0">
      <w:lvlJc w:val="left"/>
      <w:lvlText w:val="(%1)"/>
      <w:numFmt w:val="upperLetter"/>
      <w:start w:val="4"/>
    </w:lvl>
  </w:abstractNum>
  <w:abstractNum w:abstractNumId="60">
    <w:nsid w:val="42C296BD"/>
    <w:multiLevelType w:val="hybridMultilevel"/>
    <w:lvl w:ilvl="0">
      <w:lvlJc w:val="left"/>
      <w:lvlText w:val="(%1)"/>
      <w:numFmt w:val="upperLetter"/>
      <w:start w:val="5"/>
    </w:lvl>
  </w:abstractNum>
  <w:abstractNum w:abstractNumId="61">
    <w:nsid w:val="168E121F"/>
    <w:multiLevelType w:val="hybridMultilevel"/>
    <w:lvl w:ilvl="0">
      <w:lvlJc w:val="left"/>
      <w:lvlText w:val="%1"/>
      <w:numFmt w:val="upperLetter"/>
      <w:start w:val="1"/>
    </w:lvl>
    <w:lvl w:ilvl="1">
      <w:lvlJc w:val="left"/>
      <w:lvlText w:val="(%2)"/>
      <w:numFmt w:val="decimal"/>
      <w:start w:val="1"/>
    </w:lvl>
  </w:abstractNum>
  <w:abstractNum w:abstractNumId="62">
    <w:nsid w:val="1EBA5D23"/>
    <w:multiLevelType w:val="hybridMultilevel"/>
    <w:lvl w:ilvl="0">
      <w:lvlJc w:val="left"/>
      <w:lvlText w:val="(%1)"/>
      <w:numFmt w:val="upperLetter"/>
      <w:start w:val="6"/>
    </w:lvl>
    <w:lvl w:ilvl="1">
      <w:lvlJc w:val="left"/>
      <w:lvlText w:val="%2"/>
      <w:numFmt w:val="decimal"/>
      <w:start w:val="1"/>
    </w:lvl>
  </w:abstractNum>
  <w:abstractNum w:abstractNumId="63">
    <w:nsid w:val="661E3F1E"/>
    <w:multiLevelType w:val="hybridMultilevel"/>
    <w:lvl w:ilvl="0">
      <w:lvlJc w:val="left"/>
      <w:lvlText w:val="(%1)"/>
      <w:numFmt w:val="upperLetter"/>
      <w:start w:val="7"/>
    </w:lvl>
  </w:abstractNum>
  <w:abstractNum w:abstractNumId="64">
    <w:nsid w:val="5DC79EA8"/>
    <w:multiLevelType w:val="hybridMultilevel"/>
    <w:lvl w:ilvl="0">
      <w:lvlJc w:val="left"/>
      <w:lvlText w:val="(%1)"/>
      <w:numFmt w:val="upperLetter"/>
      <w:start w:val="8"/>
    </w:lvl>
  </w:abstractNum>
  <w:abstractNum w:abstractNumId="65">
    <w:nsid w:val="540A471C"/>
    <w:multiLevelType w:val="hybridMultilevel"/>
    <w:lvl w:ilvl="0">
      <w:lvlJc w:val="left"/>
      <w:lvlText w:val="(%1)"/>
      <w:numFmt w:val="upperLetter"/>
      <w:start w:val="9"/>
    </w:lvl>
  </w:abstractNum>
  <w:abstractNum w:abstractNumId="66">
    <w:nsid w:val="7BD3EE7B"/>
    <w:multiLevelType w:val="hybridMultilevel"/>
    <w:lvl w:ilvl="0">
      <w:lvlJc w:val="left"/>
      <w:lvlText w:val="(%1)"/>
      <w:numFmt w:val="upperLetter"/>
      <w:start w:val="1"/>
    </w:lvl>
  </w:abstractNum>
  <w:abstractNum w:abstractNumId="67">
    <w:nsid w:val="51D9C564"/>
    <w:multiLevelType w:val="hybridMultilevel"/>
    <w:lvl w:ilvl="0">
      <w:lvlJc w:val="left"/>
      <w:lvlText w:val="(%1)"/>
      <w:numFmt w:val="upperLetter"/>
      <w:start w:val="2"/>
    </w:lvl>
  </w:abstractNum>
  <w:abstractNum w:abstractNumId="68">
    <w:nsid w:val="613EFDC5"/>
    <w:multiLevelType w:val="hybridMultilevel"/>
    <w:lvl w:ilvl="0">
      <w:lvlJc w:val="left"/>
      <w:lvlText w:val="(%1)"/>
      <w:numFmt w:val="upperLetter"/>
      <w:start w:val="3"/>
    </w:lvl>
  </w:abstractNum>
  <w:abstractNum w:abstractNumId="69">
    <w:nsid w:val="BF72B14"/>
    <w:multiLevelType w:val="hybridMultilevel"/>
    <w:lvl w:ilvl="0">
      <w:lvlJc w:val="left"/>
      <w:lvlText w:val="(%1)"/>
      <w:numFmt w:val="upperLetter"/>
      <w:start w:val="1"/>
    </w:lvl>
  </w:abstractNum>
  <w:abstractNum w:abstractNumId="70">
    <w:nsid w:val="11447B73"/>
    <w:multiLevelType w:val="hybridMultilevel"/>
    <w:lvl w:ilvl="0">
      <w:lvlJc w:val="left"/>
      <w:lvlText w:val="(%1)"/>
      <w:numFmt w:val="upperLetter"/>
      <w:start w:val="3"/>
    </w:lvl>
    <w:lvl w:ilvl="1">
      <w:lvlJc w:val="left"/>
      <w:lvlText w:val="(%2)"/>
      <w:numFmt w:val="decimal"/>
      <w:start w:val="1"/>
    </w:lvl>
  </w:abstractNum>
  <w:abstractNum w:abstractNumId="71">
    <w:nsid w:val="42963E5A"/>
    <w:multiLevelType w:val="hybridMultilevel"/>
    <w:lvl w:ilvl="0">
      <w:lvlJc w:val="left"/>
      <w:lvlText w:val="(%1)"/>
      <w:numFmt w:val="upperLetter"/>
      <w:start w:val="5"/>
    </w:lvl>
  </w:abstractNum>
  <w:abstractNum w:abstractNumId="72">
    <w:nsid w:val="A0382C5"/>
    <w:multiLevelType w:val="hybridMultilevel"/>
    <w:lvl w:ilvl="0">
      <w:lvlJc w:val="left"/>
      <w:lvlText w:val="(%1)"/>
      <w:numFmt w:val="upperLetter"/>
      <w:start w:val="1"/>
    </w:lvl>
  </w:abstractNum>
  <w:abstractNum w:abstractNumId="73">
    <w:nsid w:val="8F2B15E"/>
    <w:multiLevelType w:val="hybridMultilevel"/>
    <w:lvl w:ilvl="0">
      <w:lvlJc w:val="left"/>
      <w:lvlText w:val="(%1)"/>
      <w:numFmt w:val="upperLetter"/>
      <w:start w:val="2"/>
    </w:lvl>
  </w:abstractNum>
  <w:abstractNum w:abstractNumId="74">
    <w:nsid w:val="1A32234B"/>
    <w:multiLevelType w:val="hybridMultilevel"/>
    <w:lvl w:ilvl="0">
      <w:lvlJc w:val="left"/>
      <w:lvlText w:val="(%1)"/>
      <w:numFmt w:val="upperLetter"/>
      <w:start w:val="1"/>
    </w:lvl>
  </w:abstractNum>
  <w:abstractNum w:abstractNumId="75">
    <w:nsid w:val="3B0FD379"/>
    <w:multiLevelType w:val="hybridMultilevel"/>
    <w:lvl w:ilvl="0">
      <w:lvlJc w:val="left"/>
      <w:lvlText w:val="(%1)"/>
      <w:numFmt w:val="upperLetter"/>
      <w:start w:val="1"/>
    </w:lvl>
    <w:lvl w:ilvl="1">
      <w:lvlJc w:val="left"/>
      <w:lvlText w:val="(%2)"/>
      <w:numFmt w:val="decimal"/>
      <w:start w:val="1"/>
    </w:lvl>
  </w:abstractNum>
  <w:abstractNum w:abstractNumId="76">
    <w:nsid w:val="68EB2F63"/>
    <w:multiLevelType w:val="hybridMultilevel"/>
    <w:lvl w:ilvl="0">
      <w:lvlJc w:val="left"/>
      <w:lvlText w:val="%1"/>
      <w:numFmt w:val="upperLetter"/>
      <w:start w:val="1"/>
    </w:lvl>
    <w:lvl w:ilvl="1">
      <w:lvlJc w:val="left"/>
      <w:lvlText w:val="(%2)"/>
      <w:numFmt w:val="decimal"/>
      <w:start w:val="6"/>
    </w:lvl>
  </w:abstractNum>
  <w:abstractNum w:abstractNumId="77">
    <w:nsid w:val="4962813B"/>
    <w:multiLevelType w:val="hybridMultilevel"/>
    <w:lvl w:ilvl="0">
      <w:lvlJc w:val="left"/>
      <w:lvlText w:val="(%1)"/>
      <w:numFmt w:val="upperLetter"/>
      <w:start w:val="3"/>
    </w:lvl>
    <w:lvl w:ilvl="1">
      <w:lvlJc w:val="left"/>
      <w:lvlText w:val="(%2)"/>
      <w:numFmt w:val="decimal"/>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2020-05-05T15:15:44Z</dcterms:created>
  <dcterms:modified xsi:type="dcterms:W3CDTF">2020-05-05T15:15:44Z</dcterms:modified>
</cp:coreProperties>
</file>