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4, 2020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PennantPark Investment Corporation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7"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4300" w:type="dxa"/>
            <w:vAlign w:val="bottom"/>
          </w:tcPr>
          <w:p>
            <w:pPr>
              <w:jc w:val="center"/>
              <w:ind w:right="465"/>
              <w:spacing w:after="0"/>
              <w:rPr>
                <w:sz w:val="20"/>
                <w:szCs w:val="20"/>
                <w:color w:val="auto"/>
              </w:rPr>
            </w:pPr>
            <w:r>
              <w:rPr>
                <w:rFonts w:ascii="Arial" w:cs="Arial" w:eastAsia="Arial" w:hAnsi="Arial"/>
                <w:sz w:val="14"/>
                <w:szCs w:val="14"/>
                <w:b w:val="1"/>
                <w:bCs w:val="1"/>
                <w:color w:val="auto"/>
                <w:w w:val="97"/>
              </w:rPr>
              <w:t>Maryland</w:t>
            </w:r>
          </w:p>
        </w:tc>
        <w:tc>
          <w:tcPr>
            <w:tcW w:w="2840" w:type="dxa"/>
            <w:vAlign w:val="bottom"/>
          </w:tcPr>
          <w:p>
            <w:pPr>
              <w:jc w:val="center"/>
              <w:ind w:right="144"/>
              <w:spacing w:after="0"/>
              <w:rPr>
                <w:sz w:val="20"/>
                <w:szCs w:val="20"/>
                <w:color w:val="auto"/>
              </w:rPr>
            </w:pPr>
            <w:r>
              <w:rPr>
                <w:rFonts w:ascii="Arial" w:cs="Arial" w:eastAsia="Arial" w:hAnsi="Arial"/>
                <w:sz w:val="14"/>
                <w:szCs w:val="14"/>
                <w:b w:val="1"/>
                <w:bCs w:val="1"/>
                <w:color w:val="auto"/>
                <w:w w:val="92"/>
              </w:rPr>
              <w:t>814-00736</w:t>
            </w:r>
          </w:p>
        </w:tc>
        <w:tc>
          <w:tcPr>
            <w:tcW w:w="4100" w:type="dxa"/>
            <w:vAlign w:val="bottom"/>
          </w:tcPr>
          <w:p>
            <w:pPr>
              <w:jc w:val="right"/>
              <w:ind w:right="1462"/>
              <w:spacing w:after="0"/>
              <w:rPr>
                <w:sz w:val="20"/>
                <w:szCs w:val="20"/>
                <w:color w:val="auto"/>
              </w:rPr>
            </w:pPr>
            <w:r>
              <w:rPr>
                <w:rFonts w:ascii="Arial" w:cs="Arial" w:eastAsia="Arial" w:hAnsi="Arial"/>
                <w:sz w:val="14"/>
                <w:szCs w:val="14"/>
                <w:b w:val="1"/>
                <w:bCs w:val="1"/>
                <w:color w:val="auto"/>
              </w:rPr>
              <w:t>20-8250744</w:t>
            </w:r>
          </w:p>
        </w:tc>
      </w:tr>
      <w:tr>
        <w:trPr>
          <w:trHeight w:val="150"/>
        </w:trPr>
        <w:tc>
          <w:tcPr>
            <w:tcW w:w="4300" w:type="dxa"/>
            <w:vAlign w:val="bottom"/>
          </w:tcPr>
          <w:p>
            <w:pPr>
              <w:jc w:val="center"/>
              <w:ind w:right="485"/>
              <w:spacing w:after="0"/>
              <w:rPr>
                <w:sz w:val="20"/>
                <w:szCs w:val="20"/>
                <w:color w:val="auto"/>
              </w:rPr>
            </w:pPr>
            <w:r>
              <w:rPr>
                <w:rFonts w:ascii="Arial" w:cs="Arial" w:eastAsia="Arial" w:hAnsi="Arial"/>
                <w:sz w:val="12"/>
                <w:szCs w:val="12"/>
                <w:b w:val="1"/>
                <w:bCs w:val="1"/>
                <w:color w:val="auto"/>
                <w:w w:val="89"/>
              </w:rPr>
              <w:t>(State or other jurisdiction of incorporation)</w:t>
            </w:r>
          </w:p>
        </w:tc>
        <w:tc>
          <w:tcPr>
            <w:tcW w:w="2840" w:type="dxa"/>
            <w:vAlign w:val="bottom"/>
          </w:tcPr>
          <w:p>
            <w:pPr>
              <w:jc w:val="center"/>
              <w:ind w:right="144"/>
              <w:spacing w:after="0"/>
              <w:rPr>
                <w:sz w:val="20"/>
                <w:szCs w:val="20"/>
                <w:color w:val="auto"/>
              </w:rPr>
            </w:pPr>
            <w:r>
              <w:rPr>
                <w:rFonts w:ascii="Arial" w:cs="Arial" w:eastAsia="Arial" w:hAnsi="Arial"/>
                <w:sz w:val="12"/>
                <w:szCs w:val="12"/>
                <w:b w:val="1"/>
                <w:bCs w:val="1"/>
                <w:color w:val="auto"/>
                <w:w w:val="87"/>
              </w:rPr>
              <w:t>(Commission File Number)</w:t>
            </w:r>
          </w:p>
        </w:tc>
        <w:tc>
          <w:tcPr>
            <w:tcW w:w="4100" w:type="dxa"/>
            <w:vAlign w:val="bottom"/>
          </w:tcPr>
          <w:p>
            <w:pPr>
              <w:jc w:val="center"/>
              <w:ind w:left="242"/>
              <w:spacing w:after="0"/>
              <w:rPr>
                <w:sz w:val="20"/>
                <w:szCs w:val="20"/>
                <w:color w:val="auto"/>
              </w:rPr>
            </w:pPr>
            <w:r>
              <w:rPr>
                <w:rFonts w:ascii="Arial" w:cs="Arial" w:eastAsia="Arial" w:hAnsi="Arial"/>
                <w:sz w:val="12"/>
                <w:szCs w:val="12"/>
                <w:b w:val="1"/>
                <w:bCs w:val="1"/>
                <w:color w:val="auto"/>
                <w:w w:val="91"/>
              </w:rPr>
              <w:t>(IRS Employer Identification No.)</w:t>
            </w:r>
          </w:p>
        </w:tc>
      </w:tr>
      <w:tr>
        <w:trPr>
          <w:trHeight w:val="348"/>
        </w:trPr>
        <w:tc>
          <w:tcPr>
            <w:tcW w:w="4300" w:type="dxa"/>
            <w:vAlign w:val="bottom"/>
          </w:tcPr>
          <w:p>
            <w:pPr>
              <w:jc w:val="center"/>
              <w:ind w:left="1245"/>
              <w:spacing w:after="0"/>
              <w:rPr>
                <w:sz w:val="20"/>
                <w:szCs w:val="20"/>
                <w:color w:val="auto"/>
              </w:rPr>
            </w:pPr>
            <w:r>
              <w:rPr>
                <w:rFonts w:ascii="Arial" w:cs="Arial" w:eastAsia="Arial" w:hAnsi="Arial"/>
                <w:sz w:val="14"/>
                <w:szCs w:val="14"/>
                <w:b w:val="1"/>
                <w:bCs w:val="1"/>
                <w:color w:val="auto"/>
                <w:w w:val="93"/>
              </w:rPr>
              <w:t>590 Madison Avenue, 15th Floor, New York, NY</w:t>
            </w:r>
          </w:p>
        </w:tc>
        <w:tc>
          <w:tcPr>
            <w:tcW w:w="2840" w:type="dxa"/>
            <w:vAlign w:val="bottom"/>
          </w:tcPr>
          <w:p>
            <w:pPr>
              <w:spacing w:after="0"/>
              <w:rPr>
                <w:sz w:val="24"/>
                <w:szCs w:val="24"/>
                <w:color w:val="auto"/>
              </w:rPr>
            </w:pPr>
          </w:p>
        </w:tc>
        <w:tc>
          <w:tcPr>
            <w:tcW w:w="4100" w:type="dxa"/>
            <w:vAlign w:val="bottom"/>
          </w:tcPr>
          <w:p>
            <w:pPr>
              <w:jc w:val="right"/>
              <w:ind w:right="2562"/>
              <w:spacing w:after="0"/>
              <w:rPr>
                <w:sz w:val="20"/>
                <w:szCs w:val="20"/>
                <w:color w:val="auto"/>
              </w:rPr>
            </w:pPr>
            <w:r>
              <w:rPr>
                <w:rFonts w:ascii="Arial" w:cs="Arial" w:eastAsia="Arial" w:hAnsi="Arial"/>
                <w:sz w:val="14"/>
                <w:szCs w:val="14"/>
                <w:b w:val="1"/>
                <w:bCs w:val="1"/>
                <w:color w:val="auto"/>
              </w:rPr>
              <w:t>10022</w:t>
            </w:r>
          </w:p>
        </w:tc>
      </w:tr>
      <w:tr>
        <w:trPr>
          <w:trHeight w:val="186"/>
        </w:trPr>
        <w:tc>
          <w:tcPr>
            <w:tcW w:w="4300" w:type="dxa"/>
            <w:vAlign w:val="bottom"/>
          </w:tcPr>
          <w:p>
            <w:pPr>
              <w:jc w:val="center"/>
              <w:ind w:left="1245"/>
              <w:spacing w:after="0"/>
              <w:rPr>
                <w:sz w:val="20"/>
                <w:szCs w:val="20"/>
                <w:color w:val="auto"/>
              </w:rPr>
            </w:pPr>
            <w:r>
              <w:rPr>
                <w:rFonts w:ascii="Arial" w:cs="Arial" w:eastAsia="Arial" w:hAnsi="Arial"/>
                <w:sz w:val="12"/>
                <w:szCs w:val="12"/>
                <w:b w:val="1"/>
                <w:bCs w:val="1"/>
                <w:color w:val="auto"/>
                <w:w w:val="86"/>
              </w:rPr>
              <w:t>(Address of principal executive offices)</w:t>
            </w:r>
          </w:p>
        </w:tc>
        <w:tc>
          <w:tcPr>
            <w:tcW w:w="2840" w:type="dxa"/>
            <w:vAlign w:val="bottom"/>
          </w:tcPr>
          <w:p>
            <w:pPr>
              <w:spacing w:after="0"/>
              <w:rPr>
                <w:sz w:val="16"/>
                <w:szCs w:val="16"/>
                <w:color w:val="auto"/>
              </w:rPr>
            </w:pPr>
          </w:p>
        </w:tc>
        <w:tc>
          <w:tcPr>
            <w:tcW w:w="4100" w:type="dxa"/>
            <w:vAlign w:val="bottom"/>
          </w:tcPr>
          <w:p>
            <w:pPr>
              <w:jc w:val="center"/>
              <w:ind w:right="1462"/>
              <w:spacing w:after="0"/>
              <w:rPr>
                <w:sz w:val="20"/>
                <w:szCs w:val="20"/>
                <w:color w:val="auto"/>
              </w:rPr>
            </w:pPr>
            <w:r>
              <w:rPr>
                <w:rFonts w:ascii="Arial" w:cs="Arial" w:eastAsia="Arial" w:hAnsi="Arial"/>
                <w:sz w:val="14"/>
                <w:szCs w:val="14"/>
                <w:b w:val="1"/>
                <w:bCs w:val="1"/>
                <w:color w:val="auto"/>
                <w:w w:val="98"/>
              </w:rPr>
              <w:t>(Zip Code)</w:t>
            </w:r>
          </w:p>
        </w:tc>
      </w:tr>
      <w:tr>
        <w:trPr>
          <w:trHeight w:val="449"/>
        </w:trPr>
        <w:tc>
          <w:tcPr>
            <w:tcW w:w="4300" w:type="dxa"/>
            <w:vAlign w:val="bottom"/>
          </w:tcPr>
          <w:p>
            <w:pPr>
              <w:spacing w:after="0"/>
              <w:rPr>
                <w:sz w:val="24"/>
                <w:szCs w:val="24"/>
                <w:color w:val="auto"/>
              </w:rPr>
            </w:pPr>
          </w:p>
        </w:tc>
        <w:tc>
          <w:tcPr>
            <w:tcW w:w="284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212-905-1000</w:t>
            </w:r>
          </w:p>
        </w:tc>
        <w:tc>
          <w:tcPr>
            <w:tcW w:w="4100" w:type="dxa"/>
            <w:vAlign w:val="bottom"/>
          </w:tcPr>
          <w:p>
            <w:pPr>
              <w:spacing w:after="0"/>
              <w:rPr>
                <w:sz w:val="24"/>
                <w:szCs w:val="24"/>
                <w:color w:val="auto"/>
              </w:rPr>
            </w:pPr>
          </w:p>
        </w:tc>
      </w:tr>
      <w:tr>
        <w:trPr>
          <w:trHeight w:val="150"/>
        </w:trPr>
        <w:tc>
          <w:tcPr>
            <w:tcW w:w="4300" w:type="dxa"/>
            <w:vAlign w:val="bottom"/>
          </w:tcPr>
          <w:p>
            <w:pPr>
              <w:spacing w:after="0"/>
              <w:rPr>
                <w:sz w:val="13"/>
                <w:szCs w:val="13"/>
                <w:color w:val="auto"/>
              </w:rPr>
            </w:pPr>
          </w:p>
        </w:tc>
        <w:tc>
          <w:tcPr>
            <w:tcW w:w="2840" w:type="dxa"/>
            <w:vAlign w:val="bottom"/>
          </w:tcPr>
          <w:p>
            <w:pPr>
              <w:jc w:val="center"/>
              <w:ind w:right="124"/>
              <w:spacing w:after="0"/>
              <w:rPr>
                <w:sz w:val="20"/>
                <w:szCs w:val="20"/>
                <w:color w:val="auto"/>
              </w:rPr>
            </w:pPr>
            <w:r>
              <w:rPr>
                <w:rFonts w:ascii="Arial" w:cs="Arial" w:eastAsia="Arial" w:hAnsi="Arial"/>
                <w:sz w:val="12"/>
                <w:szCs w:val="12"/>
                <w:b w:val="1"/>
                <w:bCs w:val="1"/>
                <w:color w:val="auto"/>
                <w:w w:val="86"/>
              </w:rPr>
              <w:t>(Registrant’s telephone number, including area code)</w:t>
            </w:r>
          </w:p>
        </w:tc>
        <w:tc>
          <w:tcPr>
            <w:tcW w:w="4100" w:type="dxa"/>
            <w:vAlign w:val="bottom"/>
          </w:tcPr>
          <w:p>
            <w:pPr>
              <w:spacing w:after="0"/>
              <w:rPr>
                <w:sz w:val="13"/>
                <w:szCs w:val="13"/>
                <w:color w:val="auto"/>
              </w:rPr>
            </w:pPr>
          </w:p>
        </w:tc>
      </w:tr>
      <w:tr>
        <w:trPr>
          <w:trHeight w:val="209"/>
        </w:trPr>
        <w:tc>
          <w:tcPr>
            <w:tcW w:w="4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r>
      <w:tr>
        <w:trPr>
          <w:trHeight w:val="333"/>
        </w:trPr>
        <w:tc>
          <w:tcPr>
            <w:tcW w:w="430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84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22"/>
        </w:trPr>
        <w:tc>
          <w:tcPr>
            <w:tcW w:w="4300" w:type="dxa"/>
            <w:vAlign w:val="bottom"/>
          </w:tcPr>
          <w:p>
            <w:pPr>
              <w:jc w:val="center"/>
              <w:ind w:right="65"/>
              <w:spacing w:after="0"/>
              <w:rPr>
                <w:sz w:val="20"/>
                <w:szCs w:val="20"/>
                <w:color w:val="auto"/>
              </w:rPr>
            </w:pPr>
            <w:r>
              <w:rPr>
                <w:rFonts w:ascii="Arial" w:cs="Arial" w:eastAsia="Arial" w:hAnsi="Arial"/>
                <w:sz w:val="18"/>
                <w:szCs w:val="18"/>
                <w:b w:val="1"/>
                <w:bCs w:val="1"/>
                <w:color w:val="auto"/>
                <w:w w:val="89"/>
              </w:rPr>
              <w:t>Title of Each Class</w:t>
            </w:r>
          </w:p>
        </w:tc>
        <w:tc>
          <w:tcPr>
            <w:tcW w:w="2840" w:type="dxa"/>
            <w:vAlign w:val="bottom"/>
          </w:tcPr>
          <w:p>
            <w:pPr>
              <w:jc w:val="center"/>
              <w:ind w:right="284"/>
              <w:spacing w:after="0"/>
              <w:rPr>
                <w:sz w:val="20"/>
                <w:szCs w:val="20"/>
                <w:color w:val="auto"/>
              </w:rPr>
            </w:pPr>
            <w:r>
              <w:rPr>
                <w:rFonts w:ascii="Arial" w:cs="Arial" w:eastAsia="Arial" w:hAnsi="Arial"/>
                <w:sz w:val="18"/>
                <w:szCs w:val="18"/>
                <w:b w:val="1"/>
                <w:bCs w:val="1"/>
                <w:color w:val="auto"/>
                <w:w w:val="91"/>
              </w:rPr>
              <w:t>Trading Symbol(s)</w:t>
            </w:r>
          </w:p>
        </w:tc>
        <w:tc>
          <w:tcPr>
            <w:tcW w:w="4100" w:type="dxa"/>
            <w:vAlign w:val="bottom"/>
          </w:tcPr>
          <w:p>
            <w:pPr>
              <w:jc w:val="center"/>
              <w:ind w:right="102"/>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4300" w:type="dxa"/>
            <w:vAlign w:val="bottom"/>
          </w:tcPr>
          <w:p>
            <w:pPr>
              <w:jc w:val="center"/>
              <w:ind w:right="65"/>
              <w:spacing w:after="0"/>
              <w:rPr>
                <w:sz w:val="20"/>
                <w:szCs w:val="20"/>
                <w:color w:val="auto"/>
              </w:rPr>
            </w:pPr>
            <w:r>
              <w:rPr>
                <w:rFonts w:ascii="Arial" w:cs="Arial" w:eastAsia="Arial" w:hAnsi="Arial"/>
                <w:sz w:val="18"/>
                <w:szCs w:val="18"/>
                <w:color w:val="auto"/>
                <w:w w:val="89"/>
              </w:rPr>
              <w:t>Common Stock, par value $0.001 per share</w:t>
            </w:r>
          </w:p>
        </w:tc>
        <w:tc>
          <w:tcPr>
            <w:tcW w:w="2840" w:type="dxa"/>
            <w:vAlign w:val="bottom"/>
          </w:tcPr>
          <w:p>
            <w:pPr>
              <w:jc w:val="center"/>
              <w:ind w:right="284"/>
              <w:spacing w:after="0"/>
              <w:rPr>
                <w:sz w:val="20"/>
                <w:szCs w:val="20"/>
                <w:color w:val="auto"/>
              </w:rPr>
            </w:pPr>
            <w:r>
              <w:rPr>
                <w:rFonts w:ascii="Arial" w:cs="Arial" w:eastAsia="Arial" w:hAnsi="Arial"/>
                <w:sz w:val="18"/>
                <w:szCs w:val="18"/>
                <w:color w:val="auto"/>
                <w:w w:val="97"/>
              </w:rPr>
              <w:t>PNNT</w:t>
            </w:r>
          </w:p>
        </w:tc>
        <w:tc>
          <w:tcPr>
            <w:tcW w:w="4100" w:type="dxa"/>
            <w:vAlign w:val="bottom"/>
          </w:tcPr>
          <w:p>
            <w:pPr>
              <w:jc w:val="center"/>
              <w:ind w:right="122"/>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4300" w:type="dxa"/>
            <w:vAlign w:val="bottom"/>
          </w:tcPr>
          <w:p>
            <w:pPr>
              <w:jc w:val="center"/>
              <w:ind w:right="65"/>
              <w:spacing w:after="0"/>
              <w:rPr>
                <w:sz w:val="20"/>
                <w:szCs w:val="20"/>
                <w:color w:val="auto"/>
              </w:rPr>
            </w:pPr>
            <w:r>
              <w:rPr>
                <w:rFonts w:ascii="Arial" w:cs="Arial" w:eastAsia="Arial" w:hAnsi="Arial"/>
                <w:sz w:val="18"/>
                <w:szCs w:val="18"/>
                <w:color w:val="auto"/>
                <w:w w:val="89"/>
              </w:rPr>
              <w:t>5.50% Notes due 2024</w:t>
            </w:r>
          </w:p>
        </w:tc>
        <w:tc>
          <w:tcPr>
            <w:tcW w:w="2840" w:type="dxa"/>
            <w:vAlign w:val="bottom"/>
          </w:tcPr>
          <w:p>
            <w:pPr>
              <w:jc w:val="center"/>
              <w:ind w:right="284"/>
              <w:spacing w:after="0"/>
              <w:rPr>
                <w:sz w:val="20"/>
                <w:szCs w:val="20"/>
                <w:color w:val="auto"/>
              </w:rPr>
            </w:pPr>
            <w:r>
              <w:rPr>
                <w:rFonts w:ascii="Arial" w:cs="Arial" w:eastAsia="Arial" w:hAnsi="Arial"/>
                <w:sz w:val="18"/>
                <w:szCs w:val="18"/>
                <w:color w:val="auto"/>
                <w:w w:val="95"/>
              </w:rPr>
              <w:t>PNNTG</w:t>
            </w:r>
          </w:p>
        </w:tc>
        <w:tc>
          <w:tcPr>
            <w:tcW w:w="4100" w:type="dxa"/>
            <w:vAlign w:val="bottom"/>
          </w:tcPr>
          <w:p>
            <w:pPr>
              <w:jc w:val="center"/>
              <w:ind w:right="122"/>
              <w:spacing w:after="0"/>
              <w:rPr>
                <w:sz w:val="20"/>
                <w:szCs w:val="20"/>
                <w:color w:val="auto"/>
              </w:rPr>
            </w:pPr>
            <w:r>
              <w:rPr>
                <w:rFonts w:ascii="Arial" w:cs="Arial" w:eastAsia="Arial" w:hAnsi="Arial"/>
                <w:sz w:val="18"/>
                <w:szCs w:val="18"/>
                <w:color w:val="auto"/>
                <w:w w:val="91"/>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9" w:lineRule="exact"/>
        <w:rPr>
          <w:sz w:val="24"/>
          <w:szCs w:val="24"/>
          <w:color w:val="auto"/>
        </w:rPr>
      </w:pPr>
    </w:p>
    <w:p>
      <w:pPr>
        <w:ind w:left="48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6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09"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09"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09"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50" w:lineRule="exact"/>
        <w:rPr>
          <w:sz w:val="24"/>
          <w:szCs w:val="24"/>
          <w:color w:val="auto"/>
        </w:rPr>
      </w:pPr>
    </w:p>
    <w:p>
      <w:pPr>
        <w:ind w:right="280" w:firstLine="36"/>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1033780</wp:posOffset>
            </wp:positionH>
            <wp:positionV relativeFrom="paragraph">
              <wp:posOffset>-65405</wp:posOffset>
            </wp:positionV>
            <wp:extent cx="69215" cy="70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57"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-106045</wp:posOffset>
            </wp:positionV>
            <wp:extent cx="69215" cy="70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114935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5.07</w:t>
      </w:r>
      <w:r>
        <w:rPr>
          <w:sz w:val="20"/>
          <w:szCs w:val="20"/>
          <w:color w:val="auto"/>
        </w:rPr>
        <w:tab/>
      </w:r>
      <w:r>
        <w:rPr>
          <w:rFonts w:ascii="Arial" w:cs="Arial" w:eastAsia="Arial" w:hAnsi="Arial"/>
          <w:sz w:val="12"/>
          <w:szCs w:val="12"/>
          <w:b w:val="1"/>
          <w:bCs w:val="1"/>
          <w:color w:val="auto"/>
        </w:rPr>
        <w:t>Submission of Matters to a Vote of Security Holders</w:t>
      </w:r>
    </w:p>
    <w:p>
      <w:pPr>
        <w:spacing w:after="0" w:line="86" w:lineRule="exact"/>
        <w:rPr>
          <w:sz w:val="20"/>
          <w:szCs w:val="20"/>
          <w:color w:val="auto"/>
        </w:rPr>
      </w:pPr>
    </w:p>
    <w:p>
      <w:pPr>
        <w:jc w:val="both"/>
        <w:ind w:right="80" w:firstLine="510"/>
        <w:spacing w:after="0" w:line="264" w:lineRule="auto"/>
        <w:rPr>
          <w:sz w:val="20"/>
          <w:szCs w:val="20"/>
          <w:color w:val="auto"/>
        </w:rPr>
      </w:pPr>
      <w:r>
        <w:rPr>
          <w:rFonts w:ascii="Arial" w:cs="Arial" w:eastAsia="Arial" w:hAnsi="Arial"/>
          <w:sz w:val="13"/>
          <w:szCs w:val="13"/>
          <w:color w:val="auto"/>
        </w:rPr>
        <w:t>On February 4, 2020, PennantPark Investment Corporation (the “Company”) held its annual meeting of stockholders (the “Annual Meeting”) and submitted two matters to the vote of its stockholders. The proposals are described in detail in the Company’s definitive proxy statement filed with the Securities and Exchange Commission on December 17, 2019. As of November 20, 2019, the record date, 67,045,105 shares of common stock were eligible to vote. A summary of the matters voted upon by the stockholders is set forth below.</w:t>
      </w:r>
    </w:p>
    <w:p>
      <w:pPr>
        <w:spacing w:after="0" w:line="56" w:lineRule="exact"/>
        <w:rPr>
          <w:sz w:val="20"/>
          <w:szCs w:val="20"/>
          <w:color w:val="auto"/>
        </w:rPr>
      </w:pPr>
    </w:p>
    <w:p>
      <w:pPr>
        <w:ind w:right="460"/>
        <w:spacing w:after="0" w:line="267" w:lineRule="auto"/>
        <w:rPr>
          <w:sz w:val="20"/>
          <w:szCs w:val="20"/>
          <w:color w:val="auto"/>
        </w:rPr>
      </w:pPr>
      <w:r>
        <w:rPr>
          <w:rFonts w:ascii="Arial" w:cs="Arial" w:eastAsia="Arial" w:hAnsi="Arial"/>
          <w:sz w:val="13"/>
          <w:szCs w:val="13"/>
          <w:b w:val="1"/>
          <w:bCs w:val="1"/>
          <w:color w:val="auto"/>
        </w:rPr>
        <w:t xml:space="preserve">Proposal 1. </w:t>
      </w:r>
      <w:r>
        <w:rPr>
          <w:rFonts w:ascii="Arial" w:cs="Arial" w:eastAsia="Arial" w:hAnsi="Arial"/>
          <w:sz w:val="13"/>
          <w:szCs w:val="13"/>
          <w:color w:val="auto"/>
        </w:rPr>
        <w:t>The named proxies for the Company’s stockholders approved an adjournment of the meeting to allow the polls to remain open until 9:30 a.m. on February 25, 2020 to solicit</w:t>
      </w:r>
      <w:r>
        <w:rPr>
          <w:rFonts w:ascii="Arial" w:cs="Arial" w:eastAsia="Arial" w:hAnsi="Arial"/>
          <w:sz w:val="13"/>
          <w:szCs w:val="13"/>
          <w:b w:val="1"/>
          <w:bCs w:val="1"/>
          <w:color w:val="auto"/>
        </w:rPr>
        <w:t xml:space="preserve"> </w:t>
      </w:r>
      <w:r>
        <w:rPr>
          <w:rFonts w:ascii="Arial" w:cs="Arial" w:eastAsia="Arial" w:hAnsi="Arial"/>
          <w:sz w:val="13"/>
          <w:szCs w:val="13"/>
          <w:color w:val="auto"/>
        </w:rPr>
        <w:t>additional votes for the proposal to elect two Class I directors of the Company, who will each serve until the 2023 Annual Meeting and until his successor is duly elected and qualifies. The meeting will be reconvened at the offices of Dechert LLP, located at 1095 Avenue of the Americas, New York, New York, on February 25, 2020, at 9:30 a.m.</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Proposal 2. </w:t>
      </w:r>
      <w:r>
        <w:rPr>
          <w:rFonts w:ascii="Arial" w:cs="Arial" w:eastAsia="Arial" w:hAnsi="Arial"/>
          <w:sz w:val="13"/>
          <w:szCs w:val="13"/>
          <w:color w:val="auto"/>
        </w:rPr>
        <w:t>The Company’s stockholders ratified the selection of RSM US LLP to serve as the Company’s independent registered public accounting firm for the year ending September 30, 2020.</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voting results as of February 4, 2020, as certified by the inspector of election, are set forth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380" w:type="dxa"/>
            <w:vAlign w:val="bottom"/>
          </w:tcPr>
          <w:p>
            <w:pPr>
              <w:ind w:left="1000"/>
              <w:spacing w:after="0"/>
              <w:rPr>
                <w:sz w:val="20"/>
                <w:szCs w:val="20"/>
                <w:color w:val="auto"/>
              </w:rPr>
            </w:pPr>
            <w:r>
              <w:rPr>
                <w:rFonts w:ascii="Arial" w:cs="Arial" w:eastAsia="Arial" w:hAnsi="Arial"/>
                <w:sz w:val="14"/>
                <w:szCs w:val="14"/>
                <w:color w:val="auto"/>
              </w:rPr>
              <w:t>For</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40" w:type="dxa"/>
            <w:vAlign w:val="bottom"/>
          </w:tcPr>
          <w:p>
            <w:pPr>
              <w:ind w:left="880"/>
              <w:spacing w:after="0"/>
              <w:rPr>
                <w:sz w:val="20"/>
                <w:szCs w:val="20"/>
                <w:color w:val="auto"/>
              </w:rPr>
            </w:pPr>
            <w:r>
              <w:rPr>
                <w:rFonts w:ascii="Arial" w:cs="Arial" w:eastAsia="Arial" w:hAnsi="Arial"/>
                <w:sz w:val="14"/>
                <w:szCs w:val="14"/>
                <w:color w:val="auto"/>
              </w:rPr>
              <w:t>Against</w:t>
            </w: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gridSpan w:val="2"/>
          </w:tcPr>
          <w:p>
            <w:pPr>
              <w:jc w:val="right"/>
              <w:ind w:right="1020"/>
              <w:spacing w:after="0"/>
              <w:rPr>
                <w:sz w:val="20"/>
                <w:szCs w:val="20"/>
                <w:color w:val="auto"/>
              </w:rPr>
            </w:pPr>
            <w:r>
              <w:rPr>
                <w:rFonts w:ascii="Arial" w:cs="Arial" w:eastAsia="Arial" w:hAnsi="Arial"/>
                <w:sz w:val="14"/>
                <w:szCs w:val="14"/>
                <w:color w:val="auto"/>
              </w:rPr>
              <w:t>Abstain</w:t>
            </w:r>
          </w:p>
        </w:tc>
        <w:tc>
          <w:tcPr>
            <w:tcW w:w="20" w:type="dxa"/>
            <w:vAlign w:val="bottom"/>
          </w:tcPr>
          <w:p>
            <w:pPr>
              <w:spacing w:after="0"/>
              <w:rPr>
                <w:sz w:val="14"/>
                <w:szCs w:val="14"/>
                <w:color w:val="auto"/>
              </w:rPr>
            </w:pPr>
          </w:p>
        </w:tc>
      </w:tr>
      <w:tr>
        <w:trPr>
          <w:trHeight w:val="156"/>
        </w:trPr>
        <w:tc>
          <w:tcPr>
            <w:tcW w:w="3200" w:type="dxa"/>
            <w:vAlign w:val="bottom"/>
            <w:tcBorders>
              <w:top w:val="single" w:sz="8" w:color="BDD7EE"/>
            </w:tcBorders>
            <w:shd w:val="clear" w:color="auto" w:fill="BDD7EE"/>
          </w:tcPr>
          <w:p>
            <w:pPr>
              <w:spacing w:after="0" w:line="155" w:lineRule="exact"/>
              <w:rPr>
                <w:sz w:val="20"/>
                <w:szCs w:val="20"/>
                <w:color w:val="auto"/>
              </w:rPr>
            </w:pPr>
            <w:r>
              <w:rPr>
                <w:rFonts w:ascii="Arial" w:cs="Arial" w:eastAsia="Arial" w:hAnsi="Arial"/>
                <w:sz w:val="14"/>
                <w:szCs w:val="14"/>
                <w:color w:val="auto"/>
              </w:rPr>
              <w:t>Shares Voted</w:t>
            </w:r>
          </w:p>
        </w:tc>
        <w:tc>
          <w:tcPr>
            <w:tcW w:w="1380" w:type="dxa"/>
            <w:vAlign w:val="bottom"/>
            <w:tcBorders>
              <w:top w:val="single" w:sz="8" w:color="auto"/>
            </w:tcBorders>
            <w:shd w:val="clear" w:color="auto" w:fill="BDD7EE"/>
          </w:tcPr>
          <w:p>
            <w:pPr>
              <w:spacing w:after="0"/>
              <w:rPr>
                <w:sz w:val="13"/>
                <w:szCs w:val="13"/>
                <w:color w:val="auto"/>
              </w:rPr>
            </w:pPr>
          </w:p>
        </w:tc>
        <w:tc>
          <w:tcPr>
            <w:tcW w:w="82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58,338,577</w:t>
            </w:r>
          </w:p>
        </w:tc>
        <w:tc>
          <w:tcPr>
            <w:tcW w:w="640" w:type="dxa"/>
            <w:vAlign w:val="bottom"/>
            <w:tcBorders>
              <w:top w:val="single" w:sz="8" w:color="BDD7EE"/>
            </w:tcBorders>
            <w:shd w:val="clear" w:color="auto" w:fill="BDD7EE"/>
          </w:tcPr>
          <w:p>
            <w:pPr>
              <w:spacing w:after="0"/>
              <w:rPr>
                <w:sz w:val="13"/>
                <w:szCs w:val="13"/>
                <w:color w:val="auto"/>
              </w:rPr>
            </w:pPr>
          </w:p>
        </w:tc>
        <w:tc>
          <w:tcPr>
            <w:tcW w:w="1540" w:type="dxa"/>
            <w:vAlign w:val="bottom"/>
            <w:tcBorders>
              <w:top w:val="single" w:sz="8" w:color="auto"/>
            </w:tcBorders>
            <w:shd w:val="clear" w:color="auto" w:fill="BDD7EE"/>
          </w:tcPr>
          <w:p>
            <w:pPr>
              <w:spacing w:after="0"/>
              <w:rPr>
                <w:sz w:val="13"/>
                <w:szCs w:val="13"/>
                <w:color w:val="auto"/>
              </w:rPr>
            </w:pPr>
          </w:p>
        </w:tc>
        <w:tc>
          <w:tcPr>
            <w:tcW w:w="68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515,293</w:t>
            </w:r>
          </w:p>
        </w:tc>
        <w:tc>
          <w:tcPr>
            <w:tcW w:w="640" w:type="dxa"/>
            <w:vAlign w:val="bottom"/>
            <w:tcBorders>
              <w:top w:val="single" w:sz="8" w:color="BDD7EE"/>
            </w:tcBorders>
            <w:shd w:val="clear" w:color="auto" w:fill="BDD7EE"/>
          </w:tcPr>
          <w:p>
            <w:pPr>
              <w:spacing w:after="0"/>
              <w:rPr>
                <w:sz w:val="13"/>
                <w:szCs w:val="13"/>
                <w:color w:val="auto"/>
              </w:rPr>
            </w:pPr>
          </w:p>
        </w:tc>
        <w:tc>
          <w:tcPr>
            <w:tcW w:w="220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384,057</w:t>
            </w:r>
          </w:p>
        </w:tc>
        <w:tc>
          <w:tcPr>
            <w:tcW w:w="140" w:type="dxa"/>
            <w:vAlign w:val="bottom"/>
            <w:tcBorders>
              <w:top w:val="single" w:sz="8" w:color="BDD7EE"/>
            </w:tcBorders>
            <w:shd w:val="clear" w:color="auto" w:fill="BDD7EE"/>
          </w:tcPr>
          <w:p>
            <w:pPr>
              <w:spacing w:after="0"/>
              <w:rPr>
                <w:sz w:val="13"/>
                <w:szCs w:val="13"/>
                <w:color w:val="auto"/>
              </w:rPr>
            </w:pPr>
          </w:p>
        </w:tc>
        <w:tc>
          <w:tcPr>
            <w:tcW w:w="20" w:type="dxa"/>
            <w:vAlign w:val="bottom"/>
          </w:tcPr>
          <w:p>
            <w:pPr>
              <w:spacing w:after="0"/>
              <w:rPr>
                <w:sz w:val="13"/>
                <w:szCs w:val="13"/>
                <w:color w:val="auto"/>
              </w:rPr>
            </w:pPr>
          </w:p>
        </w:tc>
      </w:tr>
      <w:tr>
        <w:trPr>
          <w:trHeight w:val="182"/>
        </w:trPr>
        <w:tc>
          <w:tcPr>
            <w:tcW w:w="4580" w:type="dxa"/>
            <w:vAlign w:val="bottom"/>
            <w:gridSpan w:val="2"/>
          </w:tcPr>
          <w:p>
            <w:pPr>
              <w:ind w:left="380"/>
              <w:spacing w:after="0"/>
              <w:rPr>
                <w:sz w:val="20"/>
                <w:szCs w:val="20"/>
                <w:color w:val="auto"/>
              </w:rPr>
            </w:pPr>
            <w:r>
              <w:rPr>
                <w:rFonts w:ascii="Arial" w:cs="Arial" w:eastAsia="Arial" w:hAnsi="Arial"/>
                <w:sz w:val="14"/>
                <w:szCs w:val="14"/>
                <w:color w:val="auto"/>
              </w:rPr>
              <w:t>% of Shares Voted</w:t>
            </w:r>
          </w:p>
        </w:tc>
        <w:tc>
          <w:tcPr>
            <w:tcW w:w="1460" w:type="dxa"/>
            <w:vAlign w:val="bottom"/>
            <w:gridSpan w:val="2"/>
          </w:tcPr>
          <w:p>
            <w:pPr>
              <w:jc w:val="right"/>
              <w:ind w:right="520"/>
              <w:spacing w:after="0"/>
              <w:rPr>
                <w:sz w:val="20"/>
                <w:szCs w:val="20"/>
                <w:color w:val="auto"/>
              </w:rPr>
            </w:pPr>
            <w:r>
              <w:rPr>
                <w:rFonts w:ascii="Arial" w:cs="Arial" w:eastAsia="Arial" w:hAnsi="Arial"/>
                <w:sz w:val="14"/>
                <w:szCs w:val="14"/>
                <w:color w:val="auto"/>
              </w:rPr>
              <w:t>98.48%</w:t>
            </w:r>
          </w:p>
        </w:tc>
        <w:tc>
          <w:tcPr>
            <w:tcW w:w="1540" w:type="dxa"/>
            <w:vAlign w:val="bottom"/>
          </w:tcPr>
          <w:p>
            <w:pPr>
              <w:spacing w:after="0"/>
              <w:rPr>
                <w:sz w:val="15"/>
                <w:szCs w:val="15"/>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color w:val="auto"/>
              </w:rPr>
              <w:t>0.76%</w:t>
            </w:r>
          </w:p>
        </w:tc>
        <w:tc>
          <w:tcPr>
            <w:tcW w:w="2340" w:type="dxa"/>
            <w:vAlign w:val="bottom"/>
            <w:gridSpan w:val="2"/>
          </w:tcPr>
          <w:p>
            <w:pPr>
              <w:jc w:val="right"/>
              <w:ind w:right="20"/>
              <w:spacing w:after="0"/>
              <w:rPr>
                <w:sz w:val="20"/>
                <w:szCs w:val="20"/>
                <w:color w:val="auto"/>
              </w:rPr>
            </w:pPr>
            <w:r>
              <w:rPr>
                <w:rFonts w:ascii="Arial" w:cs="Arial" w:eastAsia="Arial" w:hAnsi="Arial"/>
                <w:sz w:val="14"/>
                <w:szCs w:val="14"/>
                <w:color w:val="auto"/>
              </w:rPr>
              <w:t>0.65%</w:t>
            </w:r>
          </w:p>
        </w:tc>
        <w:tc>
          <w:tcPr>
            <w:tcW w:w="20" w:type="dxa"/>
            <w:vAlign w:val="bottom"/>
          </w:tcPr>
          <w:p>
            <w:pPr>
              <w:spacing w:after="0"/>
              <w:rPr>
                <w:sz w:val="15"/>
                <w:szCs w:val="15"/>
                <w:color w:val="auto"/>
              </w:rPr>
            </w:pPr>
          </w:p>
        </w:tc>
      </w:tr>
      <w:tr>
        <w:trPr>
          <w:trHeight w:val="567"/>
        </w:trPr>
        <w:tc>
          <w:tcPr>
            <w:tcW w:w="3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65" w:right="3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114300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t>SIGNATURE</w:t>
      </w:r>
    </w:p>
    <w:p>
      <w:pPr>
        <w:spacing w:after="0" w:line="154" w:lineRule="exact"/>
        <w:rPr>
          <w:sz w:val="20"/>
          <w:szCs w:val="20"/>
          <w:color w:val="auto"/>
        </w:rPr>
      </w:pPr>
    </w:p>
    <w:p>
      <w:pPr>
        <w:ind w:firstLine="481"/>
        <w:spacing w:after="0" w:line="253"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hereunto duly authorized.</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4"/>
              </w:rPr>
              <w:t>PennantPark Investment Corporation</w:t>
            </w:r>
          </w:p>
        </w:tc>
        <w:tc>
          <w:tcPr>
            <w:tcW w:w="0" w:type="dxa"/>
            <w:vAlign w:val="bottom"/>
          </w:tcPr>
          <w:p>
            <w:pPr>
              <w:spacing w:after="0"/>
              <w:rPr>
                <w:sz w:val="1"/>
                <w:szCs w:val="1"/>
                <w:color w:val="auto"/>
              </w:rPr>
            </w:pPr>
          </w:p>
        </w:tc>
      </w:tr>
      <w:tr>
        <w:trPr>
          <w:trHeight w:val="297"/>
        </w:trPr>
        <w:tc>
          <w:tcPr>
            <w:tcW w:w="5280" w:type="dxa"/>
            <w:vAlign w:val="bottom"/>
          </w:tcPr>
          <w:p>
            <w:pPr>
              <w:spacing w:after="0"/>
              <w:rPr>
                <w:sz w:val="20"/>
                <w:szCs w:val="20"/>
                <w:color w:val="auto"/>
              </w:rPr>
            </w:pPr>
            <w:r>
              <w:rPr>
                <w:rFonts w:ascii="Arial" w:cs="Arial" w:eastAsia="Arial" w:hAnsi="Arial"/>
                <w:sz w:val="14"/>
                <w:szCs w:val="14"/>
                <w:color w:val="auto"/>
              </w:rPr>
              <w:t>Date: February 7, 2020</w:t>
            </w:r>
          </w:p>
        </w:tc>
        <w:tc>
          <w:tcPr>
            <w:tcW w:w="4460" w:type="dxa"/>
            <w:vAlign w:val="bottom"/>
            <w:vMerge w:val="restart"/>
          </w:tcPr>
          <w:p>
            <w:pPr>
              <w:jc w:val="center"/>
              <w:spacing w:after="0"/>
              <w:rPr>
                <w:sz w:val="20"/>
                <w:szCs w:val="20"/>
                <w:color w:val="auto"/>
              </w:rPr>
            </w:pPr>
            <w:r>
              <w:rPr>
                <w:rFonts w:ascii="Arial" w:cs="Arial" w:eastAsia="Arial" w:hAnsi="Arial"/>
                <w:sz w:val="14"/>
                <w:szCs w:val="14"/>
                <w:color w:val="auto"/>
                <w:w w:val="97"/>
              </w:rPr>
              <w:t>/s/ AVIV EFRAT</w:t>
            </w:r>
          </w:p>
        </w:tc>
        <w:tc>
          <w:tcPr>
            <w:tcW w:w="0" w:type="dxa"/>
            <w:vAlign w:val="bottom"/>
          </w:tcPr>
          <w:p>
            <w:pPr>
              <w:spacing w:after="0"/>
              <w:rPr>
                <w:sz w:val="1"/>
                <w:szCs w:val="1"/>
                <w:color w:val="auto"/>
              </w:rPr>
            </w:pPr>
          </w:p>
        </w:tc>
      </w:tr>
      <w:tr>
        <w:trPr>
          <w:trHeight w:val="58"/>
        </w:trPr>
        <w:tc>
          <w:tcPr>
            <w:tcW w:w="5280" w:type="dxa"/>
            <w:vAlign w:val="bottom"/>
          </w:tcPr>
          <w:p>
            <w:pPr>
              <w:spacing w:after="0"/>
              <w:rPr>
                <w:sz w:val="4"/>
                <w:szCs w:val="4"/>
                <w:color w:val="auto"/>
              </w:rPr>
            </w:pPr>
          </w:p>
        </w:tc>
        <w:tc>
          <w:tcPr>
            <w:tcW w:w="44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5280" w:type="dxa"/>
            <w:vAlign w:val="bottom"/>
          </w:tcPr>
          <w:p>
            <w:pPr>
              <w:spacing w:after="0"/>
              <w:rPr>
                <w:sz w:val="18"/>
                <w:szCs w:val="18"/>
                <w:color w:val="auto"/>
              </w:rPr>
            </w:pPr>
          </w:p>
        </w:tc>
        <w:tc>
          <w:tcPr>
            <w:tcW w:w="4460" w:type="dxa"/>
            <w:vAlign w:val="bottom"/>
          </w:tcPr>
          <w:p>
            <w:pPr>
              <w:jc w:val="center"/>
              <w:spacing w:after="0"/>
              <w:rPr>
                <w:sz w:val="20"/>
                <w:szCs w:val="20"/>
                <w:color w:val="auto"/>
              </w:rPr>
            </w:pPr>
            <w:r>
              <w:rPr>
                <w:rFonts w:ascii="Arial" w:cs="Arial" w:eastAsia="Arial" w:hAnsi="Arial"/>
                <w:sz w:val="14"/>
                <w:szCs w:val="14"/>
                <w:color w:val="auto"/>
              </w:rPr>
              <w:t>Aviv Efrat</w:t>
            </w:r>
          </w:p>
        </w:tc>
        <w:tc>
          <w:tcPr>
            <w:tcW w:w="0" w:type="dxa"/>
            <w:vAlign w:val="bottom"/>
          </w:tcPr>
          <w:p>
            <w:pPr>
              <w:spacing w:after="0"/>
              <w:rPr>
                <w:sz w:val="1"/>
                <w:szCs w:val="1"/>
                <w:color w:val="auto"/>
              </w:rPr>
            </w:pPr>
          </w:p>
        </w:tc>
      </w:tr>
      <w:tr>
        <w:trPr>
          <w:trHeight w:val="182"/>
        </w:trPr>
        <w:tc>
          <w:tcPr>
            <w:tcW w:w="5280" w:type="dxa"/>
            <w:vAlign w:val="bottom"/>
          </w:tcPr>
          <w:p>
            <w:pPr>
              <w:spacing w:after="0"/>
              <w:rPr>
                <w:sz w:val="15"/>
                <w:szCs w:val="15"/>
                <w:color w:val="auto"/>
              </w:rPr>
            </w:pPr>
          </w:p>
        </w:tc>
        <w:tc>
          <w:tcPr>
            <w:tcW w:w="4460" w:type="dxa"/>
            <w:vAlign w:val="bottom"/>
          </w:tcPr>
          <w:p>
            <w:pPr>
              <w:jc w:val="center"/>
              <w:spacing w:after="0"/>
              <w:rPr>
                <w:sz w:val="20"/>
                <w:szCs w:val="20"/>
                <w:color w:val="auto"/>
              </w:rPr>
            </w:pPr>
            <w:r>
              <w:rPr>
                <w:rFonts w:ascii="Arial" w:cs="Arial" w:eastAsia="Arial" w:hAnsi="Arial"/>
                <w:sz w:val="14"/>
                <w:szCs w:val="14"/>
                <w:color w:val="auto"/>
                <w:w w:val="95"/>
              </w:rPr>
              <w:t>Chief Financial Officer &amp; Treasurer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60"/>
      </w:cols>
      <w:pgMar w:left="320" w:top="2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2020-05-05T15:17:51Z</dcterms:created>
  <dcterms:modified xsi:type="dcterms:W3CDTF">2020-05-05T15:17:51Z</dcterms:modified>
</cp:coreProperties>
</file>