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CC062A"/>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January 23,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January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58420</wp:posOffset>
            </wp:positionV>
            <wp:extent cx="14147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9,000,000 Shares</w:t>
      </w:r>
    </w:p>
    <w:p>
      <w:pPr>
        <w:spacing w:after="0" w:line="71"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offering for sale 9,000,000 shares of our common stock. Our common stock is traded on the NASDAQ Global Select Market under the symbol “PNNT.” The last reported closing price for our common stock on January 20, 2012 was $11.06 per share. The net asset value of our common stock on September 30, 2011 (the last date prior to the date of this prospectus supplement on which we determined net asset value) was $10.13 per share.</w:t>
      </w:r>
    </w:p>
    <w:p>
      <w:pPr>
        <w:spacing w:after="0" w:line="26"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(“BDC”) under the Investment Company Act of 1940, as amended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35"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140" w:firstLine="456"/>
        <w:spacing w:after="0" w:line="357" w:lineRule="auto"/>
        <w:rPr>
          <w:sz w:val="20"/>
          <w:szCs w:val="20"/>
          <w:color w:val="auto"/>
        </w:rPr>
      </w:pPr>
      <w:r>
        <w:rPr>
          <w:rFonts w:ascii="Arial" w:cs="Arial" w:eastAsia="Arial" w:hAnsi="Arial"/>
          <w:sz w:val="15"/>
          <w:szCs w:val="15"/>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8 of the accompanying prospectus.</w:t>
      </w: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$460,000)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ind w:right="360" w:firstLine="456"/>
        <w:spacing w:after="0" w:line="309" w:lineRule="auto"/>
        <w:rPr>
          <w:sz w:val="20"/>
          <w:szCs w:val="20"/>
          <w:color w:val="auto"/>
        </w:rPr>
      </w:pPr>
      <w:r>
        <w:rPr>
          <w:rFonts w:ascii="Arial" w:cs="Arial" w:eastAsia="Arial" w:hAnsi="Arial"/>
          <w:sz w:val="15"/>
          <w:szCs w:val="15"/>
          <w:b w:val="1"/>
          <w:bCs w:val="1"/>
          <w:color w:val="auto"/>
        </w:rPr>
        <w:t>The underwriters may also purchase up to an additional 1,350,000 shares from us at the public offering price, less the underwriting discounts, within 30 days from the date of this prospectus supplement to cover overallotments. If the underwriters exercise this option in full, the total public</w:t>
      </w:r>
    </w:p>
    <w:p>
      <w:pPr>
        <w:ind w:right="160"/>
        <w:spacing w:after="0" w:line="261" w:lineRule="auto"/>
        <w:rPr>
          <w:sz w:val="20"/>
          <w:szCs w:val="20"/>
          <w:color w:val="auto"/>
        </w:rPr>
      </w:pPr>
      <w:r>
        <w:rPr>
          <w:rFonts w:ascii="Arial" w:cs="Arial" w:eastAsia="Arial" w:hAnsi="Arial"/>
          <w:sz w:val="18"/>
          <w:szCs w:val="18"/>
          <w:b w:val="1"/>
          <w:bCs w:val="1"/>
          <w:color w:val="auto"/>
        </w:rPr>
        <w:t>offering price will be $ , the total underwriting discount and commissions (sales load) paid by us will be $ , and total proceeds, before expenses, will be $ .</w:t>
      </w:r>
    </w:p>
    <w:p>
      <w:pPr>
        <w:spacing w:after="0" w:line="51" w:lineRule="exact"/>
        <w:rPr>
          <w:sz w:val="24"/>
          <w:szCs w:val="24"/>
          <w:color w:val="auto"/>
        </w:rPr>
      </w:pPr>
    </w:p>
    <w:p>
      <w:pPr>
        <w:ind w:left="460"/>
        <w:spacing w:after="0"/>
        <w:tabs>
          <w:tab w:leader="none" w:pos="5640" w:val="left"/>
        </w:tabs>
        <w:rPr>
          <w:sz w:val="20"/>
          <w:szCs w:val="20"/>
          <w:color w:val="auto"/>
        </w:rPr>
      </w:pPr>
      <w:r>
        <w:rPr>
          <w:rFonts w:ascii="Arial" w:cs="Arial" w:eastAsia="Arial" w:hAnsi="Arial"/>
          <w:sz w:val="18"/>
          <w:szCs w:val="18"/>
          <w:b w:val="1"/>
          <w:bCs w:val="1"/>
          <w:color w:val="auto"/>
        </w:rPr>
        <w:t>The underwriters expect to deliver the shares on or about January</w:t>
      </w:r>
      <w:r>
        <w:rPr>
          <w:sz w:val="20"/>
          <w:szCs w:val="20"/>
          <w:color w:val="auto"/>
        </w:rPr>
        <w:tab/>
      </w:r>
      <w:r>
        <w:rPr>
          <w:rFonts w:ascii="Arial" w:cs="Arial" w:eastAsia="Arial" w:hAnsi="Arial"/>
          <w:sz w:val="15"/>
          <w:szCs w:val="15"/>
          <w:b w:val="1"/>
          <w:bCs w:val="1"/>
          <w:color w:val="auto"/>
        </w:rPr>
        <w:t>, 2012.</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4"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Goldman, Sachs &amp; Co.</w:t>
      </w:r>
    </w:p>
    <w:p>
      <w:pPr>
        <w:ind w:left="2780"/>
        <w:spacing w:after="0" w:line="230" w:lineRule="auto"/>
        <w:rPr>
          <w:sz w:val="20"/>
          <w:szCs w:val="20"/>
          <w:color w:val="auto"/>
        </w:rPr>
      </w:pPr>
      <w:r>
        <w:rPr>
          <w:rFonts w:ascii="Arial" w:cs="Arial" w:eastAsia="Arial" w:hAnsi="Arial"/>
          <w:sz w:val="22"/>
          <w:szCs w:val="22"/>
          <w:b w:val="1"/>
          <w:bCs w:val="1"/>
          <w:color w:val="auto"/>
        </w:rPr>
        <w:t>RBC Capital Markets</w:t>
      </w:r>
    </w:p>
    <w:p>
      <w:pPr>
        <w:ind w:left="4380"/>
        <w:spacing w:after="0" w:line="231" w:lineRule="auto"/>
        <w:rPr>
          <w:sz w:val="20"/>
          <w:szCs w:val="20"/>
          <w:color w:val="auto"/>
        </w:rPr>
      </w:pPr>
      <w:r>
        <w:rPr>
          <w:rFonts w:ascii="Arial" w:cs="Arial" w:eastAsia="Arial" w:hAnsi="Arial"/>
          <w:sz w:val="22"/>
          <w:szCs w:val="22"/>
          <w:b w:val="1"/>
          <w:bCs w:val="1"/>
          <w:color w:val="auto"/>
        </w:rPr>
        <w:t>Credit Suisse</w:t>
      </w:r>
    </w:p>
    <w:p>
      <w:pPr>
        <w:ind w:left="5960"/>
        <w:spacing w:after="0" w:line="230" w:lineRule="auto"/>
        <w:rPr>
          <w:sz w:val="20"/>
          <w:szCs w:val="20"/>
          <w:color w:val="auto"/>
        </w:rPr>
      </w:pPr>
      <w:r>
        <w:rPr>
          <w:rFonts w:ascii="Arial" w:cs="Arial" w:eastAsia="Arial" w:hAnsi="Arial"/>
          <w:sz w:val="22"/>
          <w:szCs w:val="22"/>
          <w:b w:val="1"/>
          <w:bCs w:val="1"/>
          <w:color w:val="auto"/>
        </w:rPr>
        <w:t>Stifel Nicolaus Weisel</w:t>
      </w:r>
    </w:p>
    <w:p>
      <w:pPr>
        <w:spacing w:after="0" w:line="1" w:lineRule="exact"/>
        <w:rPr>
          <w:sz w:val="24"/>
          <w:szCs w:val="24"/>
          <w:color w:val="auto"/>
        </w:rPr>
      </w:pPr>
    </w:p>
    <w:p>
      <w:pPr>
        <w:ind w:left="7540"/>
        <w:spacing w:after="0"/>
        <w:rPr>
          <w:sz w:val="20"/>
          <w:szCs w:val="20"/>
          <w:color w:val="auto"/>
        </w:rPr>
      </w:pPr>
      <w:r>
        <w:rPr>
          <w:rFonts w:ascii="Arial" w:cs="Arial" w:eastAsia="Arial" w:hAnsi="Arial"/>
          <w:sz w:val="22"/>
          <w:szCs w:val="22"/>
          <w:b w:val="1"/>
          <w:bCs w:val="1"/>
          <w:color w:val="auto"/>
        </w:rPr>
        <w:t>SunTrust Robinson Humphrey</w:t>
      </w:r>
    </w:p>
    <w:p>
      <w:pPr>
        <w:spacing w:after="0" w:line="60"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January</w:t>
      </w:r>
      <w:r>
        <w:rPr>
          <w:sz w:val="20"/>
          <w:szCs w:val="20"/>
          <w:color w:val="auto"/>
        </w:rPr>
        <w:tab/>
      </w:r>
      <w:r>
        <w:rPr>
          <w:rFonts w:ascii="Arial" w:cs="Arial" w:eastAsia="Arial" w:hAnsi="Arial"/>
          <w:sz w:val="15"/>
          <w:szCs w:val="15"/>
          <w:b w:val="1"/>
          <w:bCs w:val="1"/>
          <w:color w:val="auto"/>
        </w:rPr>
        <w:t>,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22"/>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4"/>
              </w:rPr>
            </w:pPr>
            <w:hyperlink w:anchor="page12">
              <w:r>
                <w:rPr>
                  <w:rFonts w:ascii="Arial" w:cs="Arial" w:eastAsia="Arial" w:hAnsi="Arial"/>
                  <w:sz w:val="18"/>
                  <w:szCs w:val="18"/>
                  <w:b w:val="1"/>
                  <w:bCs w:val="1"/>
                  <w:color w:val="0000EE"/>
                  <w:w w:val="94"/>
                </w:rPr>
                <w:t>FEES AND EXPENSES</w:t>
              </w:r>
            </w:hyperlink>
          </w:p>
        </w:tc>
        <w:tc>
          <w:tcPr>
            <w:tcW w:w="910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CAPITALIZATION</w:t>
              </w:r>
            </w:hyperlink>
          </w:p>
        </w:tc>
        <w:tc>
          <w:tcPr>
            <w:tcW w:w="940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PRICE RANGE OF COMMON STOCK</w:t>
              </w:r>
            </w:hyperlink>
          </w:p>
        </w:tc>
        <w:tc>
          <w:tcPr>
            <w:tcW w:w="786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SELECTED FINANCIAL DATA</w:t>
              </w:r>
            </w:hyperlink>
          </w:p>
        </w:tc>
        <w:tc>
          <w:tcPr>
            <w:tcW w:w="84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UNDERWRITING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2"/>
          </w:tcPr>
          <w:p>
            <w:pPr>
              <w:ind w:left="320"/>
              <w:spacing w:after="0"/>
              <w:rPr>
                <w:sz w:val="20"/>
                <w:szCs w:val="20"/>
                <w:color w:val="auto"/>
              </w:rPr>
            </w:pPr>
            <w:r>
              <w:rPr>
                <w:rFonts w:ascii="Arial" w:cs="Arial" w:eastAsia="Arial" w:hAnsi="Arial"/>
                <w:sz w:val="18"/>
                <w:szCs w:val="18"/>
                <w:b w:val="1"/>
                <w:bCs w:val="1"/>
                <w:color w:val="auto"/>
              </w:rPr>
              <w:t>PROSPECTUS</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30"/>
            <w:vMerge w:val="restart"/>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PROSPECTUS SUMMARY</w:t>
              </w:r>
            </w:hyperlink>
          </w:p>
        </w:tc>
        <w:tc>
          <w:tcPr>
            <w:tcW w:w="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30"/>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FEES AND EXPENSES</w:t>
              </w:r>
            </w:hyperlink>
          </w:p>
        </w:tc>
        <w:tc>
          <w:tcPr>
            <w:tcW w:w="8800" w:type="dxa"/>
            <w:vAlign w:val="bottom"/>
            <w:gridSpan w:val="18"/>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RISK FACTORS</w:t>
              </w:r>
            </w:hyperlink>
          </w:p>
        </w:tc>
        <w:tc>
          <w:tcPr>
            <w:tcW w:w="912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63">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SELECTED FINANCIAL DATA</w:t>
              </w:r>
            </w:hyperlink>
          </w:p>
        </w:tc>
        <w:tc>
          <w:tcPr>
            <w:tcW w:w="84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908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SENIOR SECURITIES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PRICE RANGE OF COMMON STOCK</w:t>
              </w:r>
            </w:hyperlink>
          </w:p>
        </w:tc>
        <w:tc>
          <w:tcPr>
            <w:tcW w:w="786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6"/>
              </w:rPr>
            </w:pPr>
            <w:hyperlink w:anchor="page82">
              <w:r>
                <w:rPr>
                  <w:rFonts w:ascii="Arial" w:cs="Arial" w:eastAsia="Arial" w:hAnsi="Arial"/>
                  <w:sz w:val="18"/>
                  <w:szCs w:val="18"/>
                  <w:b w:val="1"/>
                  <w:bCs w:val="1"/>
                  <w:color w:val="0000EE"/>
                  <w:w w:val="96"/>
                </w:rPr>
                <w:t>SALES OF COMMON STOCK BELOW NET ASSET VALUE</w:t>
              </w:r>
            </w:hyperlink>
          </w:p>
        </w:tc>
        <w:tc>
          <w:tcPr>
            <w:tcW w:w="6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90">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4"/>
          </w:tcPr>
          <w:p>
            <w:pPr>
              <w:spacing w:after="0"/>
              <w:rPr>
                <w:sz w:val="17"/>
                <w:szCs w:val="17"/>
                <w:color w:val="auto"/>
              </w:rPr>
            </w:pPr>
          </w:p>
        </w:tc>
        <w:tc>
          <w:tcPr>
            <w:tcW w:w="950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INVESTMENT OBJECTIVES AND POLICIES</w:t>
              </w:r>
            </w:hyperlink>
          </w:p>
        </w:tc>
        <w:tc>
          <w:tcPr>
            <w:tcW w:w="72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7"/>
              </w:rPr>
            </w:pPr>
            <w:hyperlink w:anchor="page101">
              <w:r>
                <w:rPr>
                  <w:rFonts w:ascii="Arial" w:cs="Arial" w:eastAsia="Arial" w:hAnsi="Arial"/>
                  <w:sz w:val="18"/>
                  <w:szCs w:val="18"/>
                  <w:b w:val="1"/>
                  <w:bCs w:val="1"/>
                  <w:color w:val="0000EE"/>
                  <w:w w:val="97"/>
                </w:rPr>
                <w:t>PORTFOLIO COMPANIES</w:t>
              </w:r>
            </w:hyperlink>
          </w:p>
        </w:tc>
        <w:tc>
          <w:tcPr>
            <w:tcW w:w="87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MANAGEMENT</w:t>
              </w:r>
            </w:hyperlink>
          </w:p>
        </w:tc>
        <w:tc>
          <w:tcPr>
            <w:tcW w:w="960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6"/>
              </w:rPr>
            </w:pPr>
            <w:hyperlink w:anchor="page113">
              <w:r>
                <w:rPr>
                  <w:rFonts w:ascii="Arial" w:cs="Arial" w:eastAsia="Arial" w:hAnsi="Arial"/>
                  <w:sz w:val="18"/>
                  <w:szCs w:val="18"/>
                  <w:b w:val="1"/>
                  <w:bCs w:val="1"/>
                  <w:color w:val="0000EE"/>
                  <w:w w:val="96"/>
                </w:rPr>
                <w:t>CONTROL PERSONS AND PRINCIPAL STOCKHOLDERS</w:t>
              </w:r>
            </w:hyperlink>
          </w:p>
        </w:tc>
        <w:tc>
          <w:tcPr>
            <w:tcW w:w="62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7"/>
              </w:rPr>
            </w:pPr>
            <w:hyperlink w:anchor="page115">
              <w:r>
                <w:rPr>
                  <w:rFonts w:ascii="Arial" w:cs="Arial" w:eastAsia="Arial" w:hAnsi="Arial"/>
                  <w:sz w:val="18"/>
                  <w:szCs w:val="18"/>
                  <w:b w:val="1"/>
                  <w:bCs w:val="1"/>
                  <w:color w:val="0000EE"/>
                  <w:w w:val="97"/>
                </w:rPr>
                <w:t>CERTAIN RELATIONSHIPS AND TRANSACTIONS</w:t>
              </w:r>
            </w:hyperlink>
          </w:p>
        </w:tc>
        <w:tc>
          <w:tcPr>
            <w:tcW w:w="68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DETERMINATION OF NET ASSET VALUE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DIVIDEND REINVESTMENT PLAN</w:t>
              </w:r>
            </w:hyperlink>
          </w:p>
        </w:tc>
        <w:tc>
          <w:tcPr>
            <w:tcW w:w="74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1680" w:type="dxa"/>
            <w:vAlign w:val="bottom"/>
            <w:gridSpan w:val="1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DESCRIPTION OF OUR CAPITAL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1800" w:type="dxa"/>
            <w:vAlign w:val="bottom"/>
            <w:gridSpan w:val="1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DESCRIPTION OF OUR PREFERRED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6"/>
              </w:rPr>
            </w:pPr>
            <w:hyperlink w:anchor="page131">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8"/>
          </w:tcPr>
          <w:p>
            <w:pPr>
              <w:spacing w:after="0"/>
              <w:rPr>
                <w:sz w:val="17"/>
                <w:szCs w:val="17"/>
                <w:color w:val="auto"/>
              </w:rPr>
            </w:pPr>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7"/>
              </w:rPr>
            </w:pPr>
            <w:hyperlink w:anchor="page133">
              <w:r>
                <w:rPr>
                  <w:rFonts w:ascii="Arial" w:cs="Arial" w:eastAsia="Arial" w:hAnsi="Arial"/>
                  <w:sz w:val="18"/>
                  <w:szCs w:val="18"/>
                  <w:b w:val="1"/>
                  <w:bCs w:val="1"/>
                  <w:color w:val="0000EE"/>
                  <w:w w:val="97"/>
                </w:rPr>
                <w:t>DESCRIPTION OF OUR SUBSCRIPTION RIGHTS</w:t>
              </w:r>
            </w:hyperlink>
          </w:p>
        </w:tc>
        <w:tc>
          <w:tcPr>
            <w:tcW w:w="69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7"/>
              </w:rPr>
            </w:pPr>
            <w:hyperlink w:anchor="page134">
              <w:r>
                <w:rPr>
                  <w:rFonts w:ascii="Arial" w:cs="Arial" w:eastAsia="Arial" w:hAnsi="Arial"/>
                  <w:sz w:val="18"/>
                  <w:szCs w:val="18"/>
                  <w:b w:val="1"/>
                  <w:bCs w:val="1"/>
                  <w:color w:val="0000EE"/>
                  <w:w w:val="97"/>
                </w:rPr>
                <w:t>DESCRIPTION OF OUR DEBT SECURITIES</w:t>
              </w:r>
            </w:hyperlink>
          </w:p>
        </w:tc>
        <w:tc>
          <w:tcPr>
            <w:tcW w:w="73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148">
              <w:r>
                <w:rPr>
                  <w:rFonts w:ascii="Arial" w:cs="Arial" w:eastAsia="Arial" w:hAnsi="Arial"/>
                  <w:sz w:val="18"/>
                  <w:szCs w:val="18"/>
                  <w:b w:val="1"/>
                  <w:bCs w:val="1"/>
                  <w:color w:val="0000EE"/>
                  <w:w w:val="99"/>
                </w:rPr>
                <w:t>REGULATION</w:t>
              </w:r>
            </w:hyperlink>
          </w:p>
        </w:tc>
        <w:tc>
          <w:tcPr>
            <w:tcW w:w="974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4"/>
            <w:vMerge w:val="restart"/>
          </w:tcPr>
          <w:p>
            <w:pPr>
              <w:spacing w:after="0"/>
              <w:rPr>
                <w:rFonts w:ascii="Arial" w:cs="Arial" w:eastAsia="Arial" w:hAnsi="Arial"/>
                <w:sz w:val="18"/>
                <w:szCs w:val="18"/>
                <w:b w:val="1"/>
                <w:bCs w:val="1"/>
                <w:color w:val="0000EE"/>
                <w:w w:val="97"/>
              </w:rPr>
            </w:pPr>
            <w:hyperlink w:anchor="page154">
              <w:r>
                <w:rPr>
                  <w:rFonts w:ascii="Arial" w:cs="Arial" w:eastAsia="Arial" w:hAnsi="Arial"/>
                  <w:sz w:val="18"/>
                  <w:szCs w:val="18"/>
                  <w:b w:val="1"/>
                  <w:bCs w:val="1"/>
                  <w:color w:val="0000EE"/>
                  <w:w w:val="97"/>
                </w:rPr>
                <w:t>BROKERAGE ALLOCATIONS AND OTHER PRACTICES</w:t>
              </w:r>
            </w:hyperlink>
          </w:p>
        </w:tc>
        <w:tc>
          <w:tcPr>
            <w:tcW w:w="6360" w:type="dxa"/>
            <w:vAlign w:val="bottom"/>
            <w:gridSpan w:val="4"/>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640" w:type="dxa"/>
            <w:vAlign w:val="bottom"/>
            <w:tcBorders>
              <w:bottom w:val="single" w:sz="8" w:color="0000EE"/>
            </w:tcBorders>
            <w:gridSpan w:val="4"/>
            <w:vMerge w:val="continue"/>
          </w:tcPr>
          <w:p>
            <w:pPr>
              <w:spacing w:after="0"/>
              <w:rPr>
                <w:sz w:val="13"/>
                <w:szCs w:val="13"/>
                <w:color w:val="auto"/>
              </w:rPr>
            </w:pPr>
          </w:p>
        </w:tc>
        <w:tc>
          <w:tcPr>
            <w:tcW w:w="6360" w:type="dxa"/>
            <w:vAlign w:val="bottom"/>
            <w:gridSpan w:val="4"/>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55">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161">
              <w:r>
                <w:rPr>
                  <w:rFonts w:ascii="Arial" w:cs="Arial" w:eastAsia="Arial" w:hAnsi="Arial"/>
                  <w:sz w:val="18"/>
                  <w:szCs w:val="18"/>
                  <w:b w:val="1"/>
                  <w:bCs w:val="1"/>
                  <w:color w:val="0000EE"/>
                  <w:w w:val="99"/>
                </w:rPr>
                <w:t>PLAN OF DISTRIBUTION</w:t>
              </w:r>
            </w:hyperlink>
          </w:p>
        </w:tc>
        <w:tc>
          <w:tcPr>
            <w:tcW w:w="88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163">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8"/>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8"/>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140"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the Small Business Administration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jc w:val="both"/>
        <w:ind w:left="200" w:right="240" w:firstLine="443"/>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left="200" w:right="200" w:firstLine="443"/>
        <w:spacing w:after="0" w:line="298" w:lineRule="auto"/>
        <w:rPr>
          <w:sz w:val="20"/>
          <w:szCs w:val="20"/>
          <w:color w:val="auto"/>
        </w:rPr>
      </w:pPr>
      <w:r>
        <w:rPr>
          <w:rFonts w:ascii="Arial" w:cs="Arial" w:eastAsia="Arial" w:hAnsi="Arial"/>
          <w:sz w:val="16"/>
          <w:szCs w:val="16"/>
          <w:color w:val="auto"/>
        </w:rPr>
        <w:t>Our wholly-owned subsidiary, PennantPark SBIC LP, was organized as a Delaware limited partnership in May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investment approach, which is based upon intensive financial analysis with a focus on capital preservation, diversification and active management. Since our Investment Adviser’s inception in 2007, it has raised approximately $1.2 billion in debt and equity capital and has invested over $1.5 billion in more than 150 companies with over 70 different financial sponsors through its managed funds.</w:t>
      </w:r>
    </w:p>
    <w:p>
      <w:pPr>
        <w:spacing w:after="0" w:line="140"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0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1060" w:right="18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26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1060" w:right="500" w:hanging="431"/>
        <w:spacing w:after="0" w:line="338" w:lineRule="auto"/>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on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40" w:hanging="431"/>
        <w:spacing w:after="0" w:line="296"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jc w:val="both"/>
        <w:ind w:left="1060" w:right="14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2004 and 2007, which will mature in the next few years. This supply of opportunities coupled with a lack of demand offers attractive risk-adjusted returns to investors.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640" w:hanging="222"/>
        <w:spacing w:after="0"/>
        <w:tabs>
          <w:tab w:leader="none" w:pos="64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rFonts w:ascii="Arial" w:cs="Arial" w:eastAsia="Arial" w:hAnsi="Arial"/>
          <w:sz w:val="16"/>
          <w:szCs w:val="16"/>
          <w:b w:val="1"/>
          <w:bCs w:val="1"/>
          <w:i w:val="1"/>
          <w:iCs w:val="1"/>
          <w:color w:val="auto"/>
        </w:rPr>
      </w:pPr>
    </w:p>
    <w:p>
      <w:pPr>
        <w:ind w:left="640"/>
        <w:spacing w:after="0"/>
        <w:rPr>
          <w:rFonts w:ascii="Arial" w:cs="Arial" w:eastAsia="Arial" w:hAnsi="Arial"/>
          <w:sz w:val="16"/>
          <w:szCs w:val="16"/>
          <w:b w:val="1"/>
          <w:bCs w:val="1"/>
          <w:i w:val="1"/>
          <w:iCs w:val="1"/>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75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5751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2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6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“Recent Developments” in this prospectus supplement and “Management’s Discussion and Analysis of Financial Condition and Results of Operations— Liquidity and Capital Resources” in the accompanying prospectus for more information.</w:t>
      </w:r>
    </w:p>
    <w:p>
      <w:pPr>
        <w:spacing w:after="0" w:line="118"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60" w:firstLine="443"/>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98"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43"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in the accompanying prospectus for more information.</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See “Use of Proceeds” in this prospectus supplement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in the accompanying prospectus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Set forth below are certain preliminary estimates of our financial condition and results of operations for the three months ended December 31, 2011. These estimates are subject to the completion of our financial closing procedures and are not a comprehensive statement of our financial results for the three months ended December 31, 2011. We advise you that our actual results may differ materially from these estimates as a result of the completion of our financial closing procedures, final adjustments and other developments arising between now and the time that our financial results for the three months ended December 31, 2011 are finalized.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investment income is estimated to have totaled between $0.31 and $0.33 per share for the three months ended December 31, 2011.</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December 31, 2011 is estimated to be between $10.15 and $10.20 per share.</w:t>
      </w:r>
    </w:p>
    <w:p>
      <w:pPr>
        <w:spacing w:after="0" w:line="171"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We intend to announce final results of operations for the three months ended December 31, 2011 on February 8, 2012 after the close of the financial markets.</w:t>
      </w:r>
    </w:p>
    <w:p>
      <w:pPr>
        <w:spacing w:after="0" w:line="132"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KPMG LLP, our independent registered public accounting firm, has not audited, reviewed, compiled or performed any procedures with respect to the accompanying preliminary financial data. Accordingly, KPMG LLP does not express an opinion or any other form of assurance with respect thereto.</w:t>
      </w:r>
    </w:p>
    <w:p>
      <w:pPr>
        <w:spacing w:after="0" w:line="107" w:lineRule="exact"/>
        <w:rPr>
          <w:sz w:val="20"/>
          <w:szCs w:val="20"/>
          <w:color w:val="auto"/>
        </w:rPr>
      </w:pPr>
    </w:p>
    <w:p>
      <w:pPr>
        <w:jc w:val="both"/>
        <w:ind w:left="200" w:right="100" w:firstLine="443"/>
        <w:spacing w:after="0" w:line="291" w:lineRule="auto"/>
        <w:rPr>
          <w:sz w:val="20"/>
          <w:szCs w:val="20"/>
          <w:color w:val="auto"/>
        </w:rPr>
      </w:pPr>
      <w:r>
        <w:rPr>
          <w:rFonts w:ascii="Arial" w:cs="Arial" w:eastAsia="Arial" w:hAnsi="Arial"/>
          <w:sz w:val="16"/>
          <w:szCs w:val="16"/>
          <w:color w:val="auto"/>
        </w:rPr>
        <w:t>We are currently in discussions with our existing lenders and others to amend and restate our existing $315.0 million senior secured revolving Credit Facility which is scheduled to mature in June of this year. We currently expect the amended and restated credit facility to be of a similar size to our existing Credit Facility, to have a four-year maturity, with a one-year term out period following its third year, to have the same security to the same extent as in place for our existing Credit Facility and to include customary covenants, including a minimum asset coverage and minimum equity covenant. The amended and restated credit facility is not fully committed and the size and terms of such credit facility remain subject to change. Further, no assurances can be given that we will successfully enter into such an amended and restated credit facility.</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2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522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the NASDAQ Global Select Market under the symbol “PNNT”.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3.20%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0.46%</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3.27%</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3.05%</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1.43%</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1.20%</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8.95%</w:t>
            </w:r>
            <w:r>
              <w:rPr>
                <w:rFonts w:ascii="Arial" w:cs="Arial" w:eastAsia="Arial" w:hAnsi="Arial"/>
                <w:sz w:val="11"/>
                <w:szCs w:val="11"/>
                <w:color w:val="auto"/>
                <w:w w:val="8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underwriting discounts and commissions with respect to the shares sold in this offering, which is a one-time fee, is the only sales load paid in connection with this offering.</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$460,000 and based on the 9,000,000 shares offered in this offering at the last reported closing price of $11.06 per share of our common stock on January 20, 2012.</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at September 30, 2011 plus the anticipated net proceeds from this offering.</w:t>
      </w:r>
    </w:p>
    <w:p>
      <w:pPr>
        <w:spacing w:after="0" w:line="55"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total assets. See “Certain Relationships and Transactions—Investment Management Agreement” in the accompanying prospectus.</w:t>
      </w:r>
    </w:p>
    <w:p>
      <w:pPr>
        <w:spacing w:after="0" w:line="43"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in the accompanying prospectus for more information.</w:t>
      </w:r>
    </w:p>
    <w:p>
      <w:pPr>
        <w:spacing w:after="0" w:line="32" w:lineRule="exact"/>
        <w:rPr>
          <w:rFonts w:ascii="Arial" w:cs="Arial" w:eastAsia="Arial" w:hAnsi="Arial"/>
          <w:sz w:val="12"/>
          <w:szCs w:val="12"/>
          <w:color w:val="auto"/>
        </w:rPr>
      </w:pPr>
    </w:p>
    <w:p>
      <w:pPr>
        <w:ind w:left="340" w:right="20" w:hanging="332"/>
        <w:spacing w:after="0" w:line="270"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27" w:lineRule="exact"/>
        <w:rPr>
          <w:rFonts w:ascii="Arial" w:cs="Arial" w:eastAsia="Arial" w:hAnsi="Arial"/>
          <w:sz w:val="12"/>
          <w:szCs w:val="12"/>
          <w:color w:val="auto"/>
        </w:rPr>
      </w:pPr>
    </w:p>
    <w:p>
      <w:pPr>
        <w:ind w:left="340" w:right="6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 in the accompanying prospectus for more information.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7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3.20% sales load (underwriting discounts and commissions) and offering expenses totaling 0.46%, (2) total net annual expenses of 5.90%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93</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$ 205</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$ 314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prospectus supplement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estimates of our financial condition and results of operations for the three months ended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SEC including annual and quarterly reports on Form 10-K/Q and current reports on Form 8-K.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Securities Exchange Act of 1934, as amended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We estimate that the net proceeds we will receive from the sale of 9,000,000 shares of our common stock in this offering will be approximately</w:t>
      </w:r>
    </w:p>
    <w:p>
      <w:pPr>
        <w:spacing w:after="0" w:line="38"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$95.9 million (or approximately $110.3 million if the underwriters fully exercise their overallotment option), in each case based on a public offering price of $11.06 per share, which was the last reported closing price of our common stock on January 20, 2012, after deducting the underwriting discounts and commissions of $3.2 million (or approximately $3.7 million if the underwriters fully exercise their overallotment option) payable by us and estimated offering expenses of approximately $460,000 payable by us.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4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we had a weighted average interest rate on our Credit Facility at the time of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“Recent Developments” in this prospectus supplement and “Management’s Discussion and Analysis of Financial Condition and Results of Operations” in the accompanying prospectus for more information.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sets forth our cash and capitalization on September 30, 2011 (1) on an actual basis and (2) on an as-adjusted basis to reflect the effects of the sale of 9,000,000 shares of our common stock in this offering at an offering price of $11.06 per share, which was the last reported closing price of our common stock on January 20, 2012, ($10.66 per share net of the sales load and offering expenses).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“Recent Developments” in this prospectus supplement and “Management’s Discussion and Analysis of Financial Condition and Results of Operations” in the accompanying prospectus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w w:val="83"/>
              </w:rPr>
              <w:t>(unaudited)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line="176" w:lineRule="exact"/>
              <w:rPr>
                <w:sz w:val="20"/>
                <w:szCs w:val="20"/>
                <w:color w:val="auto"/>
              </w:rPr>
            </w:pPr>
            <w:r>
              <w:rPr>
                <w:rFonts w:ascii="Arial" w:cs="Arial" w:eastAsia="Arial" w:hAnsi="Arial"/>
                <w:sz w:val="13"/>
                <w:szCs w:val="13"/>
                <w:b w:val="1"/>
                <w:bCs w:val="1"/>
                <w:color w:val="auto"/>
                <w:w w:val="95"/>
              </w:rPr>
              <w:t>the offering</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71,604,519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167,499,239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928,738,214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1,024,632,934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 – $240,900,000)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238,792,125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238,792,125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Borrowings under SBA debentures (cost – $150,000,000)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89"/>
              </w:rPr>
              <w:t>Common stock, 45,689,781 and 54,689,781 shares, as-adjusted, are issued and outstanding, respectively. 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is $0.001 per share and 100,000,000 shares are authorized.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45,690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540,603,020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636,488,740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8,326,854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0"/>
              </w:rPr>
              <w:t>(49,651,922)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32"/>
              <w:spacing w:after="0"/>
              <w:rPr>
                <w:sz w:val="20"/>
                <w:szCs w:val="20"/>
                <w:color w:val="auto"/>
              </w:rPr>
            </w:pPr>
            <w:r>
              <w:rPr>
                <w:rFonts w:ascii="Arial" w:cs="Arial" w:eastAsia="Arial" w:hAnsi="Arial"/>
                <w:sz w:val="18"/>
                <w:szCs w:val="18"/>
                <w:color w:val="auto"/>
                <w:w w:val="90"/>
              </w:rPr>
              <w:t>(38,774,321)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(38,774,321)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462,657,196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558,551,916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851,449,321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947,344,041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fiscal year end September 30, 2008. On January 20, 2012, the last reported closing price of our common stock was $11.06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6"/>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5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right"/>
              <w:ind w:right="440"/>
              <w:spacing w:after="0" w:line="135" w:lineRule="exact"/>
              <w:rPr>
                <w:sz w:val="20"/>
                <w:szCs w:val="20"/>
                <w:color w:val="auto"/>
              </w:rPr>
            </w:pPr>
            <w:r>
              <w:rPr>
                <w:rFonts w:ascii="Arial" w:cs="Arial" w:eastAsia="Arial" w:hAnsi="Arial"/>
                <w:sz w:val="14"/>
                <w:szCs w:val="14"/>
                <w:b w:val="1"/>
                <w:bCs w:val="1"/>
                <w:color w:val="auto"/>
                <w:w w:val="97"/>
              </w:rPr>
              <w:t>Price to</w:t>
            </w:r>
          </w:p>
        </w:tc>
        <w:tc>
          <w:tcPr>
            <w:tcW w:w="220" w:type="dxa"/>
            <w:vAlign w:val="bottom"/>
          </w:tcPr>
          <w:p>
            <w:pPr>
              <w:spacing w:after="0"/>
              <w:rPr>
                <w:sz w:val="5"/>
                <w:szCs w:val="5"/>
                <w:color w:val="auto"/>
              </w:rPr>
            </w:pPr>
          </w:p>
        </w:tc>
        <w:tc>
          <w:tcPr>
            <w:tcW w:w="680" w:type="dxa"/>
            <w:vAlign w:val="bottom"/>
            <w:gridSpan w:val="2"/>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5020" w:type="dxa"/>
            <w:vAlign w:val="bottom"/>
          </w:tcPr>
          <w:p>
            <w:pPr>
              <w:spacing w:after="0"/>
              <w:rPr>
                <w:sz w:val="4"/>
                <w:szCs w:val="4"/>
                <w:color w:val="auto"/>
              </w:rPr>
            </w:pPr>
          </w:p>
        </w:tc>
        <w:tc>
          <w:tcPr>
            <w:tcW w:w="740" w:type="dxa"/>
            <w:vAlign w:val="bottom"/>
            <w:gridSpan w:val="2"/>
            <w:vMerge w:val="restart"/>
          </w:tcPr>
          <w:p>
            <w:pPr>
              <w:jc w:val="right"/>
              <w:ind w:right="300"/>
              <w:spacing w:after="0" w:line="209" w:lineRule="exact"/>
              <w:rPr>
                <w:sz w:val="20"/>
                <w:szCs w:val="20"/>
                <w:color w:val="auto"/>
              </w:rPr>
            </w:pPr>
            <w:r>
              <w:rPr>
                <w:rFonts w:ascii="Arial" w:cs="Arial" w:eastAsia="Arial" w:hAnsi="Arial"/>
                <w:sz w:val="14"/>
                <w:szCs w:val="14"/>
                <w:b w:val="1"/>
                <w:bCs w:val="1"/>
                <w:color w:val="auto"/>
                <w:w w:val="88"/>
              </w:rPr>
              <w:t>NAV</w:t>
            </w:r>
            <w:r>
              <w:rPr>
                <w:rFonts w:ascii="Arial" w:cs="Arial" w:eastAsia="Arial" w:hAnsi="Arial"/>
                <w:sz w:val="22"/>
                <w:szCs w:val="22"/>
                <w:b w:val="1"/>
                <w:bCs w:val="1"/>
                <w:color w:val="auto"/>
                <w:w w:val="88"/>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50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right"/>
              <w:ind w:right="4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 (as of January 20, 2012)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 N/A</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$ 11.06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$10.31</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12.43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10.97</w:t>
            </w: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12.75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10.60</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10.69</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9.17</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8.88</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7.65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3.85</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7.81</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2.35</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8.50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5.92</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11.31</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8.38</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 NAV. Our shares traded on the NASDAQ Global Select Market at $8.92 and $10.61 as of September 30, 2011 and September 30, 2010, respectively. Our NAV was $10.13 and $10.69 per share, as of September 30, 2011 and September 30,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These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2"/>
                <w:szCs w:val="12"/>
                <w:color w:val="auto"/>
              </w:rPr>
            </w:pPr>
          </w:p>
        </w:tc>
        <w:tc>
          <w:tcPr>
            <w:tcW w:w="14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January 11, 2007</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6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   60,140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4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3"/>
              </w:rPr>
              <w:t>Net expenses before base management fee waiver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28,065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3"/>
              </w:rPr>
              <w:t>Net expenses after base management fee waiver</w:t>
            </w:r>
            <w:r>
              <w:rPr>
                <w:rFonts w:ascii="Arial" w:cs="Arial" w:eastAsia="Arial" w:hAnsi="Arial"/>
                <w:sz w:val="11"/>
                <w:szCs w:val="11"/>
                <w:color w:val="auto"/>
                <w:w w:val="93"/>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28,065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(42,382)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(59,259)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(decrease) in net assets resulting from</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7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16,535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(40,703)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38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(1.01)</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74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82"/>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w w:val="94"/>
              </w:rPr>
              <w:t>Consolidated Statement of Assets and Liabilities data (at period end):</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711,494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664,724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20"/>
                <w:szCs w:val="20"/>
                <w:color w:val="auto"/>
              </w:rPr>
            </w:pPr>
            <w:r>
              <w:rPr>
                <w:rFonts w:ascii="Arial" w:cs="Arial" w:eastAsia="Arial" w:hAnsi="Arial"/>
                <w:sz w:val="18"/>
                <w:szCs w:val="18"/>
                <w:color w:val="auto"/>
                <w:w w:val="95"/>
              </w:rPr>
              <w:t>Payable for investments purchased and unfunded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74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74,988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273,334</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386,575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282"/>
        </w:trPr>
        <w:tc>
          <w:tcPr>
            <w:tcW w:w="38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(7.37)%</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9"/>
              </w:rPr>
              <w:t>Number of portfolio companies (at period end)</w:t>
            </w:r>
            <w:r>
              <w:rPr>
                <w:rFonts w:ascii="Arial" w:cs="Arial" w:eastAsia="Arial" w:hAnsi="Arial"/>
                <w:sz w:val="11"/>
                <w:szCs w:val="11"/>
                <w:color w:val="auto"/>
                <w:w w:val="99"/>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base management fee waiver was in effect from inception through March 31,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Unaudited.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8"/>
              </w:rPr>
              <w:t>$ 22,908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22,712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$19,979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15,095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7"/>
          </w:tcPr>
          <w:p>
            <w:pPr>
              <w:ind w:left="60"/>
              <w:spacing w:after="0"/>
              <w:rPr>
                <w:sz w:val="20"/>
                <w:szCs w:val="20"/>
                <w:color w:val="auto"/>
              </w:rPr>
            </w:pPr>
            <w:r>
              <w:rPr>
                <w:rFonts w:ascii="Arial" w:cs="Arial" w:eastAsia="Arial" w:hAnsi="Arial"/>
                <w:sz w:val="18"/>
                <w:szCs w:val="18"/>
                <w:color w:val="auto"/>
              </w:rPr>
              <w:t>$ 13,220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w w:val="83"/>
              </w:rPr>
              <w:t>13,159</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9"/>
              </w:rPr>
              <w:t>(46,260)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7"/>
            <w:shd w:val="clear" w:color="auto" w:fill="CCEEFF"/>
          </w:tcPr>
          <w:p>
            <w:pPr>
              <w:ind w:left="60"/>
              <w:spacing w:after="0"/>
              <w:rPr>
                <w:sz w:val="20"/>
                <w:szCs w:val="20"/>
                <w:color w:val="auto"/>
              </w:rPr>
            </w:pPr>
            <w:r>
              <w:rPr>
                <w:rFonts w:ascii="Arial" w:cs="Arial" w:eastAsia="Arial" w:hAnsi="Arial"/>
                <w:sz w:val="18"/>
                <w:szCs w:val="18"/>
                <w:color w:val="auto"/>
                <w:w w:val="99"/>
              </w:rPr>
              <w:t>$ (10,901)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(decrease) increase in net assets resulting from operations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w w:val="89"/>
              </w:rPr>
              <w:t>(31,165)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w w:val="83"/>
              </w:rPr>
              <w:t>13,587</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$25,522</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11.30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12.25</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$16,681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$16,335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1"/>
              </w:rPr>
              <w:t>$ 13,525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$13,599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8,957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8,821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7,059</w:t>
            </w: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7,238</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8"/>
            <w:shd w:val="clear" w:color="auto" w:fill="CCEEFF"/>
          </w:tcPr>
          <w:p>
            <w:pPr>
              <w:ind w:left="60"/>
              <w:spacing w:after="0"/>
              <w:rPr>
                <w:sz w:val="20"/>
                <w:szCs w:val="20"/>
                <w:color w:val="auto"/>
              </w:rPr>
            </w:pPr>
            <w:r>
              <w:rPr>
                <w:rFonts w:ascii="Arial" w:cs="Arial" w:eastAsia="Arial" w:hAnsi="Arial"/>
                <w:sz w:val="18"/>
                <w:szCs w:val="18"/>
                <w:color w:val="auto"/>
              </w:rPr>
              <w:t>$ (2,326)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 (4,561)</w:t>
            </w:r>
          </w:p>
        </w:tc>
        <w:tc>
          <w:tcPr>
            <w:tcW w:w="200" w:type="dxa"/>
            <w:vAlign w:val="bottom"/>
            <w:shd w:val="clear" w:color="auto" w:fill="CCEEFF"/>
          </w:tcPr>
          <w:p>
            <w:pPr>
              <w:spacing w:after="0"/>
              <w:rPr>
                <w:sz w:val="18"/>
                <w:szCs w:val="18"/>
                <w:color w:val="auto"/>
              </w:rPr>
            </w:pPr>
          </w:p>
        </w:tc>
        <w:tc>
          <w:tcPr>
            <w:tcW w:w="1000" w:type="dxa"/>
            <w:vAlign w:val="bottom"/>
            <w:gridSpan w:val="10"/>
            <w:shd w:val="clear" w:color="auto" w:fill="CCEEFF"/>
          </w:tcPr>
          <w:p>
            <w:pPr>
              <w:jc w:val="right"/>
              <w:ind w:right="180"/>
              <w:spacing w:after="0"/>
              <w:rPr>
                <w:sz w:val="20"/>
                <w:szCs w:val="20"/>
                <w:color w:val="auto"/>
              </w:rPr>
            </w:pPr>
            <w:r>
              <w:rPr>
                <w:rFonts w:ascii="Arial" w:cs="Arial" w:eastAsia="Arial" w:hAnsi="Arial"/>
                <w:sz w:val="18"/>
                <w:szCs w:val="18"/>
                <w:color w:val="auto"/>
                <w:w w:val="97"/>
              </w:rPr>
              <w:t>$ (10,090)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1,438</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6,630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4,260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7"/>
          </w:tcPr>
          <w:p>
            <w:pPr>
              <w:jc w:val="right"/>
              <w:ind w:right="180"/>
              <w:spacing w:after="0"/>
              <w:rPr>
                <w:sz w:val="20"/>
                <w:szCs w:val="20"/>
                <w:color w:val="auto"/>
              </w:rPr>
            </w:pPr>
            <w:r>
              <w:rPr>
                <w:rFonts w:ascii="Arial" w:cs="Arial" w:eastAsia="Arial" w:hAnsi="Arial"/>
                <w:sz w:val="18"/>
                <w:szCs w:val="18"/>
                <w:color w:val="auto"/>
              </w:rPr>
              <w:t>(3,031)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8,676</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5"/>
              </w:rPr>
              <w:t>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11.07</w:t>
            </w: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11.86</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9.55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10.37</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w w:val="85"/>
              </w:rPr>
              <w:t>Q4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Q3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w w:val="86"/>
              </w:rPr>
              <w:t>$11,847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$10,770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89"/>
              </w:rPr>
              <w:t>$10,425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4"/>
          </w:tcPr>
          <w:p>
            <w:pPr>
              <w:ind w:left="1560"/>
              <w:spacing w:after="0"/>
              <w:rPr>
                <w:sz w:val="20"/>
                <w:szCs w:val="20"/>
                <w:color w:val="auto"/>
              </w:rPr>
            </w:pPr>
            <w:r>
              <w:rPr>
                <w:rFonts w:ascii="Arial" w:cs="Arial" w:eastAsia="Arial" w:hAnsi="Arial"/>
                <w:sz w:val="18"/>
                <w:szCs w:val="18"/>
                <w:color w:val="auto"/>
              </w:rPr>
              <w:t>$</w:t>
            </w:r>
          </w:p>
        </w:tc>
        <w:tc>
          <w:tcPr>
            <w:tcW w:w="440" w:type="dxa"/>
            <w:vAlign w:val="bottom"/>
            <w:gridSpan w:val="5"/>
          </w:tcPr>
          <w:p>
            <w:pPr>
              <w:ind w:left="60"/>
              <w:spacing w:after="0"/>
              <w:rPr>
                <w:sz w:val="20"/>
                <w:szCs w:val="20"/>
                <w:color w:val="auto"/>
              </w:rPr>
            </w:pPr>
            <w:r>
              <w:rPr>
                <w:rFonts w:ascii="Arial" w:cs="Arial" w:eastAsia="Arial" w:hAnsi="Arial"/>
                <w:sz w:val="18"/>
                <w:szCs w:val="18"/>
                <w:color w:val="auto"/>
                <w:w w:val="79"/>
              </w:rPr>
              <w:t>6,018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w w:val="97"/>
              </w:rPr>
              <w:t>5,666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5,267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140" w:type="dxa"/>
            <w:vAlign w:val="bottom"/>
            <w:gridSpan w:val="9"/>
            <w:shd w:val="clear" w:color="auto" w:fill="CCEEFF"/>
          </w:tcPr>
          <w:p>
            <w:pPr>
              <w:ind w:left="1560"/>
              <w:spacing w:after="0"/>
              <w:rPr>
                <w:sz w:val="20"/>
                <w:szCs w:val="20"/>
                <w:color w:val="auto"/>
              </w:rPr>
            </w:pPr>
            <w:r>
              <w:rPr>
                <w:rFonts w:ascii="Arial" w:cs="Arial" w:eastAsia="Arial" w:hAnsi="Arial"/>
                <w:sz w:val="18"/>
                <w:szCs w:val="18"/>
                <w:color w:val="auto"/>
                <w:w w:val="86"/>
              </w:rPr>
              <w:t>$20,162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9"/>
            <w:shd w:val="clear" w:color="auto" w:fill="CCEEFF"/>
          </w:tcPr>
          <w:p>
            <w:pPr>
              <w:ind w:left="80"/>
              <w:spacing w:after="0"/>
              <w:rPr>
                <w:sz w:val="20"/>
                <w:szCs w:val="20"/>
                <w:color w:val="auto"/>
              </w:rPr>
            </w:pPr>
            <w:r>
              <w:rPr>
                <w:rFonts w:ascii="Arial" w:cs="Arial" w:eastAsia="Arial" w:hAnsi="Arial"/>
                <w:sz w:val="18"/>
                <w:szCs w:val="18"/>
                <w:color w:val="auto"/>
                <w:w w:val="94"/>
              </w:rPr>
              <w:t>$ (6,486)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9"/>
              </w:rPr>
              <w:t>$36,932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2140" w:type="dxa"/>
            <w:vAlign w:val="bottom"/>
            <w:gridSpan w:val="9"/>
          </w:tcPr>
          <w:p>
            <w:pPr>
              <w:ind w:left="1560"/>
              <w:spacing w:after="0"/>
              <w:rPr>
                <w:sz w:val="20"/>
                <w:szCs w:val="20"/>
                <w:color w:val="auto"/>
              </w:rPr>
            </w:pPr>
            <w:r>
              <w:rPr>
                <w:rFonts w:ascii="Arial" w:cs="Arial" w:eastAsia="Arial" w:hAnsi="Arial"/>
                <w:sz w:val="18"/>
                <w:szCs w:val="18"/>
                <w:color w:val="auto"/>
                <w:w w:val="86"/>
              </w:rPr>
              <w:t>$26,180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5"/>
          </w:tcPr>
          <w:p>
            <w:pPr>
              <w:ind w:left="60"/>
              <w:spacing w:after="0"/>
              <w:rPr>
                <w:sz w:val="20"/>
                <w:szCs w:val="20"/>
                <w:color w:val="auto"/>
              </w:rPr>
            </w:pPr>
            <w:r>
              <w:rPr>
                <w:rFonts w:ascii="Arial" w:cs="Arial" w:eastAsia="Arial" w:hAnsi="Arial"/>
                <w:sz w:val="18"/>
                <w:szCs w:val="18"/>
                <w:color w:val="auto"/>
                <w:w w:val="99"/>
              </w:rPr>
              <w:t>(820)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w w:val="89"/>
              </w:rPr>
              <w:t>$42,199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4"/>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4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79"/>
              </w:rPr>
              <w:t>1.23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4"/>
          </w:tcPr>
          <w:p>
            <w:pPr>
              <w:ind w:left="1560"/>
              <w:spacing w:after="0"/>
              <w:rPr>
                <w:sz w:val="20"/>
                <w:szCs w:val="20"/>
                <w:color w:val="auto"/>
              </w:rPr>
            </w:pPr>
            <w:r>
              <w:rPr>
                <w:rFonts w:ascii="Arial" w:cs="Arial" w:eastAsia="Arial" w:hAnsi="Arial"/>
                <w:sz w:val="18"/>
                <w:szCs w:val="18"/>
                <w:color w:val="auto"/>
              </w:rPr>
              <w:t>$</w:t>
            </w:r>
          </w:p>
        </w:tc>
        <w:tc>
          <w:tcPr>
            <w:tcW w:w="480" w:type="dxa"/>
            <w:vAlign w:val="bottom"/>
            <w:gridSpan w:val="6"/>
          </w:tcPr>
          <w:p>
            <w:pPr>
              <w:ind w:left="6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w w:val="97"/>
              </w:rPr>
              <w:t>11.72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4"/>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8.11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Q4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9,662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7"/>
          </w:tcPr>
          <w:p>
            <w:pPr>
              <w:jc w:val="right"/>
              <w:ind w:right="160"/>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3,941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w w:val="86"/>
              </w:rPr>
              <w:t>(16,475)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89"/>
              </w:rPr>
              <w:t>$11,263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w w:val="85"/>
              </w:rPr>
              <w:t>$ (37,778)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8"/>
          </w:tcPr>
          <w:p>
            <w:pPr>
              <w:jc w:val="right"/>
              <w:ind w:right="100"/>
              <w:spacing w:after="0"/>
              <w:rPr>
                <w:sz w:val="20"/>
                <w:szCs w:val="20"/>
                <w:color w:val="auto"/>
              </w:rPr>
            </w:pPr>
            <w:r>
              <w:rPr>
                <w:rFonts w:ascii="Arial" w:cs="Arial" w:eastAsia="Arial" w:hAnsi="Arial"/>
                <w:sz w:val="18"/>
                <w:szCs w:val="18"/>
                <w:color w:val="auto"/>
                <w:w w:val="86"/>
              </w:rPr>
              <w:t>(11,041)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w w:val="89"/>
              </w:rPr>
              <w:t>$15,204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8"/>
          </w:tcPr>
          <w:p>
            <w:pPr>
              <w:jc w:val="right"/>
              <w:ind w:right="40"/>
              <w:spacing w:after="0"/>
              <w:rPr>
                <w:sz w:val="20"/>
                <w:szCs w:val="20"/>
                <w:color w:val="auto"/>
              </w:rPr>
            </w:pPr>
            <w:r>
              <w:rPr>
                <w:rFonts w:ascii="Arial" w:cs="Arial" w:eastAsia="Arial" w:hAnsi="Arial"/>
                <w:sz w:val="18"/>
                <w:szCs w:val="18"/>
                <w:color w:val="auto"/>
                <w:w w:val="85"/>
              </w:rPr>
              <w:t>$ (33,329)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7"/>
          </w:tcPr>
          <w:p>
            <w:pPr>
              <w:jc w:val="right"/>
              <w:ind w:right="1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10.77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7.41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8.51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63"/>
        </w:trPr>
        <w:tc>
          <w:tcPr>
            <w:tcW w:w="4720" w:type="dxa"/>
            <w:vAlign w:val="bottom"/>
          </w:tcPr>
          <w:p>
            <w:pPr>
              <w:spacing w:after="0"/>
              <w:rPr>
                <w:sz w:val="24"/>
                <w:szCs w:val="24"/>
                <w:color w:val="auto"/>
              </w:rPr>
            </w:pPr>
          </w:p>
        </w:tc>
        <w:tc>
          <w:tcPr>
            <w:tcW w:w="1640" w:type="dxa"/>
            <w:vAlign w:val="bottom"/>
            <w:gridSpan w:val="3"/>
          </w:tcPr>
          <w:p>
            <w:pPr>
              <w:jc w:val="right"/>
              <w:ind w:right="852"/>
              <w:spacing w:after="0"/>
              <w:rPr>
                <w:sz w:val="20"/>
                <w:szCs w:val="20"/>
                <w:color w:val="auto"/>
              </w:rPr>
            </w:pPr>
            <w:r>
              <w:rPr>
                <w:rFonts w:ascii="Arial" w:cs="Arial" w:eastAsia="Arial" w:hAnsi="Arial"/>
                <w:sz w:val="18"/>
                <w:szCs w:val="18"/>
                <w:color w:val="auto"/>
              </w:rPr>
              <w:t>S-16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8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4,348</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3,208</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(5,152)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(14,522)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(0.01)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12.83</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12.08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500"/>
          </w:cols>
          <w:pgMar w:left="240" w:top="459" w:right="11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RBC Capital Markets, LLC, Credit Suisse Securities (USA) LLC, Stifel, Nicolaus &amp; Company, Incorporated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supplement and to dealers at that price less a concession not in excess of $</w:t>
      </w:r>
      <w:r>
        <w:rPr>
          <w:sz w:val="20"/>
          <w:szCs w:val="20"/>
          <w:color w:val="auto"/>
        </w:rPr>
        <w:tab/>
      </w:r>
      <w:r>
        <w:rPr>
          <w:rFonts w:ascii="Arial" w:cs="Arial" w:eastAsia="Arial" w:hAnsi="Arial"/>
          <w:sz w:val="15"/>
          <w:szCs w:val="15"/>
          <w:color w:val="auto"/>
        </w:rPr>
        <w:t>per share. The underwriters may allow, and the dealers may reallow, a discount</w:t>
      </w:r>
    </w:p>
    <w:p>
      <w:pPr>
        <w:spacing w:after="0" w:line="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not in excess of $</w:t>
      </w:r>
      <w:r>
        <w:rPr>
          <w:sz w:val="20"/>
          <w:szCs w:val="20"/>
          <w:color w:val="auto"/>
        </w:rPr>
        <w:tab/>
      </w:r>
      <w:r>
        <w:rPr>
          <w:rFonts w:ascii="Arial" w:cs="Arial" w:eastAsia="Arial" w:hAnsi="Arial"/>
          <w:sz w:val="15"/>
          <w:szCs w:val="15"/>
          <w:color w:val="auto"/>
        </w:rPr>
        <w:t>per share to other dealers. After the public offering, the public offering price, concession and discount may be changed.</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1,350,000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4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8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to PennantPark Investment Corporation (before offering expenses of $460,000)</w:t>
            </w:r>
          </w:p>
        </w:tc>
        <w:tc>
          <w:tcPr>
            <w:tcW w:w="13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63"/>
        </w:trPr>
        <w:tc>
          <w:tcPr>
            <w:tcW w:w="7020" w:type="dxa"/>
            <w:vAlign w:val="bottom"/>
          </w:tcPr>
          <w:p>
            <w:pPr>
              <w:ind w:left="5540"/>
              <w:spacing w:after="0"/>
              <w:rPr>
                <w:sz w:val="20"/>
                <w:szCs w:val="20"/>
                <w:color w:val="auto"/>
              </w:rPr>
            </w:pPr>
            <w:r>
              <w:rPr>
                <w:rFonts w:ascii="Arial" w:cs="Arial" w:eastAsia="Arial" w:hAnsi="Arial"/>
                <w:sz w:val="18"/>
                <w:szCs w:val="18"/>
                <w:color w:val="auto"/>
              </w:rPr>
              <w:t>S-18</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1,350,000 additional shares at the public offering price less the underwriting discount.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144"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received or will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amended and restated credit facility. Some of the underwriters and their affiliates were underwriters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principal business addresses of Morgan Stanley &amp; Co. LLC, is 1585 Broadway, New York, NY 10036; Goldman, Sachs &amp; Co. is 200 West Street, New York, NY 10282; RBC Capital Markets, LLC is Three World Financial Center, New York, NY 10281; Credit Suisse Securities (USA) LLC is Eleven Madison Avenue, New York, NY 10010; Stifel, Nicolaus &amp; Company, Incorporated is 501 N. Broadway, St Louis, MO 63102 and SunTrust Robinson Humphrey, Inc is 3333 Peachtree Road, NE, Atlanta, GA 30326.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ind w:right="560"/>
        <w:spacing w:after="0" w:line="261"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0880"/>
          </w:cols>
          <w:pgMar w:left="240" w:top="459" w:right="7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6,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127000</wp:posOffset>
            </wp:positionV>
            <wp:extent cx="141478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7 and “Sales of Common Stock Below Net Asset Value” on page 42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December 16, 2011 was $10.16 per share, and our net asset value on September 30, 2011 was $10.13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3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6, 2012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3"/>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BUSINESS</w:t>
              </w:r>
            </w:hyperlink>
          </w:p>
        </w:tc>
        <w:tc>
          <w:tcPr>
            <w:tcW w:w="1016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DESCRIPTION OF OUR UNITS</w:t>
              </w:r>
            </w:hyperlink>
          </w:p>
        </w:tc>
        <w:tc>
          <w:tcPr>
            <w:tcW w:w="86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55">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4"/>
              </w:rPr>
            </w:pPr>
            <w:hyperlink w:anchor="page164">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000" w:type="dxa"/>
            <w:vAlign w:val="bottom"/>
            <w:gridSpan w:val="33"/>
          </w:tcPr>
          <w:p>
            <w:pPr>
              <w:spacing w:after="0"/>
              <w:rPr>
                <w:sz w:val="20"/>
                <w:szCs w:val="20"/>
                <w:color w:val="auto"/>
              </w:rPr>
            </w:pPr>
            <w:r>
              <w:rPr>
                <w:rFonts w:ascii="Arial" w:cs="Arial" w:eastAsia="Arial" w:hAnsi="Arial"/>
                <w:sz w:val="18"/>
                <w:szCs w:val="18"/>
                <w:color w:val="auto"/>
              </w:rPr>
              <w:t>PART C OTHER INFORMATION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0" w:type="dxa"/>
            <w:vAlign w:val="bottom"/>
            <w:gridSpan w:val="33"/>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or any future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$1.2 billion in debt and equity capital and has invested over $1.5 billion in more than 150 companies with over 70 different financial sponsors through its managed funds.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See “Management’s Discussion and Analysis of Financial Condition and Results of Operations—Liquidity and Capital Resources” for more information.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stockholder expenses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3.34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9.31</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9680" w:space="720"/>
            <w:col w:w="1000"/>
          </w:cols>
          <w:pgMar w:left="240" w:top="459" w:right="259" w:bottom="1440" w:gutter="0" w:footer="0" w:header="0"/>
          <w:type w:val="continuous"/>
        </w:sectPr>
      </w:pPr>
    </w:p>
    <w:p>
      <w:pPr>
        <w:ind w:left="460" w:right="2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2011.</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2011. See “Certain Relationships and Transactions—Investment Management Agreement” for more information.</w:t>
      </w: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31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6.11%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$ 221</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per share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 be at a higher cost or on less favorable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SBA debentures.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may be unable to make distributions to us that will enable us to meet or maintain RIC status.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board of directors. Decreases in the market value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4"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10"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1"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6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price for our common stockholders or otherwise be in your best interest. Our senior securities may include conversion features that cause them to bear risks more closely associated with an investment in our common stock.</w:t>
      </w:r>
    </w:p>
    <w:p>
      <w:pPr>
        <w:spacing w:after="0" w:line="51" w:lineRule="exact"/>
        <w:rPr>
          <w:sz w:val="20"/>
          <w:szCs w:val="20"/>
          <w:color w:val="auto"/>
        </w:rPr>
      </w:pPr>
    </w:p>
    <w:p>
      <w:pPr>
        <w:ind w:left="900" w:right="100" w:hanging="446"/>
        <w:spacing w:after="0" w:line="28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0"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SBA Debentures</w:t>
      </w:r>
      <w:r>
        <w:rPr>
          <w:rFonts w:ascii="Arial" w:cs="Arial" w:eastAsia="Arial" w:hAnsi="Arial"/>
          <w:sz w:val="16"/>
          <w:szCs w:val="16"/>
          <w:color w:val="auto"/>
        </w:rPr>
        <w:t>. 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is licensed by the SBA and is subject to SBA regulations.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In July 2010, our wholly-owned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SBIC LP’s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wholly-owned subsidiary.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lenders would receive proceeds before our stockholders. Additionally, the SBA, as a lender and an administrative agent, has a superior claim over the assets of SBIC LP in relation to our lender. In addition, borrowings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920" w:type="dxa"/>
            <w:vAlign w:val="bottom"/>
          </w:tcPr>
          <w:p>
            <w:pPr>
              <w:ind w:lef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and of PennantPark Floating Rate Capital Ltd., another BDC.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each quarter-end,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liability maturities. Our borrowings under our Credit Facility and SBIC LP’s SBA debentures are collateralized by the assets in each entity’s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60" w:hanging="446"/>
        <w:spacing w:after="0" w:line="28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loss of BDC,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90" w:lineRule="exact"/>
        <w:rPr>
          <w:sz w:val="20"/>
          <w:szCs w:val="20"/>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21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distribute our common stock as a dividend of our taxable income,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of 2002 (the “Sarbanes-Oxley Act”), and other rules implemented by the SEC and the listing standards of the NASDAQ.</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the interest rate at that time was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60,140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(42,382)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w w:val="89"/>
              </w:rPr>
              <w:t>Consolidated Statement of Assets and Liabilities data (at period end):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$ 26,139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$ 15,095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$ 13,159</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$ 11,171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(46,260)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$ 14,351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(31,165)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$ 13,587</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$ 25,522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$ 16,681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8,957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7,059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$ 11,847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10,770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5,666</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rPr>
              <w:t>$ 20,162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$ 36,932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$ 26,180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$ 42,199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$ 11,431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4,449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(16,475)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11,263</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(37,778)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(11,041)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15,204</w:t>
            </w:r>
          </w:p>
        </w:tc>
        <w:tc>
          <w:tcPr>
            <w:tcW w:w="60" w:type="dxa"/>
            <w:vAlign w:val="bottom"/>
          </w:tcPr>
          <w:p>
            <w:pPr>
              <w:spacing w:after="0"/>
              <w:rPr>
                <w:sz w:val="18"/>
                <w:szCs w:val="18"/>
                <w:color w:val="auto"/>
              </w:rPr>
            </w:pP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 (33,329)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Q4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$ 5,425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$ 3,208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 (18,870)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$(5,152)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right"/>
              <w:ind w:right="415"/>
              <w:spacing w:after="0"/>
              <w:rPr>
                <w:sz w:val="20"/>
                <w:szCs w:val="20"/>
                <w:color w:val="auto"/>
              </w:rPr>
            </w:pPr>
            <w:r>
              <w:rPr>
                <w:rFonts w:ascii="Arial" w:cs="Arial" w:eastAsia="Arial" w:hAnsi="Arial"/>
                <w:sz w:val="18"/>
                <w:szCs w:val="18"/>
                <w:color w:val="auto"/>
              </w:rPr>
              <w:t>$ (14,522)</w:t>
            </w: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89"/>
              </w:rPr>
              <w:t>$(1,944)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 (0.09)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$ 13.74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$ 14.04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SBIC LP under its administration agreement with us. Our board of directors, a majority of whom are independent of us and PennantPark Investment Advisers, supervises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5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0.90%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5.58%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September 30, 2011.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SBA debentures in the amount of $150.0 million outstanding with a weighted average interest rate of 3.70%, exclusive of the 3.43%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upfront fees (4.04% inclusive of the the 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2011. See the Consolidated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the Investment Adviser responsible for the portfolio investment;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76"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Consolidated Statement of Assets and Liabilities and changes in fair value of our Credit Facility are recorded in Consolidated Statement of Operations. We elected not to apply ASC 825-10 to any other financial assets or liabilities including the SBA debentures. For the years ended September 30, 2011 and 2010, our Credit Facility had a new change in unrealized appreciation of $11.9 million and $35.7 million, respectively. As of September 30, 2011 and 2010, net unrealized depreciation on our Credit Facility totaled $2.1 million and $14.0 million, respectively. We use nationally recognized independent valuation services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the sum of our ordinary income and realized net short-term capital gains, if any, our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growth in our overall portfolio which was also driven by investment of the proceeds from our equity offering and rotation out of lower yielding assets.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growth in our overall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2009 totaled $22.4 million. Base management fee for the same period totaled $7.7 million, performance-based incentive fee totaled $5.7 million, Credit Facility and SBA debentures related expenses totaled $4.6 million, general and administrative expenses totaled $4.4 million. The increase in expenses over the prior year was due to the growth of our portfolio and offset by the reduced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 investment income totaled $52.6 million or $1.25 per share, $32.1 million or $1.09 per share and $22.7 million or $1.08 per share for the fiscal years ended September 30, 2011, 2010 and 2009, respectively. The increase in per share net investment income from 2010 to 2011 was the result of the growth of our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$(46.8) million, $35.5 million and $44.5 million for the fiscal years ended September 30, 2011, 2010 and 2009, respectively. Net change in unrealized (appreciation) deprecation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uses of existing funds and any funds raised in the future is expected to be for repayment of indebtedness, investments in portfolio companies, cash distributions to our shareholders and for other general corporate purposes.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25, 2007, PennantPark Investment entered into the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were in compliance with the terms of our Credit Facility.</w:t>
      </w:r>
    </w:p>
    <w:p>
      <w:pPr>
        <w:spacing w:after="0" w:line="14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contributed $75.0 million to SBIC LP and had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As of September 30, 2011</w:t>
            </w:r>
          </w:p>
        </w:tc>
        <w:tc>
          <w:tcPr>
            <w:tcW w:w="52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180"/>
              <w:spacing w:after="0"/>
              <w:rPr>
                <w:sz w:val="20"/>
                <w:szCs w:val="20"/>
                <w:color w:val="auto"/>
              </w:rPr>
            </w:pPr>
            <w:r>
              <w:rPr>
                <w:rFonts w:ascii="Arial" w:cs="Arial" w:eastAsia="Arial" w:hAnsi="Arial"/>
                <w:sz w:val="14"/>
                <w:szCs w:val="14"/>
                <w:b w:val="1"/>
                <w:bCs w:val="1"/>
                <w:color w:val="auto"/>
              </w:rPr>
              <w:t>Issuance Dates</w:t>
            </w:r>
          </w:p>
        </w:tc>
        <w:tc>
          <w:tcPr>
            <w:tcW w:w="440" w:type="dxa"/>
            <w:vAlign w:val="bottom"/>
          </w:tcPr>
          <w:p>
            <w:pPr>
              <w:spacing w:after="0"/>
              <w:rPr>
                <w:sz w:val="15"/>
                <w:szCs w:val="15"/>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520" w:type="dxa"/>
            <w:vAlign w:val="bottom"/>
          </w:tcPr>
          <w:p>
            <w:pPr>
              <w:spacing w:after="0"/>
              <w:rPr>
                <w:sz w:val="15"/>
                <w:szCs w:val="15"/>
                <w:color w:val="auto"/>
              </w:rPr>
            </w:pPr>
          </w:p>
        </w:tc>
        <w:tc>
          <w:tcPr>
            <w:tcW w:w="124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Fixed SBA Debentures</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22, 2010</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29, 2011</w:t>
            </w:r>
          </w:p>
        </w:tc>
        <w:tc>
          <w:tcPr>
            <w:tcW w:w="2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44,500,000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September 21, 2011</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105,000,000</w:t>
            </w:r>
          </w:p>
        </w:tc>
        <w:tc>
          <w:tcPr>
            <w:tcW w:w="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Interim SBA Debentures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SBA Commitment</w:t>
            </w: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2011, SBIC LP was in compliance with its regulatory requirements.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September 30, 2011, we had approximately $49 million of assets bearing a coupon of 9% or lower. We will look to rotate these assets into new higher yielding investments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net cash proceeds of $95.6 million for the same period, primarily from proceeds from our follow-on public offerings of common stock. Our operating activities used cash primarily for investing, that was provided from proceeds from secondary public offerings and draws under our Credit Facility.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$42.4 million for the fiscal year ended September 30, 2009, and our financing activities provided net cash proceeds of $35.4 million for the same period, primarily from borrowings under our Credit Facility. Our operating activities used cash primarily for investing, that was provided from proceeds from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borrowings under our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2011 was 2.20% exclusive of the fee on undrawn commitment of 0.20% on the Credit Facility and 3.43% of upfront fees on the SBA debentures.</w:t>
      </w:r>
    </w:p>
    <w:p>
      <w:pPr>
        <w:ind w:left="460" w:right="30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first lien secured debt and subordinated debt investments.</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 For the fiscal years ended September 30, 2011 and 2010, we have elected to retain a portion of our calendar year income and record an excise tax of $0.2 million and $0.1 million,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40" w:firstLine="8"/>
        <w:spacing w:after="0" w:line="253"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Assuming that the balance sheet as of September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2011, 2010, 2009, 2008 and 2007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Amount</w:t>
            </w:r>
          </w:p>
        </w:tc>
        <w:tc>
          <w:tcPr>
            <w:tcW w:w="100" w:type="dxa"/>
            <w:vAlign w:val="bottom"/>
          </w:tcPr>
          <w:p>
            <w:pPr>
              <w:spacing w:after="0"/>
              <w:rPr>
                <w:sz w:val="12"/>
                <w:szCs w:val="12"/>
                <w:color w:val="auto"/>
              </w:rPr>
            </w:pPr>
          </w:p>
        </w:tc>
        <w:tc>
          <w:tcPr>
            <w:tcW w:w="1620" w:type="dxa"/>
            <w:vAlign w:val="bottom"/>
            <w:gridSpan w:val="2"/>
          </w:tcPr>
          <w:p>
            <w:pPr>
              <w:jc w:val="center"/>
              <w:ind w:right="100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640" w:type="dxa"/>
            <w:vAlign w:val="bottom"/>
          </w:tcPr>
          <w:p>
            <w:pPr>
              <w:spacing w:after="0"/>
              <w:rPr>
                <w:sz w:val="15"/>
                <w:szCs w:val="15"/>
                <w:color w:val="auto"/>
              </w:rPr>
            </w:pPr>
          </w:p>
        </w:tc>
        <w:tc>
          <w:tcPr>
            <w:tcW w:w="18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92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2,912</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2,115</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28,039</w:t>
            </w:r>
          </w:p>
        </w:tc>
        <w:tc>
          <w:tcPr>
            <w:tcW w:w="90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16, 2011, the last reported closing price of our common stock was $10.16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5"/>
                <w:szCs w:val="5"/>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 (as of December 16, 2011)</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$ 11.02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$ 8.57</w:t>
            </w:r>
          </w:p>
        </w:tc>
        <w:tc>
          <w:tcPr>
            <w:tcW w:w="4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13.05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10.94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9.15</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12.83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shares traded on the NASDAQ Global Select Market at $8.92 and $10.61 as of September 30, 2011 and September 30, 2010, respectively. Our NAV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 and $10.69, as of September 30, 2011 and September 30, 2010, respectively. The possibility that our shares of common stock will trade at a discount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asset value or at a premium that is unsustainable over the long term is separate and distinct from the risk that our net asset value will decrease. It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possible to predict whether our shares will trade at, above or below net asset value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89"/>
              </w:rPr>
              <w:t>Example 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6"/>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left="361"/>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2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at 10% Discount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9.52</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offering proceeds per share to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9.00</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1,100,000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NAV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9.91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Percentage held by stockholder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ind w:right="277"/>
              <w:spacing w:after="0"/>
              <w:rPr>
                <w:sz w:val="20"/>
                <w:szCs w:val="20"/>
                <w:color w:val="auto"/>
              </w:rPr>
            </w:pPr>
            <w:r>
              <w:rPr>
                <w:rFonts w:ascii="Arial" w:cs="Arial" w:eastAsia="Arial" w:hAnsi="Arial"/>
                <w:sz w:val="18"/>
                <w:szCs w:val="18"/>
                <w:color w:val="auto"/>
                <w:w w:val="79"/>
              </w:rPr>
              <w:t>53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18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1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Below NAV</w:t>
            </w:r>
          </w:p>
        </w:tc>
        <w:tc>
          <w:tcPr>
            <w:tcW w:w="10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99,800</w:t>
            </w:r>
          </w:p>
        </w:tc>
        <w:tc>
          <w:tcPr>
            <w:tcW w:w="3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99,100</w:t>
            </w:r>
          </w:p>
        </w:tc>
        <w:tc>
          <w:tcPr>
            <w:tcW w:w="4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Total investment by stockholder A (assumed to be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tcPr>
          <w:p>
            <w:pPr>
              <w:ind w:left="440"/>
              <w:spacing w:after="0"/>
              <w:rPr>
                <w:sz w:val="20"/>
                <w:szCs w:val="20"/>
                <w:color w:val="auto"/>
              </w:rPr>
            </w:pPr>
            <w:r>
              <w:rPr>
                <w:rFonts w:ascii="Arial" w:cs="Arial" w:eastAsia="Arial" w:hAnsi="Arial"/>
                <w:sz w:val="18"/>
                <w:szCs w:val="18"/>
                <w:color w:val="auto"/>
                <w:w w:val="94"/>
              </w:rPr>
              <w:t>Total dilution to stockholder A (total NAV less 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(assumed to be $10.00 per share on shares held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to sale)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tcPr>
          <w:p>
            <w:pPr>
              <w:ind w:left="440"/>
              <w:spacing w:after="0"/>
              <w:rPr>
                <w:sz w:val="20"/>
                <w:szCs w:val="20"/>
                <w:color w:val="auto"/>
              </w:rPr>
            </w:pPr>
            <w:r>
              <w:rPr>
                <w:rFonts w:ascii="Arial" w:cs="Arial" w:eastAsia="Arial" w:hAnsi="Arial"/>
                <w:sz w:val="18"/>
                <w:szCs w:val="18"/>
                <w:color w:val="auto"/>
                <w:w w:val="95"/>
              </w:rPr>
              <w:t>Dilution per share held by stockholder A (NAV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Percentage dilution to stockholder A (dilution per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 compared to the price they pay for their shares. Investors who are not currently stockholders and who participate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at 5% Discount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r>
      <w:tr>
        <w:trPr>
          <w:trHeight w:val="224"/>
        </w:trPr>
        <w:tc>
          <w:tcPr>
            <w:tcW w:w="34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7"/>
              </w:rPr>
              <w:t>Prior to Sale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r>
      <w:tr>
        <w:trPr>
          <w:trHeight w:val="161"/>
        </w:trPr>
        <w:tc>
          <w:tcPr>
            <w:tcW w:w="34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Sale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9.52</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1,100,000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(0.20)%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9,910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9,952</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8"/>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3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3</w:t>
            </w: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20% Offering</w:t>
            </w:r>
          </w:p>
        </w:tc>
      </w:t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20% Discount</w:t>
            </w:r>
          </w:p>
        </w:tc>
      </w:tr>
      <w:tr>
        <w:trPr>
          <w:trHeight w:val="224"/>
        </w:trPr>
        <w:tc>
          <w:tcPr>
            <w:tcW w:w="44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r>
      <w:tr>
        <w:trPr>
          <w:trHeight w:val="161"/>
        </w:trPr>
        <w:tc>
          <w:tcPr>
            <w:tcW w:w="44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6"/>
              </w:rPr>
              <w:t>Sale</w:t>
            </w: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9.91</w:t>
            </w:r>
          </w:p>
        </w:tc>
        <w:tc>
          <w:tcPr>
            <w:tcW w:w="44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9.52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(0.07)</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0.39</w:t>
            </w:r>
          </w:p>
        </w:tc>
        <w:tc>
          <w:tcPr>
            <w:tcW w:w="4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4.10%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14.17%</w:t>
            </w:r>
          </w:p>
        </w:tc>
      </w:tr>
      <w:tr>
        <w:trPr>
          <w:trHeight w:val="363"/>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8"/>
              </w:rPr>
              <w:t>Record Dates</w:t>
            </w:r>
          </w:p>
        </w:tc>
        <w:tc>
          <w:tcPr>
            <w:tcW w:w="3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600" w:type="dxa"/>
            <w:vAlign w:val="bottom"/>
          </w:tcPr>
          <w:p>
            <w:pPr>
              <w:spacing w:after="0"/>
              <w:rPr>
                <w:sz w:val="14"/>
                <w:szCs w:val="14"/>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December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June 30, 2008</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March 31,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December 31, 2007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8 to our Consolidated Financial Statements as of September 30,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323" w:lineRule="auto"/>
        <w:tabs>
          <w:tab w:leader="none" w:pos="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See “Material U.S. Federal Income Tax Considerations” for more information.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as a RIC, under the Code.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on July 30,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preservation, diversification and active management. Since our Investment Adviser’s inception in 2007, it has raised about $1.2 billion in debt and equity capital and has invested over $1.5 billion in more than 150 companies with more than 70 different financial sponsors through its managed funds.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“Management’s Discussion and Analysis of Financial Condition and Results of Operations—Liquidity and Capital Resources” for more information.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Structurally, mezzanine debt, which we define to include second lien secured debt and subordinated debt, usually ranks subordinate in priority of payment to senior secured loans and will generally be unsecured.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Mezzanine debt may have interest-only payments in the early years, payable in cash or PIK payments with amortization of principal deferred to the later years of the mezzanine debt. In some cases, we may enter into mezzanine debt that, by its terms, converts into equity or additional debt securities or defers payments of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few years after our investment. Also, in some cases our mezzanine debt may be collateralized by a subordinated lien on some or all of the assets of the borrower. Typically, our mezzanine debt investments have maturities of three to ten years.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ectPr>
          <w:pgSz w:w="11900" w:h="16838" w:orient="portrait"/>
          <w:cols w:equalWidth="0" w:num="1">
            <w:col w:w="11380"/>
          </w:cols>
          <w:pgMar w:left="240" w:top="459" w:right="279" w:bottom="1440" w:gutter="0" w:footer="0" w:header="0"/>
        </w:sectPr>
      </w:pPr>
    </w:p>
    <w:p>
      <w:pPr>
        <w:spacing w:after="0" w:line="147" w:lineRule="exact"/>
        <w:rPr>
          <w:sz w:val="20"/>
          <w:szCs w:val="20"/>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300" w:right="100" w:hanging="429"/>
        <w:spacing w:after="0" w:line="268" w:lineRule="auto"/>
        <w:tabs>
          <w:tab w:leader="none" w:pos="11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60"/>
          </w:cols>
          <w:pgMar w:left="240" w:top="459" w:right="27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00" w:type="dxa"/>
            <w:vAlign w:val="bottom"/>
            <w:vMerge w:val="restart"/>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4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gridSpan w:val="2"/>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840" w:type="dxa"/>
            <w:vAlign w:val="bottom"/>
            <w:gridSpan w:val="2"/>
          </w:tcPr>
          <w:p>
            <w:pPr>
              <w:jc w:val="right"/>
              <w:ind w:right="22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Eureka Hunter Pipeline, LLC (Magnum Hunter</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Resources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Last Mile Funding Corp. (3PD,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Veritext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Kadmon Pharmaceuticals LLC (f/k/a Three River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Pharmaceuticals LLC)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Da-Lite Screen Company,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LTI Flexible Products,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Sugarhouse HSP Gaming Properties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4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3840" w:type="dxa"/>
            <w:vAlign w:val="bottom"/>
            <w:gridSpan w:val="2"/>
            <w:vMerge w:val="restart"/>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84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Home and Office Furnishings, Housewares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Durable 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30, 2011, our portfolio consisted of 48 companies and was invested 36% in senior secured loans, 20% in second lien secured debt, 37% in subordinated debt and 7% in preferred and common equity investments.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2011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2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Preferred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Surgical Holdings, Inc. (AH Holdings, Inc.)</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Suite 250</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Houston, TX 77036-7852</w:t>
            </w:r>
          </w:p>
        </w:tc>
        <w:tc>
          <w:tcPr>
            <w:tcW w:w="3920" w:type="dxa"/>
            <w:vAlign w:val="bottom"/>
            <w:gridSpan w:val="2"/>
            <w:vMerge w:val="continue"/>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86"/>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5"/>
              </w:rPr>
              <w:t>Subordinated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Energy / Utilities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Services, Inc.</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2502 South Main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Kennesaw, GA 30144</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3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Broadcasting and Entertainment</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Common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CEVA Group PLC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Logistics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 St. George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London W1S 1FS</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United Kingdom</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80" w:type="dxa"/>
            <w:vAlign w:val="bottom"/>
            <w:gridSpan w:val="3"/>
          </w:tcPr>
          <w:p>
            <w:pPr>
              <w:spacing w:after="0"/>
              <w:rPr>
                <w:sz w:val="20"/>
                <w:szCs w:val="20"/>
                <w:color w:val="auto"/>
              </w:rPr>
            </w:pPr>
            <w:r>
              <w:rPr>
                <w:rFonts w:ascii="Arial" w:cs="Arial" w:eastAsia="Arial" w:hAnsi="Arial"/>
                <w:sz w:val="14"/>
                <w:szCs w:val="14"/>
                <w:color w:val="auto"/>
              </w:rPr>
              <w:t>Chester Downs and Marina, LLC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Hotels, Motels, Inns and Gaming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Harrah’s Blvd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Chester, PA 19103</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Columbus International, Inc.</w:t>
            </w:r>
          </w:p>
        </w:tc>
        <w:tc>
          <w:tcPr>
            <w:tcW w:w="20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First Lien Secured Debt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Roebuck &amp; Palmetto Sts.</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Bridgetown, Barbados, West Indies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Consolidated Foundries, Inc. (CFHC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Subordinated Debt Preferred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4200 Valley Blvd.</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Pomona, CA 91766</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Telecommunications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Jose, CA 95131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CT Technologies Intermediate Holdings,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LLC (CT Technologies Intermediate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875 North Michigan Avenue</w:t>
            </w:r>
          </w:p>
        </w:tc>
        <w:tc>
          <w:tcPr>
            <w:tcW w:w="392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Chicago, IL 60601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 (DirectBuy Investors, L.P.)</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8450 Broadway</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Merrillville, IN 46410</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Stock</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Diversitech Corporation</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Manufacturing/Basic Industry</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6650 Sugarloaf Parkway, Suite 100,</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Duluth, GA 30097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Eureka Hunter Pipeline, LLC (Magnum Hunter Resources Corporation)</w:t>
            </w:r>
          </w:p>
        </w:tc>
        <w:tc>
          <w:tcPr>
            <w:tcW w:w="3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9"/>
              </w:rPr>
              <w:t>Energy/Utilities Oil and Gas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777 Post Oak Blvd., Suite 650</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Equity Warrants</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Electronics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Good Sam Enterprises, LLC (f/k/a Affinity Group Holdings Inc.)</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3920" w:type="dxa"/>
            <w:vAlign w:val="bottom"/>
            <w:gridSpan w:val="2"/>
            <w:vMerge w:val="continue"/>
            <w:shd w:val="clear" w:color="auto" w:fill="CCEEFF"/>
          </w:tcPr>
          <w:p>
            <w:pPr>
              <w:spacing w:after="0"/>
              <w:rPr>
                <w:sz w:val="12"/>
                <w:szCs w:val="12"/>
                <w:color w:val="auto"/>
              </w:rPr>
            </w:pPr>
          </w:p>
        </w:tc>
        <w:tc>
          <w:tcPr>
            <w:tcW w:w="24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w w:val="96"/>
              </w:rPr>
              <w:t>Greatwide Logistics Services, L.L.C. (Transportation 100 HoldCo, LLC)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12404 Park Central Dr., Ste. 300s</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Hanley-Wood,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Printing and Publishing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Suite 155,</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3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Home and Office Furnishings, Housewares and Durable Consumer</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Products</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Palm Beach, FL 33401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Portfolio Company</w:t>
      </w:r>
    </w:p>
    <w:p>
      <w:pPr>
        <w:spacing w:after="0" w:line="17" w:lineRule="exact"/>
        <w:rPr>
          <w:sz w:val="20"/>
          <w:szCs w:val="20"/>
          <w:color w:val="auto"/>
        </w:rPr>
      </w:pPr>
    </w:p>
    <w:p>
      <w:pPr>
        <w:ind w:left="220" w:right="580" w:hanging="215"/>
        <w:spacing w:after="0" w:line="230" w:lineRule="auto"/>
        <w:rPr>
          <w:sz w:val="20"/>
          <w:szCs w:val="20"/>
          <w:color w:val="auto"/>
        </w:rPr>
      </w:pPr>
      <w:r>
        <w:rPr>
          <w:rFonts w:ascii="Arial" w:cs="Arial" w:eastAsia="Arial" w:hAnsi="Arial"/>
          <w:sz w:val="14"/>
          <w:szCs w:val="14"/>
          <w:color w:val="auto"/>
        </w:rPr>
        <w:t>Kadmon Pharmaceuticals, L.L.C. (f/k/a Three Rivers Pharmaceuticals, L.L.C.)</w:t>
      </w:r>
    </w:p>
    <w:p>
      <w:pPr>
        <w:spacing w:after="0" w:line="222" w:lineRule="auto"/>
        <w:rPr>
          <w:sz w:val="20"/>
          <w:szCs w:val="20"/>
          <w:color w:val="auto"/>
        </w:rPr>
      </w:pPr>
      <w:r>
        <w:rPr>
          <w:rFonts w:ascii="Arial" w:cs="Arial" w:eastAsia="Arial" w:hAnsi="Arial"/>
          <w:sz w:val="14"/>
          <w:szCs w:val="14"/>
          <w:color w:val="auto"/>
        </w:rPr>
        <w:t>Alexandria Center for Life Sciences</w:t>
      </w:r>
    </w:p>
    <w:p>
      <w:pPr>
        <w:spacing w:after="0" w:line="182" w:lineRule="auto"/>
        <w:rPr>
          <w:sz w:val="20"/>
          <w:szCs w:val="20"/>
          <w:color w:val="auto"/>
        </w:rPr>
      </w:pPr>
      <w:r>
        <w:rPr>
          <w:rFonts w:ascii="Arial" w:cs="Arial" w:eastAsia="Arial" w:hAnsi="Arial"/>
          <w:sz w:val="11"/>
          <w:szCs w:val="11"/>
          <w:color w:val="auto"/>
        </w:rPr>
        <w:t>450 East 29</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Floor</w:t>
      </w:r>
    </w:p>
    <w:p>
      <w:pPr>
        <w:spacing w:after="0"/>
        <w:rPr>
          <w:sz w:val="20"/>
          <w:szCs w:val="20"/>
          <w:color w:val="auto"/>
        </w:rPr>
      </w:pPr>
      <w:r>
        <w:rPr>
          <w:rFonts w:ascii="Arial" w:cs="Arial" w:eastAsia="Arial" w:hAnsi="Arial"/>
          <w:sz w:val="14"/>
          <w:szCs w:val="14"/>
          <w:color w:val="auto"/>
        </w:rPr>
        <w:t>New York, NY 10016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r>
      <w:tr>
        <w:trPr>
          <w:trHeight w:val="334"/>
        </w:trPr>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Healthcare, Education and Childcare</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2.5%</w:t>
            </w:r>
          </w:p>
        </w:tc>
      </w:tr>
      <w:tr>
        <w:trPr>
          <w:trHeight w:val="172"/>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-333375</wp:posOffset>
            </wp:positionV>
            <wp:extent cx="7246620" cy="488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460" w:space="720"/>
            <w:col w:w="7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3800" w:type="dxa"/>
            <w:vAlign w:val="bottom"/>
          </w:tcPr>
          <w:p>
            <w:pPr>
              <w:jc w:val="center"/>
              <w:ind w:left="12"/>
              <w:spacing w:after="0"/>
              <w:rPr>
                <w:sz w:val="20"/>
                <w:szCs w:val="20"/>
                <w:color w:val="auto"/>
              </w:rPr>
            </w:pPr>
            <w:r>
              <w:rPr>
                <w:rFonts w:ascii="Arial" w:cs="Arial" w:eastAsia="Arial" w:hAnsi="Arial"/>
                <w:sz w:val="14"/>
                <w:szCs w:val="14"/>
                <w:color w:val="auto"/>
                <w:w w:val="86"/>
              </w:rPr>
              <w:t>Cargo Transport</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 South Service Road, Suite 120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Education</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4"/>
              </w:rPr>
              <w:t>Warrants</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7"/>
              </w:rPr>
              <w:t>Chemical, Plastic and Rubber</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600 S. McClure Road,</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Stanislaus County, CA 95357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PAS Technologies, Inc. (PAS Tech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3"/>
              </w:rPr>
              <w:t>Aerospace and Defense</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North Kansas City, MO 64116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Preferred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2560" w:type="dxa"/>
            <w:vAlign w:val="bottom"/>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8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Pre-Paid Legal Services, Inc. (MidOcean PPL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Pre-Paid Way</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5"/>
              </w:rPr>
              <w:t>Personal, Food and Miscellaneous Services</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Ada, OK 74820</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Mining, Steel, Iron and Non-Precious Metals</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East 44th Street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Questex Media Group LLC (QMG HoldCo, LLC)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0"/>
              </w:rPr>
              <w:t>Other Media</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Newton, MA 02466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RAM Energy Resources,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9"/>
              </w:rPr>
              <w:t>Oil and Gas</w:t>
            </w:r>
          </w:p>
        </w:tc>
        <w:tc>
          <w:tcPr>
            <w:tcW w:w="2560" w:type="dxa"/>
            <w:vAlign w:val="bottom"/>
          </w:tcPr>
          <w:p>
            <w:pPr>
              <w:jc w:val="center"/>
              <w:ind w:left="92"/>
              <w:spacing w:after="0"/>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5100 East Skelly Drive, Suite 650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Tulsa, OK 74135</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8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Buildings and Real Estate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ROC Finance LLC and ROC Finance 1</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20"/>
              <w:spacing w:after="0" w:line="149" w:lineRule="exact"/>
              <w:rPr>
                <w:sz w:val="20"/>
                <w:szCs w:val="20"/>
                <w:color w:val="auto"/>
              </w:rPr>
            </w:pPr>
            <w:r>
              <w:rPr>
                <w:rFonts w:ascii="Arial" w:cs="Arial" w:eastAsia="Arial" w:hAnsi="Arial"/>
                <w:sz w:val="14"/>
                <w:szCs w:val="14"/>
                <w:color w:val="auto"/>
              </w:rPr>
              <w:t>Corp.</w:t>
            </w:r>
          </w:p>
        </w:tc>
        <w:tc>
          <w:tcPr>
            <w:tcW w:w="38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256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Detroit, MI 48226</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TRAK Acquisition Corp.</w:t>
            </w:r>
          </w:p>
        </w:tc>
        <w:tc>
          <w:tcPr>
            <w:tcW w:w="30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0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296"/>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rPr>
                <w:sz w:val="20"/>
                <w:szCs w:val="20"/>
                <w:color w:val="auto"/>
              </w:rPr>
            </w:pPr>
            <w:r>
              <w:rPr>
                <w:rFonts w:ascii="Arial" w:cs="Arial" w:eastAsia="Arial" w:hAnsi="Arial"/>
                <w:sz w:val="14"/>
                <w:szCs w:val="14"/>
                <w:color w:val="auto"/>
              </w:rPr>
              <w:t>TransFirst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Financial Services</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Dallas, TX 75225</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(Trizetto Group, Inc.)</w:t>
            </w:r>
          </w:p>
        </w:tc>
        <w:tc>
          <w:tcPr>
            <w:tcW w:w="390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4"/>
              </w:rPr>
              <w:t>Insurance</w:t>
            </w:r>
          </w:p>
        </w:tc>
        <w:tc>
          <w:tcPr>
            <w:tcW w:w="242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4"/>
                <w:szCs w:val="14"/>
                <w:color w:val="auto"/>
                <w:w w:val="88"/>
              </w:rPr>
              <w:t>Preferred Equity</w:t>
            </w:r>
          </w:p>
        </w:tc>
        <w:tc>
          <w:tcPr>
            <w:tcW w:w="7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UP Support Services, Inc. (Universal Pegasus International, Inc.)</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4848 Loop Central Drive</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Oil and Gas</w:t>
            </w: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Houston, TX 77081</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3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Veritext Corp. (VText Holdings, Inc.)</w:t>
            </w:r>
          </w:p>
        </w:tc>
        <w:tc>
          <w:tcPr>
            <w:tcW w:w="390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6"/>
              <w:spacing w:after="0" w:line="12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44113</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VPSI, Inc. (Verde Parent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Personal Transportation</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Yonkers Racing Corp.</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Hotels, Motels, Inns and Gaming</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New York, NY 10704</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EnviroSolutions,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Environmental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205" w:lineRule="exact"/>
              <w:rPr>
                <w:sz w:val="20"/>
                <w:szCs w:val="20"/>
                <w:color w:val="auto"/>
              </w:rPr>
            </w:pPr>
            <w:r>
              <w:rPr>
                <w:rFonts w:ascii="Arial" w:cs="Arial" w:eastAsia="Arial" w:hAnsi="Arial"/>
                <w:sz w:val="23"/>
                <w:szCs w:val="23"/>
                <w:color w:val="auto"/>
                <w:vertAlign w:val="subscript"/>
              </w:rPr>
              <w:t>6.9%</w:t>
            </w:r>
            <w:r>
              <w:rPr>
                <w:rFonts w:ascii="Arial" w:cs="Arial" w:eastAsia="Arial" w:hAnsi="Arial"/>
                <w:sz w:val="10"/>
                <w:szCs w:val="10"/>
                <w:color w:val="auto"/>
              </w:rPr>
              <w:t>(2), (3)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11220 Asset Loop, Suite 201</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Manassas, VA 20109</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Performance Holdings, Inc. (NCP-Performance)</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One Performance Way</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Leisure, Amusement, Motion Pictures, Entertainment</w:t>
            </w: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Chapel Hill, NC 27514</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Arial" w:cs="Arial" w:eastAsia="Arial" w:hAnsi="Arial"/>
                <w:sz w:val="14"/>
                <w:szCs w:val="14"/>
                <w:color w:val="auto"/>
              </w:rPr>
              <w:t>SuttonPark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100%</w:t>
            </w:r>
            <w:r>
              <w:rPr>
                <w:rFonts w:ascii="Arial" w:cs="Arial" w:eastAsia="Arial" w:hAnsi="Arial"/>
                <w:sz w:val="10"/>
                <w:szCs w:val="10"/>
                <w:color w:val="auto"/>
              </w:rPr>
              <w:t>(3), (4)</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New York, NY 10022</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7.6%.</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Eureka Hunter Pipeline, LLC (Magnum Hunter Resources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Eureka Hunter Pipeline, LLC is a wholly-owned subsidiary of Magnum Hunter Resources and a pipeline gathering system in the Marcellus Shale region.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00" w:type="dxa"/>
            <w:vAlign w:val="bottom"/>
          </w:tcPr>
          <w:p>
            <w:pPr>
              <w:spacing w:after="0"/>
              <w:rPr>
                <w:sz w:val="14"/>
                <w:szCs w:val="14"/>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8"/>
        </w:trPr>
        <w:tc>
          <w:tcPr>
            <w:tcW w:w="5440" w:type="dxa"/>
            <w:vAlign w:val="bottom"/>
            <w:gridSpan w:val="3"/>
            <w:vMerge w:val="continue"/>
          </w:tcPr>
          <w:p>
            <w:pPr>
              <w:spacing w:after="0"/>
              <w:rPr>
                <w:sz w:val="12"/>
                <w:szCs w:val="12"/>
                <w:color w:val="auto"/>
              </w:rPr>
            </w:pPr>
          </w:p>
        </w:tc>
        <w:tc>
          <w:tcPr>
            <w:tcW w:w="3720" w:type="dxa"/>
            <w:vAlign w:val="bottom"/>
            <w:gridSpan w:val="2"/>
          </w:tcPr>
          <w:p>
            <w:pPr>
              <w:jc w:val="right"/>
              <w:ind w:right="195"/>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40" w:type="dxa"/>
            <w:vAlign w:val="bottom"/>
            <w:vMerge w:val="restart"/>
            <w:shd w:val="clear" w:color="auto" w:fill="CCEEFF"/>
          </w:tcPr>
          <w:p>
            <w:pPr>
              <w:spacing w:after="0" w:line="20" w:lineRule="exact"/>
              <w:rPr>
                <w:sz w:val="1"/>
                <w:szCs w:val="1"/>
                <w:color w:val="auto"/>
              </w:rPr>
            </w:pPr>
          </w:p>
        </w:tc>
        <w:tc>
          <w:tcPr>
            <w:tcW w:w="2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Home and Office Furnishings, Housewares &amp; Durable Consumer Products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00" w:type="dxa"/>
            <w:vAlign w:val="bottom"/>
          </w:tcPr>
          <w:p>
            <w:pPr>
              <w:jc w:val="right"/>
              <w:ind w:right="2453"/>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980" w:type="dxa"/>
            <w:vAlign w:val="bottom"/>
            <w:vMerge w:val="restart"/>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Age</w:t>
            </w:r>
          </w:p>
        </w:tc>
        <w:tc>
          <w:tcPr>
            <w:tcW w:w="4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0"/>
              </w:rPr>
              <w:t>Since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Aviv Efrat</w:t>
            </w:r>
          </w:p>
        </w:tc>
        <w:tc>
          <w:tcPr>
            <w:tcW w:w="4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Guy F. Talarico</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Compliance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Investment and PennantPark Floating Rate Capital Ltd. in February 2007 and March 2011,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Investment and PennantPark Floating Rate Capital Ltd. in February 2007 and March 2011,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Investment and PennantPark Floating Rate Capital Ltd. in February 2007 and March 2011,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Investment and PennantPark Floating Rate Capital Ltd. in February 2007 and March 2011,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Investment and PennantPark Floating Rate Capital Ltd. at their inception in January 2007 and March 2011, respectively. He also founded and became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Aviv Efrat (47), Chief Financial Officer and Treasurer. Mr. Efrat became PennantPark Investment’s and PennantPark Floating Rate Capital Ltd.’s Chief Financial Officer and Treasurer in February 2007 and March 2011,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Guy F. Talarico (56), Chief Compliance Officer. Mr. Talarico became PennantPark Investment’s and PennantPark Floating Rate Capital Ltd.’s Chief Compliance Officer in 2008 and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fiscal year ended September 30, 2011,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2011.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jc w:val="center"/>
              <w:ind w:right="420"/>
              <w:spacing w:after="0"/>
              <w:rPr>
                <w:sz w:val="20"/>
                <w:szCs w:val="20"/>
                <w:color w:val="auto"/>
              </w:rPr>
            </w:pPr>
            <w:r>
              <w:rPr>
                <w:rFonts w:ascii="Arial" w:cs="Arial" w:eastAsia="Arial" w:hAnsi="Arial"/>
                <w:sz w:val="14"/>
                <w:szCs w:val="14"/>
                <w:b w:val="1"/>
                <w:bCs w:val="1"/>
                <w:color w:val="auto"/>
                <w:w w:val="88"/>
              </w:rPr>
              <w:t>Pension or retirement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6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w w:val="86"/>
              </w:rPr>
              <w:t>Aggregate</w:t>
            </w:r>
          </w:p>
        </w:tc>
        <w:tc>
          <w:tcPr>
            <w:tcW w:w="190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54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740" w:type="dxa"/>
            <w:vAlign w:val="bottom"/>
          </w:tcPr>
          <w:p>
            <w:pPr>
              <w:spacing w:after="0"/>
              <w:rPr>
                <w:sz w:val="15"/>
                <w:szCs w:val="15"/>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compensation</w:t>
            </w:r>
          </w:p>
        </w:tc>
        <w:tc>
          <w:tcPr>
            <w:tcW w:w="1900" w:type="dxa"/>
            <w:vAlign w:val="bottom"/>
          </w:tcPr>
          <w:p>
            <w:pPr>
              <w:jc w:val="center"/>
              <w:ind w:right="42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director / officer</w:t>
            </w: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Independent Directors have the option to receive their directors’ fees paid in shares of our common stock issued at a price per share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greater of net asset value or the market price at the time of payment. No compensation is expected to be paid to directors who are “interested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2011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42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PennantPark Floating Rate</w:t>
            </w:r>
          </w:p>
        </w:tc>
        <w:tc>
          <w:tcPr>
            <w:tcW w:w="10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Capital Ltd.</w:t>
            </w: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Business development</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Primarily floating rate loans, with an emphasis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company</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senior secured loans, in middle-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market leveraged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the December 2, 2011,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2,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940" w:type="dxa"/>
            <w:vAlign w:val="bottom"/>
            <w:vMerge w:val="restart"/>
          </w:tcPr>
          <w:p>
            <w:pPr>
              <w:spacing w:after="0"/>
              <w:rPr>
                <w:sz w:val="12"/>
                <w:szCs w:val="12"/>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102,358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113,482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499,475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40,294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855,623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4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309,791 shares held by PennantPark Investment Advisers, LLC.</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2, 2011.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480" w:type="dxa"/>
            <w:vAlign w:val="bottom"/>
          </w:tcPr>
          <w:p>
            <w:pPr>
              <w:spacing w:after="0"/>
              <w:rPr>
                <w:sz w:val="22"/>
                <w:szCs w:val="22"/>
                <w:color w:val="auto"/>
              </w:rPr>
            </w:pPr>
          </w:p>
        </w:tc>
        <w:tc>
          <w:tcPr>
            <w:tcW w:w="378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00" w:type="dxa"/>
            <w:vAlign w:val="bottom"/>
            <w:tcBorders>
              <w:top w:val="single" w:sz="8" w:color="auto"/>
            </w:tcBorders>
            <w:gridSpan w:val="3"/>
          </w:tcPr>
          <w:p>
            <w:pPr>
              <w:ind w:left="360"/>
              <w:spacing w:after="0" w:line="136" w:lineRule="exact"/>
              <w:rPr>
                <w:sz w:val="20"/>
                <w:szCs w:val="20"/>
                <w:color w:val="auto"/>
              </w:rPr>
            </w:pPr>
            <w:r>
              <w:rPr>
                <w:rFonts w:ascii="Arial" w:cs="Arial" w:eastAsia="Arial" w:hAnsi="Arial"/>
                <w:sz w:val="14"/>
                <w:szCs w:val="14"/>
                <w:b w:val="1"/>
                <w:bCs w:val="1"/>
                <w:color w:val="auto"/>
              </w:rPr>
              <w:t>PennantPark Investment</w:t>
            </w:r>
          </w:p>
        </w:tc>
        <w:tc>
          <w:tcPr>
            <w:tcW w:w="2860" w:type="dxa"/>
            <w:vAlign w:val="bottom"/>
            <w:tcBorders>
              <w:top w:val="single" w:sz="8" w:color="auto"/>
            </w:tcBorders>
            <w:gridSpan w:val="4"/>
          </w:tcPr>
          <w:p>
            <w:pPr>
              <w:jc w:val="center"/>
              <w:ind w:right="66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0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Rate Capital Ltd.</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tcPr>
          <w:p>
            <w:pPr>
              <w:jc w:val="right"/>
              <w:ind w:right="680"/>
              <w:spacing w:after="0"/>
              <w:rPr>
                <w:sz w:val="20"/>
                <w:szCs w:val="20"/>
                <w:color w:val="auto"/>
              </w:rPr>
            </w:pPr>
            <w:r>
              <w:rPr>
                <w:rFonts w:ascii="Arial" w:cs="Arial" w:eastAsia="Arial" w:hAnsi="Arial"/>
                <w:sz w:val="18"/>
                <w:szCs w:val="18"/>
                <w:color w:val="auto"/>
              </w:rPr>
              <w:t>$ 50,001–$100,000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480" w:type="dxa"/>
            <w:vAlign w:val="bottom"/>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tcPr>
          <w:p>
            <w:pPr>
              <w:spacing w:after="0"/>
              <w:rPr>
                <w:sz w:val="18"/>
                <w:szCs w:val="18"/>
                <w:color w:val="auto"/>
              </w:rPr>
            </w:pPr>
          </w:p>
        </w:tc>
        <w:tc>
          <w:tcPr>
            <w:tcW w:w="1920" w:type="dxa"/>
            <w:vAlign w:val="bottom"/>
            <w:gridSpan w:val="3"/>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$100,001–$500,000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1–$ 10,000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480" w:type="dxa"/>
            <w:vAlign w:val="bottom"/>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interests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2011, 2010 and 2009, the Investment Adviser earned base management fees, after fee waivers, if any, of $14.9 million, $11.6 million and $7.7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and adjusted for any share issuances or repurchases during the current quarter.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109855</wp:posOffset>
            </wp:positionV>
            <wp:extent cx="2470150" cy="4718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incentive fees of $13.2 million, $8.0 million and $5.7 million, respectively. For the fiscal years ended September 30, 2011, 2010 and 2009 our unrealized capital gains did not exceed our cumulative realized and unrealized capital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22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59"/>
        <w:spacing w:after="0"/>
        <w:tabs>
          <w:tab w:leader="none" w:pos="60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0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jc w:val="right"/>
              <w:ind w:right="267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19"/>
          </w:cols>
          <w:pgMar w:left="240" w:top="459" w:right="1440"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-1%)</w:t>
      </w:r>
    </w:p>
    <w:p>
      <w:pPr>
        <w:spacing w:after="0" w:line="32" w:lineRule="exact"/>
        <w:rPr>
          <w:sz w:val="20"/>
          <w:szCs w:val="20"/>
          <w:color w:val="auto"/>
        </w:rPr>
      </w:pPr>
    </w:p>
    <w:p>
      <w:pPr>
        <w:sectPr>
          <w:pgSz w:w="11900" w:h="16838" w:orient="portrait"/>
          <w:cols w:equalWidth="0" w:num="2">
            <w:col w:w="2160" w:space="720"/>
            <w:col w:w="8520"/>
          </w:cols>
          <w:pgMar w:left="240" w:top="459" w:right="259" w:bottom="1440" w:gutter="0" w:footer="0" w:header="0"/>
          <w:type w:val="continuous"/>
        </w:sectPr>
      </w:pPr>
    </w:p>
    <w:p>
      <w:pPr>
        <w:ind w:left="3020" w:hanging="135"/>
        <w:spacing w:after="0"/>
        <w:tabs>
          <w:tab w:leader="none" w:pos="3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2011, 2010 and 2009, the Investment Adviser and Administrator were reimbursed $2.6 million, $2.1 million and $1.7 million, respectively.</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years ended September 30, 2011 and 2010, PennantPark Investment was reimbursed $0.5 million and $0.1 million, respectively,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16, 2011 was $10.16 per share. As of September 30,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Held by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6400" w:type="dxa"/>
            <w:vAlign w:val="bottom"/>
            <w:vMerge w:val="restart"/>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Authorized</w:t>
            </w:r>
          </w:p>
        </w:tc>
        <w:tc>
          <w:tcPr>
            <w:tcW w:w="16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Account</w:t>
            </w: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45,689,781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580" w:hanging="5166"/>
        <w:spacing w:after="0" w:line="440" w:lineRule="auto"/>
        <w:tabs>
          <w:tab w:leader="none" w:pos="8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98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excluding the SBA debentures due to SEC exemptive relief granted June 1,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 Factors—Risks Relating to our Business and Structure—Regulations governing our operation as a business development company will affect our ability to, and the way in which we, raise additional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814-00736), filed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8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SBIC LP is licensed under the SBA as a SBIC under Section 301(c) of the 1958 Act. SBIC LP received its license in July 2010.</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LP has invested in a company, it may continue to make follow-on investments in the company, regardless of the size of the business, up and until the time a business offers its securities in a public market.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SBA prohibits an SBIC from financing small businesses in certain industries such as relending, gambling, oil and gas exploration and other passive businesses. Additional SBA prohibitions include investing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an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24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acts as our transfer agent, distribution paying agent and registrar.</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principal business address of American Stock Transfer &amp; Trust Company, LLC is P.O. Box 922, Wall Street Station, New York, New York 10269, telephone number: (800) 937-5449. American Stock Transfer &amp; Trust Company may also serve as trustee for offerings of our debt securities.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16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20" w:type="dxa"/>
            <w:vAlign w:val="bottom"/>
          </w:tcPr>
          <w:p>
            <w:pPr>
              <w:spacing w:after="0"/>
              <w:rPr>
                <w:sz w:val="19"/>
                <w:szCs w:val="19"/>
                <w:color w:val="auto"/>
              </w:rPr>
            </w:pPr>
          </w:p>
        </w:tc>
      </w:tr>
      <w:tr>
        <w:trPr>
          <w:trHeight w:val="419"/>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82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18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Management’s Report on Internal Control over Financial Reporting</w:t>
              </w:r>
            </w:hyperlink>
          </w:p>
        </w:tc>
        <w:tc>
          <w:tcPr>
            <w:tcW w:w="474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 On Internal Control Over Financial Reporting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Consolidated Statements of Assets and Liabilities as of September 30, 2011 and 2010</w:t>
              </w:r>
            </w:hyperlink>
          </w:p>
        </w:tc>
        <w:tc>
          <w:tcPr>
            <w:tcW w:w="136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69">
              <w:r>
                <w:rPr>
                  <w:rFonts w:ascii="Arial" w:cs="Arial" w:eastAsia="Arial" w:hAnsi="Arial"/>
                  <w:sz w:val="18"/>
                  <w:szCs w:val="18"/>
                  <w:color w:val="0000EE"/>
                  <w:w w:val="86"/>
                </w:rPr>
                <w:t>Consolidated Statements of Operations for the years ended September 30, 2011, 2010 and 2009</w:t>
              </w:r>
            </w:hyperlink>
          </w:p>
        </w:tc>
        <w:tc>
          <w:tcPr>
            <w:tcW w:w="278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70">
              <w:r>
                <w:rPr>
                  <w:rFonts w:ascii="Arial" w:cs="Arial" w:eastAsia="Arial" w:hAnsi="Arial"/>
                  <w:sz w:val="18"/>
                  <w:szCs w:val="18"/>
                  <w:color w:val="0000EE"/>
                  <w:w w:val="87"/>
                </w:rPr>
                <w:t>Consolidated Statements of Changes in Net Assets for the years ended September 30, 2011, 2010 and 2009</w:t>
              </w:r>
            </w:hyperlink>
          </w:p>
        </w:tc>
        <w:tc>
          <w:tcPr>
            <w:tcW w:w="1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Cash Flows for the years ended September 30, 2011, 2010 and 2009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76">
              <w:r>
                <w:rPr>
                  <w:rFonts w:ascii="Arial" w:cs="Arial" w:eastAsia="Arial" w:hAnsi="Arial"/>
                  <w:sz w:val="18"/>
                  <w:szCs w:val="18"/>
                  <w:color w:val="0000EE"/>
                  <w:w w:val="86"/>
                </w:rPr>
                <w:t>Consolidated Schedules of Investments as of September 30, 2011 and 2010</w:t>
              </w:r>
            </w:hyperlink>
          </w:p>
        </w:tc>
        <w:tc>
          <w:tcPr>
            <w:tcW w:w="1460" w:type="dxa"/>
            <w:vAlign w:val="bottom"/>
            <w:tcBorders>
              <w:top w:val="single" w:sz="8" w:color="0000EE"/>
            </w:tcBorders>
            <w:gridSpan w:val="3"/>
          </w:tcPr>
          <w:p>
            <w:pPr>
              <w:spacing w:after="0"/>
              <w:rPr>
                <w:sz w:val="24"/>
                <w:szCs w:val="24"/>
                <w:color w:val="auto"/>
              </w:rPr>
            </w:pPr>
          </w:p>
        </w:tc>
        <w:tc>
          <w:tcPr>
            <w:tcW w:w="2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Notes to the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6"/>
          </w:tcPr>
          <w:p>
            <w:pPr>
              <w:jc w:val="center"/>
              <w:ind w:right="336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2011,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F-3.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773,375,381</w:t>
            </w: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(cost—$816,078,311 and $631,280,755, respectively)</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(cost—$36,744,425 and $17,427,648,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40,673,133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(cost—$13,500,100 and $8,000,100,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13,500,001</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(cost—$866,322,836 and $656,708,503,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827,548,515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10,878,236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13,118,967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12,336,241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18,572,499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37,132,151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(cost—$240,900,000 and $233,100,000,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238,792,125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and $14,500,000, respectively), (See Notes 5 and 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687,362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3,773,829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466,081,018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324,918,623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Common stock, 45,689,781 and 36,158,772 shares are issued and outstanding, respectively.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gridSpan w:val="2"/>
          </w:tcPr>
          <w:p>
            <w:pPr>
              <w:spacing w:after="0"/>
              <w:rPr>
                <w:sz w:val="20"/>
                <w:szCs w:val="20"/>
                <w:color w:val="auto"/>
              </w:rPr>
            </w:pPr>
            <w:r>
              <w:rPr>
                <w:rFonts w:ascii="Arial" w:cs="Arial" w:eastAsia="Arial" w:hAnsi="Arial"/>
                <w:sz w:val="18"/>
                <w:szCs w:val="18"/>
                <w:color w:val="auto"/>
              </w:rPr>
              <w:t>Par value is $0.001 per share and 100,000,000 shares are authorized.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540,603,020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8,326,854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(49,651,922)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(38,774,321)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Years ended September 30,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83,632,455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57,467,862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43,613,233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4,726,387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2,217,320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1,392,381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91,738,495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60,139,757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45,118,771</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14,899,983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11,618,773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13,161,597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8,018,309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2,596,756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2,328,210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Expenses before income tax</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27,966,846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39,093,420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28,065,140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52,645,075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32,074,617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22,718,915</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16,259,622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(15,417,097)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(45,350,345)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36,275,341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(1,439,878)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(2,455,952)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5 and 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(11,851,000)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(35,665,745)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(58,641,223)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52,326,993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(42,381,601)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(15,539,126)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13,083,114</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10,263,474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16,535,491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35,802,029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52,645,075</w:t>
            </w:r>
          </w:p>
        </w:tc>
        <w:tc>
          <w:tcPr>
            <w:tcW w:w="1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32,074,617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gain(loss)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(15,417,097)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(46,790,223)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35,543,716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(11,851,000)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(35,665,745)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10,263,474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16,535,491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35,802,029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(46,347,691)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(32,264,036)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(20,226,021)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114,080,000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107,710,000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Reinvestment of dividends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76,081,973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85,994,955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48,056,008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(See Note 5)</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year balance</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300,580,268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462,657,196</w:t>
            </w:r>
          </w:p>
        </w:tc>
        <w:tc>
          <w:tcPr>
            <w:tcW w:w="1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386,575,223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1,800,646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10,790,000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Years ended September 30,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16,535,491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35,802,029</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Adjustments to reconcile net increase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change in net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(35,543,716)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(44,498,373)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35,665,745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(16,259,622)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15,417,097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(4,203,920)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(2,890,687)</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(479,733,669)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(309,455,078)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(112,693,490)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(10,883,750)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(4,729,590)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304,008,543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145,237,359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27,956,008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(7,275,040)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507,143</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(27,528,767)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(34,212,501)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33,295,475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15,872,049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Increase (Decrease) in interest payable on credit facility and SBA debentures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(652,529)</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(90,927)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258,912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1,066,706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2,134,214</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1,534,818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730,847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1,385,131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(500,423)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(137,812,516)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(127,050,830)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(42,355,514)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107,710,000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34,400,000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(5,986,500)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(39,582,741)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(27,919,260)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(20,226,021)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(4,450,875)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(686,625)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701,900,000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256,000,000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169,600,000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(694,100,000)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(248,000,000)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95,617,615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35,353,979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(31,433,215)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(7,001,535)</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33,247,666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1,814,451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4,149,149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3,161,048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5,014,055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3,829,990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2"/>
                <w:szCs w:val="12"/>
                <w:color w:val="auto"/>
              </w:rPr>
            </w:pPr>
          </w:p>
        </w:tc>
        <w:tc>
          <w:tcPr>
            <w:tcW w:w="15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82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Companies—167.2%</w:t>
            </w:r>
            <w:r>
              <w:rPr>
                <w:rFonts w:ascii="Arial" w:cs="Arial" w:eastAsia="Arial" w:hAnsi="Arial"/>
                <w:sz w:val="20"/>
                <w:szCs w:val="20"/>
                <w:b w:val="1"/>
                <w:bCs w:val="1"/>
                <w:color w:val="auto"/>
                <w:vertAlign w:val="superscript"/>
              </w:rPr>
              <w:t>(1),(2)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10/1/2016</w:t>
            </w:r>
          </w:p>
        </w:tc>
        <w:tc>
          <w:tcPr>
            <w:tcW w:w="900" w:type="dxa"/>
            <w:vAlign w:val="bottom"/>
          </w:tcPr>
          <w:p>
            <w:pPr>
              <w:spacing w:after="0"/>
              <w:rPr>
                <w:sz w:val="12"/>
                <w:szCs w:val="12"/>
                <w:color w:val="auto"/>
              </w:rPr>
            </w:pPr>
          </w:p>
        </w:tc>
        <w:tc>
          <w:tcPr>
            <w:tcW w:w="152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1"/>
              </w:rPr>
              <w:t>Logistics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4/1/2018</w:t>
            </w:r>
          </w:p>
        </w:tc>
        <w:tc>
          <w:tcPr>
            <w:tcW w:w="9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w w:val="91"/>
              </w:rPr>
              <w:t>Logistics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7/29/2016</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11/20/2014</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11/3/2015</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92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12/1/2016</w:t>
            </w:r>
          </w:p>
        </w:tc>
        <w:tc>
          <w:tcPr>
            <w:tcW w:w="242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3/10/2014</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8/7/2014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Printing and Publishing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9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10/4/2016</w:t>
            </w: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Jacuzzi Brands Corp.</w:t>
            </w:r>
          </w:p>
        </w:tc>
        <w:tc>
          <w:tcPr>
            <w:tcW w:w="700" w:type="dxa"/>
            <w:vAlign w:val="bottom"/>
            <w:gridSpan w:val="2"/>
            <w:shd w:val="clear" w:color="auto" w:fill="CCEEFF"/>
          </w:tcPr>
          <w:p>
            <w:pPr>
              <w:jc w:val="center"/>
              <w:ind w:left="112"/>
              <w:spacing w:after="0" w:line="139"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9"/>
              </w:rPr>
              <w:t>Home and Office</w:t>
            </w:r>
          </w:p>
        </w:tc>
        <w:tc>
          <w:tcPr>
            <w:tcW w:w="8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2.51%</w:t>
            </w:r>
          </w:p>
        </w:tc>
        <w:tc>
          <w:tcPr>
            <w:tcW w:w="7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Furnishings, Housewares</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and Durable Consumer</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86"/>
              </w:rPr>
              <w:t>Products</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9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9/10/2015</w:t>
            </w: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Chemicals, Plastics and</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P+675</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2"/>
          </w:tcPr>
          <w:p>
            <w:pPr>
              <w:jc w:val="center"/>
              <w:ind w:right="1000"/>
              <w:spacing w:after="0"/>
              <w:rPr>
                <w:sz w:val="20"/>
                <w:szCs w:val="20"/>
                <w:color w:val="auto"/>
              </w:rPr>
            </w:pPr>
            <w:r>
              <w:rPr>
                <w:rFonts w:ascii="Arial" w:cs="Arial" w:eastAsia="Arial" w:hAnsi="Arial"/>
                <w:sz w:val="14"/>
                <w:szCs w:val="14"/>
                <w:color w:val="auto"/>
                <w:w w:val="87"/>
              </w:rPr>
              <w:t>Rubber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Pharmaceuticals, LLC</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(f/k/a Three Rivers Pharmaceutical, L.L.C.)</w:t>
            </w:r>
          </w:p>
        </w:tc>
        <w:tc>
          <w:tcPr>
            <w:tcW w:w="92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8"/>
              </w:rPr>
              <w:t>10/22/2011</w:t>
            </w:r>
          </w:p>
        </w:tc>
        <w:tc>
          <w:tcPr>
            <w:tcW w:w="24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92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6"/>
              </w:rPr>
              <w:t>4/27/2016</w:t>
            </w:r>
          </w:p>
        </w:tc>
        <w:tc>
          <w:tcPr>
            <w:tcW w:w="2420" w:type="dxa"/>
            <w:vAlign w:val="bottom"/>
            <w:gridSpan w:val="3"/>
          </w:tcPr>
          <w:p>
            <w:pPr>
              <w:jc w:val="center"/>
              <w:ind w:right="100"/>
              <w:spacing w:after="0" w:line="122" w:lineRule="exact"/>
              <w:rPr>
                <w:sz w:val="20"/>
                <w:szCs w:val="20"/>
                <w:color w:val="auto"/>
              </w:rPr>
            </w:pPr>
            <w:r>
              <w:rPr>
                <w:rFonts w:ascii="Arial" w:cs="Arial" w:eastAsia="Arial" w:hAnsi="Arial"/>
                <w:sz w:val="14"/>
                <w:szCs w:val="14"/>
                <w:color w:val="auto"/>
                <w:w w:val="89"/>
              </w:rPr>
              <w:t>Education</w:t>
            </w:r>
          </w:p>
        </w:tc>
        <w:tc>
          <w:tcPr>
            <w:tcW w:w="86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8/1/2014</w:t>
            </w:r>
          </w:p>
        </w:tc>
        <w:tc>
          <w:tcPr>
            <w:tcW w:w="220" w:type="dxa"/>
            <w:vAlign w:val="bottom"/>
          </w:tcPr>
          <w:p>
            <w:pPr>
              <w:spacing w:after="0"/>
              <w:rPr>
                <w:sz w:val="12"/>
                <w:szCs w:val="12"/>
                <w:color w:val="auto"/>
              </w:rPr>
            </w:pP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Prepaid Legal Services, Inc., Tranche A</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12/30/2016</w:t>
            </w: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Personal, Food and</w:t>
            </w:r>
          </w:p>
        </w:tc>
        <w:tc>
          <w:tcPr>
            <w:tcW w:w="860" w:type="dxa"/>
            <w:vAlign w:val="bottom"/>
            <w:gridSpan w:val="2"/>
          </w:tcPr>
          <w:p>
            <w:pPr>
              <w:jc w:val="right"/>
              <w:ind w:right="140"/>
              <w:spacing w:after="0" w:line="165" w:lineRule="exact"/>
              <w:rPr>
                <w:sz w:val="20"/>
                <w:szCs w:val="20"/>
                <w:color w:val="auto"/>
              </w:rPr>
            </w:pPr>
            <w:r>
              <w:rPr>
                <w:rFonts w:ascii="Arial" w:cs="Arial" w:eastAsia="Arial" w:hAnsi="Arial"/>
                <w:sz w:val="12"/>
                <w:szCs w:val="12"/>
                <w:color w:val="auto"/>
              </w:rPr>
              <w:t>7.50%</w:t>
            </w:r>
            <w:r>
              <w:rPr>
                <w:rFonts w:ascii="Arial" w:cs="Arial" w:eastAsia="Arial" w:hAnsi="Arial"/>
                <w:sz w:val="19"/>
                <w:szCs w:val="19"/>
                <w:color w:val="auto"/>
                <w:vertAlign w:val="superscript"/>
              </w:rPr>
              <w:t>(6)</w:t>
            </w:r>
          </w:p>
        </w:tc>
        <w:tc>
          <w:tcPr>
            <w:tcW w:w="72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L+600</w:t>
            </w:r>
            <w:r>
              <w:rPr>
                <w:rFonts w:ascii="Arial" w:cs="Arial" w:eastAsia="Arial" w:hAnsi="Arial"/>
                <w:sz w:val="19"/>
                <w:szCs w:val="19"/>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920" w:type="dxa"/>
            <w:vAlign w:val="bottom"/>
            <w:gridSpan w:val="3"/>
          </w:tcPr>
          <w:p>
            <w:pPr>
              <w:jc w:val="center"/>
              <w:ind w:right="20"/>
              <w:spacing w:after="0" w:line="139" w:lineRule="exact"/>
              <w:rPr>
                <w:sz w:val="20"/>
                <w:szCs w:val="20"/>
                <w:color w:val="auto"/>
              </w:rPr>
            </w:pPr>
            <w:r>
              <w:rPr>
                <w:rFonts w:ascii="Arial" w:cs="Arial" w:eastAsia="Arial" w:hAnsi="Arial"/>
                <w:sz w:val="14"/>
                <w:szCs w:val="14"/>
                <w:color w:val="auto"/>
                <w:w w:val="88"/>
              </w:rPr>
              <w:t>12/30/2016</w:t>
            </w:r>
          </w:p>
        </w:tc>
        <w:tc>
          <w:tcPr>
            <w:tcW w:w="2420" w:type="dxa"/>
            <w:vAlign w:val="bottom"/>
            <w:gridSpan w:val="3"/>
          </w:tcPr>
          <w:p>
            <w:pPr>
              <w:jc w:val="center"/>
              <w:ind w:right="100"/>
              <w:spacing w:after="0" w:line="139" w:lineRule="exact"/>
              <w:rPr>
                <w:sz w:val="20"/>
                <w:szCs w:val="20"/>
                <w:color w:val="auto"/>
              </w:rPr>
            </w:pPr>
            <w:r>
              <w:rPr>
                <w:rFonts w:ascii="Arial" w:cs="Arial" w:eastAsia="Arial" w:hAnsi="Arial"/>
                <w:sz w:val="14"/>
                <w:szCs w:val="14"/>
                <w:color w:val="auto"/>
                <w:w w:val="85"/>
              </w:rPr>
              <w:t>Personal, Food and</w:t>
            </w: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39" w:lineRule="exact"/>
              <w:rPr>
                <w:sz w:val="20"/>
                <w:szCs w:val="20"/>
                <w:color w:val="auto"/>
              </w:rPr>
            </w:pPr>
            <w:r>
              <w:rPr>
                <w:rFonts w:ascii="Arial" w:cs="Arial" w:eastAsia="Arial" w:hAnsi="Arial"/>
                <w:sz w:val="14"/>
                <w:szCs w:val="14"/>
                <w:color w:val="auto"/>
              </w:rPr>
              <w:t>35,000,000</w:t>
            </w: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33,978,263</w:t>
            </w:r>
          </w:p>
        </w:tc>
        <w:tc>
          <w:tcPr>
            <w:tcW w:w="80" w:type="dxa"/>
            <w:vAlign w:val="bottom"/>
          </w:tcPr>
          <w:p>
            <w:pPr>
              <w:spacing w:after="0"/>
              <w:rPr>
                <w:sz w:val="12"/>
                <w:szCs w:val="12"/>
                <w:color w:val="auto"/>
              </w:rPr>
            </w:pP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12/16/2012</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12/16/2012</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12/23/2015</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7/15/2016</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2/1/2017</w:t>
            </w:r>
          </w:p>
        </w:tc>
        <w:tc>
          <w:tcPr>
            <w:tcW w:w="220" w:type="dxa"/>
            <w:vAlign w:val="bottom"/>
          </w:tcPr>
          <w:p>
            <w:pPr>
              <w:spacing w:after="0"/>
              <w:rPr>
                <w:sz w:val="12"/>
                <w:szCs w:val="12"/>
                <w:color w:val="auto"/>
              </w:rPr>
            </w:pP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8/16/2018</w:t>
            </w: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8/15/2012</w:t>
            </w: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12/15/2014</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12/15/2015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9/13/2016</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10/15/2017</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9/1/2018</w:t>
            </w:r>
          </w:p>
        </w:tc>
        <w:tc>
          <w:tcPr>
            <w:tcW w:w="220" w:type="dxa"/>
            <w:vAlign w:val="bottom"/>
          </w:tcPr>
          <w:p>
            <w:pPr>
              <w:spacing w:after="0"/>
              <w:rPr>
                <w:sz w:val="12"/>
                <w:szCs w:val="12"/>
                <w:color w:val="auto"/>
              </w:rPr>
            </w:pP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6/15/2015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92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6"/>
              </w:rPr>
              <w:t>6/15/2015</w:t>
            </w:r>
          </w:p>
        </w:tc>
        <w:tc>
          <w:tcPr>
            <w:tcW w:w="2420" w:type="dxa"/>
            <w:vAlign w:val="bottom"/>
            <w:tcBorders>
              <w:bottom w:val="single" w:sz="8" w:color="CCEEFF"/>
            </w:tcBorders>
            <w:gridSpan w:val="3"/>
          </w:tcPr>
          <w:p>
            <w:pPr>
              <w:jc w:val="center"/>
              <w:ind w:right="100"/>
              <w:spacing w:after="0" w:line="149" w:lineRule="exact"/>
              <w:rPr>
                <w:sz w:val="20"/>
                <w:szCs w:val="20"/>
                <w:color w:val="auto"/>
              </w:rPr>
            </w:pPr>
            <w:r>
              <w:rPr>
                <w:rFonts w:ascii="Arial" w:cs="Arial" w:eastAsia="Arial" w:hAnsi="Arial"/>
                <w:sz w:val="14"/>
                <w:szCs w:val="14"/>
                <w:color w:val="auto"/>
                <w:w w:val="87"/>
              </w:rPr>
              <w:t>Financial Services</w:t>
            </w:r>
          </w:p>
        </w:tc>
        <w:tc>
          <w:tcPr>
            <w:tcW w:w="860" w:type="dxa"/>
            <w:vAlign w:val="bottom"/>
            <w:tcBorders>
              <w:bottom w:val="single" w:sz="8" w:color="CCEEFF"/>
            </w:tcBorders>
            <w:gridSpan w:val="2"/>
          </w:tcPr>
          <w:p>
            <w:pPr>
              <w:jc w:val="right"/>
              <w:ind w:right="14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974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2"/>
                <w:szCs w:val="12"/>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2"/>
                <w:szCs w:val="12"/>
                <w:color w:val="auto"/>
              </w:rPr>
            </w:pPr>
          </w:p>
        </w:tc>
        <w:tc>
          <w:tcPr>
            <w:tcW w:w="154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5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Notes—65.0%</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11/15/2015</w:t>
            </w:r>
          </w:p>
        </w:tc>
        <w:tc>
          <w:tcPr>
            <w:tcW w:w="22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2"/>
              </w:rPr>
              <w:t>$26,345,000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100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8"/>
              </w:rPr>
              <w:t>12/15/2016</w:t>
            </w: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9"/>
              </w:rPr>
              <w:t>Diversified / Conglomerate</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11.13%</w:t>
            </w:r>
          </w:p>
        </w:tc>
        <w:tc>
          <w:tcPr>
            <w:tcW w:w="5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18,885,000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85"/>
              </w:rPr>
              <w:t>Services</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Foundries,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4/17/2015</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8,109,468</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Diversitech Corporation</w:t>
            </w:r>
          </w:p>
        </w:tc>
        <w:tc>
          <w:tcPr>
            <w:tcW w:w="700" w:type="dxa"/>
            <w:vAlign w:val="bottom"/>
            <w:gridSpan w:val="2"/>
            <w:shd w:val="clear" w:color="auto" w:fill="CCEEFF"/>
          </w:tcPr>
          <w:p>
            <w:pPr>
              <w:jc w:val="center"/>
              <w:ind w:left="92"/>
              <w:spacing w:after="0" w:line="139" w:lineRule="exact"/>
              <w:rPr>
                <w:sz w:val="20"/>
                <w:szCs w:val="20"/>
                <w:color w:val="auto"/>
              </w:rPr>
            </w:pPr>
            <w:r>
              <w:rPr>
                <w:rFonts w:ascii="Arial" w:cs="Arial" w:eastAsia="Arial" w:hAnsi="Arial"/>
                <w:sz w:val="14"/>
                <w:szCs w:val="14"/>
                <w:color w:val="auto"/>
                <w:w w:val="86"/>
              </w:rPr>
              <w:t>1/29/2017</w:t>
            </w: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89"/>
              </w:rPr>
              <w:t>Manufacturing/Basic</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11,000,000</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92"/>
              </w:rPr>
              <w:t>Industry</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6/1/2016</w:t>
            </w:r>
          </w:p>
        </w:tc>
        <w:tc>
          <w:tcPr>
            <w:tcW w:w="300" w:type="dxa"/>
            <w:vAlign w:val="bottom"/>
          </w:tcPr>
          <w:p>
            <w:pPr>
              <w:spacing w:after="0"/>
              <w:rPr>
                <w:sz w:val="12"/>
                <w:szCs w:val="12"/>
                <w:color w:val="auto"/>
              </w:rPr>
            </w:pPr>
          </w:p>
        </w:tc>
        <w:tc>
          <w:tcPr>
            <w:tcW w:w="22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7"/>
              </w:rPr>
              <w:t>Electronics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24,560,142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Last Mile Funding, Corp.</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14.50%</w:t>
            </w:r>
            <w:r>
              <w:rPr>
                <w:rFonts w:ascii="Arial" w:cs="Arial" w:eastAsia="Arial" w:hAnsi="Arial"/>
                <w:sz w:val="22"/>
                <w:szCs w:val="22"/>
                <w:color w:val="auto"/>
                <w:vertAlign w:val="superscript"/>
              </w:rPr>
              <w:t>(6)</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(3PD, Inc.)</w:t>
            </w:r>
          </w:p>
        </w:tc>
        <w:tc>
          <w:tcPr>
            <w:tcW w:w="700" w:type="dxa"/>
            <w:vAlign w:val="bottom"/>
            <w:gridSpan w:val="2"/>
            <w:shd w:val="clear" w:color="auto" w:fill="CCEEFF"/>
          </w:tcPr>
          <w:p>
            <w:pPr>
              <w:jc w:val="center"/>
              <w:ind w:left="92"/>
              <w:spacing w:after="0" w:line="159" w:lineRule="exact"/>
              <w:rPr>
                <w:sz w:val="20"/>
                <w:szCs w:val="20"/>
                <w:color w:val="auto"/>
              </w:rPr>
            </w:pPr>
            <w:r>
              <w:rPr>
                <w:rFonts w:ascii="Arial" w:cs="Arial" w:eastAsia="Arial" w:hAnsi="Arial"/>
                <w:sz w:val="14"/>
                <w:szCs w:val="14"/>
                <w:color w:val="auto"/>
                <w:w w:val="86"/>
              </w:rPr>
              <w:t>6/30/2016</w:t>
            </w:r>
          </w:p>
        </w:tc>
        <w:tc>
          <w:tcPr>
            <w:tcW w:w="30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44,456,391</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70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6"/>
              </w:rPr>
              <w:t>6/30/2016</w:t>
            </w:r>
          </w:p>
        </w:tc>
        <w:tc>
          <w:tcPr>
            <w:tcW w:w="300" w:type="dxa"/>
            <w:vAlign w:val="bottom"/>
          </w:tcPr>
          <w:p>
            <w:pPr>
              <w:spacing w:after="0"/>
              <w:rPr>
                <w:sz w:val="12"/>
                <w:szCs w:val="12"/>
                <w:color w:val="auto"/>
              </w:rPr>
            </w:pPr>
          </w:p>
        </w:tc>
        <w:tc>
          <w:tcPr>
            <w:tcW w:w="22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4,566,982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700" w:type="dxa"/>
            <w:vAlign w:val="bottom"/>
            <w:gridSpan w:val="2"/>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1/26/2017</w:t>
            </w: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60"/>
              <w:spacing w:after="0" w:line="138" w:lineRule="exact"/>
              <w:rPr>
                <w:sz w:val="20"/>
                <w:szCs w:val="20"/>
                <w:color w:val="auto"/>
              </w:rPr>
            </w:pPr>
            <w:r>
              <w:rPr>
                <w:rFonts w:ascii="Arial" w:cs="Arial" w:eastAsia="Arial" w:hAnsi="Arial"/>
                <w:sz w:val="14"/>
                <w:szCs w:val="14"/>
                <w:color w:val="auto"/>
                <w:w w:val="87"/>
              </w:rPr>
              <w:t>Chemical, Plastic and</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13.88%</w:t>
            </w:r>
            <w:r>
              <w:rPr>
                <w:rFonts w:ascii="Arial" w:cs="Arial" w:eastAsia="Arial" w:hAnsi="Arial"/>
                <w:sz w:val="15"/>
                <w:szCs w:val="15"/>
                <w:color w:val="auto"/>
                <w:vertAlign w:val="superscript"/>
              </w:rPr>
              <w:t>(6)</w:t>
            </w:r>
          </w:p>
        </w:tc>
        <w:tc>
          <w:tcPr>
            <w:tcW w:w="5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33,937,985</w:t>
            </w:r>
          </w:p>
        </w:tc>
        <w:tc>
          <w:tcPr>
            <w:tcW w:w="92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7"/>
              </w:rPr>
              <w:t>Rubber</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6/15/2017</w:t>
            </w:r>
          </w:p>
        </w:tc>
        <w:tc>
          <w:tcPr>
            <w:tcW w:w="300" w:type="dxa"/>
            <w:vAlign w:val="bottom"/>
          </w:tcPr>
          <w:p>
            <w:pPr>
              <w:spacing w:after="0"/>
              <w:rPr>
                <w:sz w:val="11"/>
                <w:szCs w:val="11"/>
                <w:color w:val="auto"/>
              </w:rPr>
            </w:pPr>
          </w:p>
        </w:tc>
        <w:tc>
          <w:tcPr>
            <w:tcW w:w="2280" w:type="dxa"/>
            <w:vAlign w:val="bottom"/>
            <w:gridSpan w:val="3"/>
          </w:tcPr>
          <w:p>
            <w:pPr>
              <w:jc w:val="center"/>
              <w:ind w:right="260"/>
              <w:spacing w:after="0" w:line="138" w:lineRule="exact"/>
              <w:rPr>
                <w:sz w:val="20"/>
                <w:szCs w:val="20"/>
                <w:color w:val="auto"/>
              </w:rPr>
            </w:pPr>
            <w:r>
              <w:rPr>
                <w:rFonts w:ascii="Arial" w:cs="Arial" w:eastAsia="Arial" w:hAnsi="Arial"/>
                <w:sz w:val="14"/>
                <w:szCs w:val="14"/>
                <w:color w:val="auto"/>
                <w:w w:val="88"/>
              </w:rPr>
              <w:t>Printing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14.50%</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15,000,000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Publishing</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10/14/2016</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50"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5/12/2017</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14.02%</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16,785,000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700" w:type="dxa"/>
            <w:vAlign w:val="bottom"/>
            <w:gridSpan w:val="2"/>
            <w:shd w:val="clear" w:color="auto" w:fill="CCEEFF"/>
          </w:tcPr>
          <w:p>
            <w:pPr>
              <w:jc w:val="center"/>
              <w:ind w:left="92"/>
              <w:spacing w:after="0" w:line="139" w:lineRule="exact"/>
              <w:rPr>
                <w:sz w:val="20"/>
                <w:szCs w:val="20"/>
                <w:color w:val="auto"/>
              </w:rPr>
            </w:pPr>
            <w:r>
              <w:rPr>
                <w:rFonts w:ascii="Arial" w:cs="Arial" w:eastAsia="Arial" w:hAnsi="Arial"/>
                <w:sz w:val="14"/>
                <w:szCs w:val="14"/>
                <w:color w:val="auto"/>
                <w:w w:val="86"/>
              </w:rPr>
              <w:t>12/3/2016</w:t>
            </w: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90"/>
              </w:rPr>
              <w:t>Mining, Steel, Iron</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26,169,195</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7"/>
              </w:rPr>
              <w:t>and Non-Precious</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7"/>
              </w:rPr>
              <w:t>Metals</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4/15/2018</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9"/>
              </w:rPr>
              <w:t>Buildings and Real</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11.00%</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00"/>
              <w:spacing w:after="0"/>
              <w:rPr>
                <w:sz w:val="20"/>
                <w:szCs w:val="20"/>
                <w:color w:val="auto"/>
              </w:rPr>
            </w:pPr>
            <w:r>
              <w:rPr>
                <w:rFonts w:ascii="Arial" w:cs="Arial" w:eastAsia="Arial" w:hAnsi="Arial"/>
                <w:sz w:val="14"/>
                <w:szCs w:val="14"/>
                <w:color w:val="auto"/>
                <w:w w:val="85"/>
              </w:rPr>
              <w:t>Estate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12/29/2015</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50"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12,020,950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2/8/2015</w:t>
            </w:r>
          </w:p>
        </w:tc>
        <w:tc>
          <w:tcPr>
            <w:tcW w:w="300" w:type="dxa"/>
            <w:vAlign w:val="bottom"/>
          </w:tcPr>
          <w:p>
            <w:pPr>
              <w:spacing w:after="0"/>
              <w:rPr>
                <w:sz w:val="12"/>
                <w:szCs w:val="12"/>
                <w:color w:val="auto"/>
              </w:rPr>
            </w:pPr>
          </w:p>
        </w:tc>
        <w:tc>
          <w:tcPr>
            <w:tcW w:w="22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26,276,070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12/31/2015</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00" w:type="dxa"/>
            <w:vAlign w:val="bottom"/>
            <w:tcBorders>
              <w:bottom w:val="single" w:sz="8" w:color="CCEEFF"/>
            </w:tcBorders>
            <w:gridSpan w:val="3"/>
          </w:tcPr>
          <w:p>
            <w:pPr>
              <w:jc w:val="center"/>
              <w:ind w:right="140"/>
              <w:spacing w:after="0" w:line="149" w:lineRule="exact"/>
              <w:rPr>
                <w:sz w:val="20"/>
                <w:szCs w:val="20"/>
                <w:color w:val="auto"/>
              </w:rPr>
            </w:pPr>
            <w:r>
              <w:rPr>
                <w:rFonts w:ascii="Arial" w:cs="Arial" w:eastAsia="Arial" w:hAnsi="Arial"/>
                <w:sz w:val="14"/>
                <w:szCs w:val="14"/>
                <w:color w:val="auto"/>
                <w:w w:val="88"/>
              </w:rPr>
              <w:t>12/31/2012</w:t>
            </w:r>
          </w:p>
        </w:tc>
        <w:tc>
          <w:tcPr>
            <w:tcW w:w="2280" w:type="dxa"/>
            <w:vAlign w:val="bottom"/>
            <w:tcBorders>
              <w:bottom w:val="single" w:sz="8" w:color="CCEEFF"/>
            </w:tcBorders>
            <w:gridSpan w:val="3"/>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tcBorders>
              <w:bottom w:val="single" w:sz="8" w:color="CCEEFF"/>
            </w:tcBorders>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(7)</w:t>
            </w:r>
          </w:p>
        </w:tc>
        <w:tc>
          <w:tcPr>
            <w:tcW w:w="1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7"/>
              </w:rPr>
              <w:t>Healthcare, Education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87"/>
              </w:rPr>
              <w:t>and Childcare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140" w:type="dxa"/>
            <w:vAlign w:val="bottom"/>
          </w:tcPr>
          <w:p>
            <w:pPr>
              <w:spacing w:after="0"/>
              <w:rPr>
                <w:sz w:val="13"/>
                <w:szCs w:val="13"/>
                <w:color w:val="auto"/>
              </w:rPr>
            </w:pP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7,505</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4"/>
              </w:rPr>
              <w:t>Defense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12.00%</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909</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tcPr>
          <w:p>
            <w:pPr>
              <w:ind w:left="200"/>
              <w:spacing w:after="0"/>
              <w:rPr>
                <w:sz w:val="20"/>
                <w:szCs w:val="20"/>
                <w:color w:val="auto"/>
              </w:rPr>
            </w:pPr>
            <w:r>
              <w:rPr>
                <w:rFonts w:ascii="Arial" w:cs="Arial" w:eastAsia="Arial" w:hAnsi="Arial"/>
                <w:sz w:val="14"/>
                <w:szCs w:val="14"/>
                <w:color w:val="auto"/>
              </w:rPr>
              <w:t>(PAS Technologies)</w:t>
            </w:r>
          </w:p>
        </w:tc>
        <w:tc>
          <w:tcPr>
            <w:tcW w:w="1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520" w:type="dxa"/>
            <w:vAlign w:val="bottom"/>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20,000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686</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tcPr>
          <w:p>
            <w:pPr>
              <w:spacing w:after="0"/>
              <w:rPr>
                <w:sz w:val="13"/>
                <w:szCs w:val="13"/>
                <w:color w:val="auto"/>
              </w:rPr>
            </w:pP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52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1,312</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101,175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Borders>
              <w:bottom w:val="single" w:sz="8" w:color="CCEEFF"/>
            </w:tcBorders>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CCEEFF"/>
            </w:tcBorders>
            <w:gridSpan w:val="3"/>
          </w:tcPr>
          <w:p>
            <w:pPr>
              <w:jc w:val="center"/>
              <w:ind w:right="280"/>
              <w:spacing w:after="0" w:line="159" w:lineRule="exact"/>
              <w:rPr>
                <w:sz w:val="20"/>
                <w:szCs w:val="20"/>
                <w:color w:val="auto"/>
              </w:rPr>
            </w:pPr>
            <w:r>
              <w:rPr>
                <w:rFonts w:ascii="Arial" w:cs="Arial" w:eastAsia="Arial" w:hAnsi="Arial"/>
                <w:sz w:val="14"/>
                <w:szCs w:val="14"/>
                <w:color w:val="auto"/>
                <w:w w:val="85"/>
              </w:rPr>
              <w:t>Personal Transportation</w:t>
            </w:r>
          </w:p>
        </w:tc>
        <w:tc>
          <w:tcPr>
            <w:tcW w:w="860" w:type="dxa"/>
            <w:vAlign w:val="bottom"/>
            <w:tcBorders>
              <w:bottom w:val="single" w:sz="8" w:color="CCEEFF"/>
            </w:tcBorders>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20" w:type="dxa"/>
            <w:vAlign w:val="bottom"/>
            <w:tcBorders>
              <w:bottom w:val="single" w:sz="8" w:color="CCEEFF"/>
            </w:tcBorders>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tcPr>
          <w:p>
            <w:pPr>
              <w:jc w:val="right"/>
              <w:ind w:right="80"/>
              <w:spacing w:after="0" w:line="159" w:lineRule="exact"/>
              <w:rPr>
                <w:sz w:val="20"/>
                <w:szCs w:val="20"/>
                <w:color w:val="auto"/>
              </w:rPr>
            </w:pPr>
            <w:r>
              <w:rPr>
                <w:rFonts w:ascii="Arial" w:cs="Arial" w:eastAsia="Arial" w:hAnsi="Arial"/>
                <w:sz w:val="14"/>
                <w:szCs w:val="14"/>
                <w:color w:val="auto"/>
              </w:rPr>
              <w:t>1,824,167</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10,268,187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8,024,938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7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30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Equity/Warrants/Partnership Interests—7.0%</w:t>
            </w:r>
            <w:r>
              <w:rPr>
                <w:rFonts w:ascii="Arial" w:cs="Arial" w:eastAsia="Arial" w:hAnsi="Arial"/>
                <w:sz w:val="13"/>
                <w:szCs w:val="13"/>
                <w:b w:val="1"/>
                <w:bCs w:val="1"/>
                <w:color w:val="auto"/>
                <w:vertAlign w:val="superscript"/>
              </w:rPr>
              <w:t>(7)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3/23/2021</w:t>
            </w: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Broadcasting and Entertainment</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(Consolidated Foundries, Inc.)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18,556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2,277,209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3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7"/>
              </w:rPr>
              <w:t>Healthcare, Education</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320" w:type="dxa"/>
            <w:vAlign w:val="bottom"/>
            <w:gridSpan w:val="3"/>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83"/>
              </w:rPr>
              <w:t>1,079,920</w:t>
            </w: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1,236,832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1,079,920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1,028,807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3"/>
              </w:rPr>
              <w:t>1,221,932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3,239,999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10/14/2013</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122,193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(Pre-Paid LegalServices, Inc.)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Services</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(PAS Technologies)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7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90"/>
              </w:rPr>
              <w:t>Other Media</w:t>
            </w:r>
          </w:p>
        </w:tc>
        <w:tc>
          <w:tcPr>
            <w:tcW w:w="7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0"/>
              </w:rPr>
              <w:t>Other Media</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9"/>
              </w:rPr>
              <w:t>12/29/2019</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148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110,742</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 VPSI, Inc.)</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Personal Transportation</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816,078,311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gridSpan w:val="2"/>
          </w:tcPr>
          <w:p>
            <w:pPr>
              <w:spacing w:after="0" w:line="129" w:lineRule="exact"/>
              <w:rPr>
                <w:sz w:val="20"/>
                <w:szCs w:val="20"/>
                <w:color w:val="auto"/>
              </w:rPr>
            </w:pPr>
            <w:r>
              <w:rPr>
                <w:rFonts w:ascii="Arial" w:cs="Arial" w:eastAsia="Arial" w:hAnsi="Arial"/>
                <w:sz w:val="10"/>
                <w:szCs w:val="10"/>
                <w:b w:val="1"/>
                <w:bCs w:val="1"/>
                <w:color w:val="auto"/>
              </w:rPr>
              <w:t>Investments in Non-Controlled, Affiliated Portfolio Companies—8.8%</w:t>
            </w:r>
            <w:r>
              <w:rPr>
                <w:rFonts w:ascii="Arial" w:cs="Arial" w:eastAsia="Arial" w:hAnsi="Arial"/>
                <w:sz w:val="14"/>
                <w:szCs w:val="14"/>
                <w:b w:val="1"/>
                <w:bCs w:val="1"/>
                <w:color w:val="auto"/>
                <w:vertAlign w:val="superscript"/>
              </w:rPr>
              <w:t>(1),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0" w:type="dxa"/>
            <w:vAlign w:val="bottom"/>
            <w:gridSpan w:val="2"/>
          </w:tcPr>
          <w:p>
            <w:pPr>
              <w:ind w:left="220"/>
              <w:spacing w:after="0"/>
              <w:rPr>
                <w:sz w:val="20"/>
                <w:szCs w:val="20"/>
                <w:color w:val="auto"/>
              </w:rPr>
            </w:pPr>
            <w:r>
              <w:rPr>
                <w:rFonts w:ascii="Arial" w:cs="Arial" w:eastAsia="Arial" w:hAnsi="Arial"/>
                <w:sz w:val="11"/>
                <w:szCs w:val="11"/>
                <w:b w:val="1"/>
                <w:bCs w:val="1"/>
                <w:color w:val="auto"/>
              </w:rPr>
              <w:t>(2)</w:t>
            </w: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First Lien Secured Debt—1.4%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7/29/2013</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2.72%</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3"/>
              </w:rPr>
              <w:t>6,666,666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color w:val="auto"/>
                <w:w w:val="90"/>
              </w:rPr>
              <w:t>L+600</w:t>
            </w:r>
            <w:r>
              <w:rPr>
                <w:rFonts w:ascii="Arial" w:cs="Arial" w:eastAsia="Arial" w:hAnsi="Arial"/>
                <w:sz w:val="22"/>
                <w:szCs w:val="22"/>
                <w:color w:val="auto"/>
                <w:w w:val="90"/>
                <w:vertAlign w:val="superscript"/>
              </w:rPr>
              <w:t>(8)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7/29/2014</w:t>
            </w:r>
          </w:p>
        </w:tc>
        <w:tc>
          <w:tcPr>
            <w:tcW w:w="23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8.00%</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5,870,416</w:t>
            </w: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5,870,416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5,870,416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vMerge w:val="restart"/>
          </w:tcPr>
          <w:p>
            <w:pPr>
              <w:ind w:left="100"/>
              <w:spacing w:after="0" w:line="212" w:lineRule="exact"/>
              <w:rPr>
                <w:sz w:val="20"/>
                <w:szCs w:val="20"/>
                <w:color w:val="auto"/>
              </w:rPr>
            </w:pPr>
            <w:r>
              <w:rPr>
                <w:rFonts w:ascii="Arial" w:cs="Arial" w:eastAsia="Arial" w:hAnsi="Arial"/>
                <w:sz w:val="14"/>
                <w:szCs w:val="14"/>
                <w:color w:val="auto"/>
                <w:w w:val="90"/>
              </w:rPr>
              <w:t>L+625</w:t>
            </w:r>
            <w:r>
              <w:rPr>
                <w:rFonts w:ascii="Arial" w:cs="Arial" w:eastAsia="Arial" w:hAnsi="Arial"/>
                <w:sz w:val="22"/>
                <w:szCs w:val="22"/>
                <w:color w:val="auto"/>
                <w:w w:val="90"/>
                <w:vertAlign w:val="superscript"/>
              </w:rPr>
              <w:t>(8)</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1/16/2015</w:t>
            </w: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Leisure, Amusement,</w:t>
            </w:r>
          </w:p>
        </w:tc>
        <w:tc>
          <w:tcPr>
            <w:tcW w:w="7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7.25%</w:t>
            </w: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1"/>
                <w:szCs w:val="11"/>
                <w:color w:val="auto"/>
              </w:rPr>
            </w:pPr>
          </w:p>
        </w:tc>
        <w:tc>
          <w:tcPr>
            <w:tcW w:w="74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Motion Pictures and Entertainment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Total Second Lien Secured Debt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12"/>
                <w:szCs w:val="12"/>
                <w:color w:val="auto"/>
              </w:rPr>
            </w:pPr>
          </w:p>
        </w:tc>
        <w:tc>
          <w:tcPr>
            <w:tcW w:w="148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Notes—1.4%</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7/16/2015</w:t>
            </w:r>
          </w:p>
        </w:tc>
        <w:tc>
          <w:tcPr>
            <w:tcW w:w="23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Leisure, Amusement,</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color w:val="auto"/>
              </w:rPr>
              <w:t>15.00%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Motion Pictures and Entertainment</w:t>
            </w:r>
          </w:p>
        </w:tc>
        <w:tc>
          <w:tcPr>
            <w:tcW w:w="840" w:type="dxa"/>
            <w:vAlign w:val="bottom"/>
            <w:gridSpan w:val="2"/>
            <w:vMerge w:val="continue"/>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6,775,991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6,617,860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37,382</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2,710,036</w:t>
            </w: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3,129,447</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Leisure, Amusement,</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(Performance Holdings, Inc.)</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Motion Pictures and Entertainment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3,750,000</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w w:val="94"/>
              </w:rPr>
              <w:t>36,744,425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9,200,000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2,300,000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866,322,836</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5"/>
              </w:rPr>
              <w:t>71,604,519</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937,927,355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7"/>
              </w:rPr>
              <w:t>(436,495,838)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w:t>
      </w: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3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0"/>
              </w:rPr>
              <w:t>Industry</w:t>
            </w:r>
          </w:p>
        </w:tc>
        <w:tc>
          <w:tcPr>
            <w:tcW w:w="98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4"/>
              </w:rPr>
              <w:t>Coupon</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—165.9%</w:t>
            </w:r>
            <w:r>
              <w:rPr>
                <w:rFonts w:ascii="Arial" w:cs="Arial" w:eastAsia="Arial" w:hAnsi="Arial"/>
                <w:sz w:val="20"/>
                <w:szCs w:val="20"/>
                <w:b w:val="1"/>
                <w:bCs w:val="1"/>
                <w:color w:val="auto"/>
                <w:vertAlign w:val="superscript"/>
              </w:rPr>
              <w:t>(1),(2)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L+900</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Airvana Networks Solution,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8/27/2014</w:t>
            </w:r>
          </w:p>
        </w:tc>
        <w:tc>
          <w:tcPr>
            <w:tcW w:w="21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8"/>
              </w:rPr>
              <w:t>Communications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11.00%</w:t>
            </w:r>
          </w:p>
        </w:tc>
        <w:tc>
          <w:tcPr>
            <w:tcW w:w="780" w:type="dxa"/>
            <w:vAlign w:val="bottom"/>
            <w:gridSpan w:val="2"/>
            <w:vMerge w:val="continue"/>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$13,583,333</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w w:val="95"/>
              </w:rPr>
              <w:t>$ 13,316,337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$ 13,447,500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6/21/2015</w:t>
            </w: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15.00%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w w:val="97"/>
              </w:rPr>
              <w:t>L+1,300</w:t>
            </w:r>
            <w:r>
              <w:rPr>
                <w:rFonts w:ascii="Arial" w:cs="Arial" w:eastAsia="Arial" w:hAnsi="Arial"/>
                <w:sz w:val="20"/>
                <w:szCs w:val="20"/>
                <w:color w:val="auto"/>
                <w:w w:val="97"/>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16,363,636</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1/31/2011</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3,636,364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0"/>
                <w:szCs w:val="10"/>
                <w:color w:val="auto"/>
              </w:rPr>
              <w:t>CEVA Group PLC</w:t>
            </w:r>
            <w:r>
              <w:rPr>
                <w:rFonts w:ascii="Arial" w:cs="Arial" w:eastAsia="Arial" w:hAnsi="Arial"/>
                <w:sz w:val="14"/>
                <w:szCs w:val="14"/>
                <w:color w:val="auto"/>
                <w:vertAlign w:val="superscript"/>
              </w:rPr>
              <w:t>(5),(10)</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10/1/2016</w:t>
            </w:r>
          </w:p>
        </w:tc>
        <w:tc>
          <w:tcPr>
            <w:tcW w:w="820" w:type="dxa"/>
            <w:vAlign w:val="bottom"/>
          </w:tcPr>
          <w:p>
            <w:pPr>
              <w:spacing w:after="0"/>
              <w:rPr>
                <w:sz w:val="10"/>
                <w:szCs w:val="10"/>
                <w:color w:val="auto"/>
              </w:rPr>
            </w:pPr>
          </w:p>
        </w:tc>
        <w:tc>
          <w:tcPr>
            <w:tcW w:w="1360" w:type="dxa"/>
            <w:vAlign w:val="bottom"/>
            <w:gridSpan w:val="2"/>
          </w:tcPr>
          <w:p>
            <w:pPr>
              <w:jc w:val="center"/>
              <w:ind w:right="860"/>
              <w:spacing w:after="0" w:line="122" w:lineRule="exact"/>
              <w:rPr>
                <w:sz w:val="20"/>
                <w:szCs w:val="20"/>
                <w:color w:val="auto"/>
              </w:rPr>
            </w:pPr>
            <w:r>
              <w:rPr>
                <w:rFonts w:ascii="Arial" w:cs="Arial" w:eastAsia="Arial" w:hAnsi="Arial"/>
                <w:sz w:val="14"/>
                <w:szCs w:val="14"/>
                <w:color w:val="auto"/>
                <w:w w:val="91"/>
              </w:rPr>
              <w:t>Logistics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11.63%</w:t>
            </w:r>
          </w:p>
        </w:tc>
        <w:tc>
          <w:tcPr>
            <w:tcW w:w="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4/1/2018</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color w:val="auto"/>
                <w:w w:val="91"/>
              </w:rPr>
              <w:t>Logistics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11.50%</w:t>
            </w:r>
          </w:p>
        </w:tc>
        <w:tc>
          <w:tcPr>
            <w:tcW w:w="78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987,774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20" w:type="dxa"/>
            <w:vAlign w:val="bottom"/>
            <w:gridSpan w:val="3"/>
          </w:tcPr>
          <w:p>
            <w:pPr>
              <w:spacing w:after="0" w:line="148" w:lineRule="exact"/>
              <w:rPr>
                <w:sz w:val="20"/>
                <w:szCs w:val="20"/>
                <w:color w:val="auto"/>
              </w:rPr>
            </w:pPr>
            <w:r>
              <w:rPr>
                <w:rFonts w:ascii="Arial" w:cs="Arial" w:eastAsia="Arial" w:hAnsi="Arial"/>
                <w:sz w:val="14"/>
                <w:szCs w:val="14"/>
                <w:color w:val="auto"/>
              </w:rPr>
              <w:t>Chester Downs and Marina, LLC</w:t>
            </w:r>
          </w:p>
        </w:tc>
        <w:tc>
          <w:tcPr>
            <w:tcW w:w="8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rPr>
              <w:t>7/31/2016</w:t>
            </w:r>
          </w:p>
        </w:tc>
        <w:tc>
          <w:tcPr>
            <w:tcW w:w="2180" w:type="dxa"/>
            <w:vAlign w:val="bottom"/>
            <w:gridSpan w:val="3"/>
          </w:tcPr>
          <w:p>
            <w:pPr>
              <w:jc w:val="center"/>
              <w:ind w:right="20"/>
              <w:spacing w:after="0" w:line="148"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12.38%</w:t>
            </w: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L+988</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9,250,000</w:t>
            </w:r>
          </w:p>
        </w:tc>
        <w:tc>
          <w:tcPr>
            <w:tcW w:w="80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11/20/2014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Communications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7/29/2013</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Environmental Services</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6,666,666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8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10/1/2014</w:t>
            </w:r>
          </w:p>
        </w:tc>
        <w:tc>
          <w:tcPr>
            <w:tcW w:w="8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40"/>
              <w:spacing w:after="0" w:line="122" w:lineRule="exact"/>
              <w:rPr>
                <w:sz w:val="20"/>
                <w:szCs w:val="20"/>
                <w:color w:val="auto"/>
              </w:rPr>
            </w:pPr>
            <w:r>
              <w:rPr>
                <w:rFonts w:ascii="Arial" w:cs="Arial" w:eastAsia="Arial" w:hAnsi="Arial"/>
                <w:sz w:val="14"/>
                <w:szCs w:val="14"/>
                <w:color w:val="auto"/>
                <w:w w:val="88"/>
              </w:rPr>
              <w:t>Grocery</w:t>
            </w:r>
          </w:p>
        </w:tc>
        <w:tc>
          <w:tcPr>
            <w:tcW w:w="9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12.00%</w:t>
            </w:r>
          </w:p>
        </w:tc>
        <w:tc>
          <w:tcPr>
            <w:tcW w:w="7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11,905,025</w:t>
            </w:r>
          </w:p>
        </w:tc>
        <w:tc>
          <w:tcPr>
            <w:tcW w:w="88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2/7/2014</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8"/>
              </w:rPr>
              <w:t>Home and Office Furnishings,</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2.71%</w:t>
            </w: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9,744,595</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4/27/2016</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26,052,631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1/18/2014</w:t>
            </w:r>
          </w:p>
        </w:tc>
        <w:tc>
          <w:tcPr>
            <w:tcW w:w="21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8"/>
              </w:rPr>
              <w:t>Home and Office Furnishings,</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2.54%</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3,844,931</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9,829,738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200,404</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w w:val="99"/>
              </w:rPr>
              <w:t>10/22/2011</w:t>
            </w:r>
          </w:p>
        </w:tc>
        <w:tc>
          <w:tcPr>
            <w:tcW w:w="21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15.25%</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2"/>
          </w:tcPr>
          <w:p>
            <w:pPr>
              <w:jc w:val="center"/>
              <w:ind w:right="840"/>
              <w:spacing w:after="0"/>
              <w:rPr>
                <w:sz w:val="20"/>
                <w:szCs w:val="20"/>
                <w:color w:val="auto"/>
              </w:rPr>
            </w:pPr>
            <w:r>
              <w:rPr>
                <w:rFonts w:ascii="Arial" w:cs="Arial" w:eastAsia="Arial" w:hAnsi="Arial"/>
                <w:sz w:val="14"/>
                <w:szCs w:val="14"/>
                <w:color w:val="auto"/>
                <w:w w:val="87"/>
              </w:rPr>
              <w:t>Childcare</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w w:val="94"/>
              </w:rPr>
              <w:t>P+1,200</w:t>
            </w:r>
            <w:r>
              <w:rPr>
                <w:rFonts w:ascii="Arial" w:cs="Arial" w:eastAsia="Arial" w:hAnsi="Arial"/>
                <w:sz w:val="21"/>
                <w:szCs w:val="21"/>
                <w:color w:val="auto"/>
                <w:w w:val="94"/>
                <w:vertAlign w:val="superscript"/>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7/15/2016</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2/7/2015</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6.43%</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2/7/2015</w:t>
            </w:r>
          </w:p>
        </w:tc>
        <w:tc>
          <w:tcPr>
            <w:tcW w:w="2180" w:type="dxa"/>
            <w:vAlign w:val="bottom"/>
            <w:gridSpan w:val="3"/>
          </w:tcPr>
          <w:p>
            <w:pPr>
              <w:jc w:val="center"/>
              <w:ind w:right="40"/>
              <w:spacing w:after="0" w:line="122"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7.39%</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22" w:lineRule="exact"/>
              <w:rPr>
                <w:sz w:val="20"/>
                <w:szCs w:val="20"/>
                <w:color w:val="auto"/>
              </w:rPr>
            </w:pPr>
            <w:r>
              <w:rPr>
                <w:rFonts w:ascii="Arial" w:cs="Arial" w:eastAsia="Arial" w:hAnsi="Arial"/>
                <w:sz w:val="14"/>
                <w:szCs w:val="14"/>
                <w:color w:val="auto"/>
              </w:rPr>
              <w:t>11,776,589</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10,410,000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7/29/2014</w:t>
            </w:r>
          </w:p>
        </w:tc>
        <w:tc>
          <w:tcPr>
            <w:tcW w:w="2180" w:type="dxa"/>
            <w:vAlign w:val="bottom"/>
            <w:gridSpan w:val="3"/>
          </w:tcPr>
          <w:p>
            <w:pPr>
              <w:jc w:val="center"/>
              <w:ind w:right="40"/>
              <w:spacing w:after="0"/>
              <w:rPr>
                <w:sz w:val="20"/>
                <w:szCs w:val="20"/>
                <w:color w:val="auto"/>
              </w:rPr>
            </w:pPr>
            <w:r>
              <w:rPr>
                <w:rFonts w:ascii="Arial" w:cs="Arial" w:eastAsia="Arial" w:hAnsi="Arial"/>
                <w:sz w:val="14"/>
                <w:szCs w:val="14"/>
                <w:color w:val="auto"/>
                <w:w w:val="88"/>
              </w:rPr>
              <w:t>Environmental Services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L+600</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6,237,317</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6,237,317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4/30/2015</w:t>
            </w:r>
          </w:p>
        </w:tc>
        <w:tc>
          <w:tcPr>
            <w:tcW w:w="21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7.79%</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11,958,469</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7"/>
              </w:rPr>
              <w:t>Childcare</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2,570,357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11/1/2017</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12/15/2014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3,219,319</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1,773,703</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10/15/2017</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8.13%</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22"/>
                <w:szCs w:val="22"/>
                <w:color w:val="auto"/>
                <w:vertAlign w:val="superscript"/>
              </w:rPr>
              <w:t>(5)</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5/15/2017</w:t>
            </w: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Transportation</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12.50%</w:t>
            </w: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17,039,991</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-4010025</wp:posOffset>
            </wp:positionV>
            <wp:extent cx="724662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-3632835</wp:posOffset>
            </wp:positionV>
            <wp:extent cx="724662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24662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2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00" w:type="dxa"/>
            <w:vAlign w:val="bottom"/>
          </w:tcPr>
          <w:p>
            <w:pPr>
              <w:spacing w:after="0"/>
              <w:rPr>
                <w:sz w:val="12"/>
                <w:szCs w:val="12"/>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38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4"/>
              </w:rPr>
              <w:t>Industry</w:t>
            </w: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1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Sheridan Holdings, Inc.</w:t>
            </w:r>
          </w:p>
        </w:tc>
        <w:tc>
          <w:tcPr>
            <w:tcW w:w="1520" w:type="dxa"/>
            <w:vAlign w:val="bottom"/>
            <w:gridSpan w:val="3"/>
            <w:shd w:val="clear" w:color="auto" w:fill="CCEEFF"/>
          </w:tcPr>
          <w:p>
            <w:pPr>
              <w:jc w:val="right"/>
              <w:ind w:right="120"/>
              <w:spacing w:after="0" w:line="105" w:lineRule="exact"/>
              <w:rPr>
                <w:sz w:val="20"/>
                <w:szCs w:val="20"/>
                <w:color w:val="auto"/>
              </w:rPr>
            </w:pPr>
            <w:r>
              <w:rPr>
                <w:rFonts w:ascii="Arial" w:cs="Arial" w:eastAsia="Arial" w:hAnsi="Arial"/>
                <w:sz w:val="12"/>
                <w:szCs w:val="12"/>
                <w:color w:val="auto"/>
              </w:rPr>
              <w:t>6/15/2015</w:t>
            </w:r>
          </w:p>
        </w:tc>
        <w:tc>
          <w:tcPr>
            <w:tcW w:w="2200" w:type="dxa"/>
            <w:vAlign w:val="bottom"/>
            <w:gridSpan w:val="3"/>
            <w:shd w:val="clear" w:color="auto" w:fill="CCEEFF"/>
          </w:tcPr>
          <w:p>
            <w:pPr>
              <w:jc w:val="center"/>
              <w:ind w:right="40"/>
              <w:spacing w:after="0" w:line="105" w:lineRule="exact"/>
              <w:rPr>
                <w:sz w:val="20"/>
                <w:szCs w:val="20"/>
                <w:color w:val="auto"/>
              </w:rPr>
            </w:pPr>
            <w:r>
              <w:rPr>
                <w:rFonts w:ascii="Arial" w:cs="Arial" w:eastAsia="Arial" w:hAnsi="Arial"/>
                <w:sz w:val="12"/>
                <w:szCs w:val="12"/>
                <w:color w:val="auto"/>
              </w:rPr>
              <w:t>Healthcare, Education and</w:t>
            </w:r>
          </w:p>
        </w:tc>
        <w:tc>
          <w:tcPr>
            <w:tcW w:w="640" w:type="dxa"/>
            <w:vAlign w:val="bottom"/>
            <w:shd w:val="clear" w:color="auto" w:fill="CCEEFF"/>
          </w:tcPr>
          <w:p>
            <w:pPr>
              <w:jc w:val="right"/>
              <w:spacing w:after="0" w:line="105" w:lineRule="exact"/>
              <w:rPr>
                <w:sz w:val="20"/>
                <w:szCs w:val="20"/>
                <w:color w:val="auto"/>
              </w:rPr>
            </w:pPr>
            <w:r>
              <w:rPr>
                <w:rFonts w:ascii="Arial" w:cs="Arial" w:eastAsia="Arial" w:hAnsi="Arial"/>
                <w:sz w:val="9"/>
                <w:szCs w:val="9"/>
                <w:color w:val="auto"/>
              </w:rPr>
              <w:t>6.05%</w:t>
            </w:r>
            <w:r>
              <w:rPr>
                <w:rFonts w:ascii="Arial" w:cs="Arial" w:eastAsia="Arial" w:hAnsi="Arial"/>
                <w:sz w:val="12"/>
                <w:szCs w:val="12"/>
                <w:color w:val="auto"/>
                <w:vertAlign w:val="superscript"/>
              </w:rPr>
              <w:t>(6)</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ind w:left="100"/>
              <w:spacing w:after="0" w:line="105" w:lineRule="exact"/>
              <w:rPr>
                <w:sz w:val="20"/>
                <w:szCs w:val="20"/>
                <w:color w:val="auto"/>
              </w:rPr>
            </w:pPr>
            <w:r>
              <w:rPr>
                <w:rFonts w:ascii="Arial" w:cs="Arial" w:eastAsia="Arial" w:hAnsi="Arial"/>
                <w:sz w:val="12"/>
                <w:szCs w:val="12"/>
                <w:color w:val="auto"/>
              </w:rPr>
              <w:t>L+575</w:t>
            </w:r>
          </w:p>
        </w:tc>
        <w:tc>
          <w:tcPr>
            <w:tcW w:w="1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
              <w:spacing w:after="0" w:line="105" w:lineRule="exact"/>
              <w:rPr>
                <w:sz w:val="20"/>
                <w:szCs w:val="20"/>
                <w:color w:val="auto"/>
              </w:rPr>
            </w:pPr>
            <w:r>
              <w:rPr>
                <w:rFonts w:ascii="Arial" w:cs="Arial" w:eastAsia="Arial" w:hAnsi="Arial"/>
                <w:sz w:val="12"/>
                <w:szCs w:val="12"/>
                <w:color w:val="auto"/>
              </w:rPr>
              <w:t>$21,500,000</w:t>
            </w:r>
          </w:p>
        </w:tc>
        <w:tc>
          <w:tcPr>
            <w:tcW w:w="880" w:type="dxa"/>
            <w:vAlign w:val="bottom"/>
            <w:gridSpan w:val="5"/>
            <w:shd w:val="clear" w:color="auto" w:fill="CCEEFF"/>
          </w:tcPr>
          <w:p>
            <w:pPr>
              <w:jc w:val="right"/>
              <w:ind w:right="80"/>
              <w:spacing w:after="0" w:line="105" w:lineRule="exact"/>
              <w:rPr>
                <w:sz w:val="20"/>
                <w:szCs w:val="20"/>
                <w:color w:val="auto"/>
              </w:rPr>
            </w:pPr>
            <w:r>
              <w:rPr>
                <w:rFonts w:ascii="Arial" w:cs="Arial" w:eastAsia="Arial" w:hAnsi="Arial"/>
                <w:sz w:val="12"/>
                <w:szCs w:val="12"/>
                <w:color w:val="auto"/>
              </w:rPr>
              <w:t>$ 19,211,412</w:t>
            </w:r>
          </w:p>
        </w:tc>
        <w:tc>
          <w:tcPr>
            <w:tcW w:w="8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2"/>
                <w:szCs w:val="12"/>
                <w:color w:val="auto"/>
              </w:rPr>
              <w:t>$ 19,887,500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w w:val="87"/>
              </w:rPr>
              <w:t>Childcare</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12/15/2014</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Chemical, Plastics and Rubber</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L+700</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17,811,488</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151,611,934</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11/15/2015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Consumer Products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11.63%</w:t>
            </w:r>
          </w:p>
        </w:tc>
        <w:tc>
          <w:tcPr>
            <w:tcW w:w="18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12/15/2016</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4/17/2015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7,973,429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3/22/2014</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20,720,892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52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4/1/2015</w:t>
            </w:r>
          </w:p>
        </w:tc>
        <w:tc>
          <w:tcPr>
            <w:tcW w:w="220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12.50%</w:t>
            </w:r>
          </w:p>
        </w:tc>
        <w:tc>
          <w:tcPr>
            <w:tcW w:w="180" w:type="dxa"/>
            <w:vAlign w:val="bottom"/>
          </w:tcPr>
          <w:p>
            <w:pPr>
              <w:spacing w:after="0"/>
              <w:rPr>
                <w:sz w:val="11"/>
                <w:szCs w:val="11"/>
                <w:color w:val="auto"/>
              </w:rPr>
            </w:pPr>
          </w:p>
        </w:tc>
        <w:tc>
          <w:tcPr>
            <w:tcW w:w="62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24,379,843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gridSpan w:val="2"/>
          </w:tcPr>
          <w:p>
            <w:pPr>
              <w:jc w:val="center"/>
              <w:ind w:right="860"/>
              <w:spacing w:after="0" w:line="159" w:lineRule="exact"/>
              <w:rPr>
                <w:sz w:val="20"/>
                <w:szCs w:val="20"/>
                <w:color w:val="auto"/>
              </w:rPr>
            </w:pPr>
            <w:r>
              <w:rPr>
                <w:rFonts w:ascii="Arial" w:cs="Arial" w:eastAsia="Arial" w:hAnsi="Arial"/>
                <w:sz w:val="14"/>
                <w:szCs w:val="14"/>
                <w:color w:val="auto"/>
                <w:w w:val="86"/>
              </w:rPr>
              <w:t>Products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6/6/2014</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23,283,292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6/30/2016</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3,947,368</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10/15/2016</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 xml:space="preserve">13.00% </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4/15/2015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12.38%</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9,055,731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12/29/2015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11,721,019</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10/1/2016</w:t>
            </w:r>
          </w:p>
        </w:tc>
        <w:tc>
          <w:tcPr>
            <w:tcW w:w="820" w:type="dxa"/>
            <w:vAlign w:val="bottom"/>
          </w:tcPr>
          <w:p>
            <w:pPr>
              <w:spacing w:after="0"/>
              <w:rPr>
                <w:sz w:val="12"/>
                <w:szCs w:val="12"/>
                <w:color w:val="auto"/>
              </w:rPr>
            </w:pPr>
          </w:p>
        </w:tc>
        <w:tc>
          <w:tcPr>
            <w:tcW w:w="138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84"/>
              </w:rPr>
              <w:t>Insurance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20,501,960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20,331,704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21,098,000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12/31/2015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14,636,487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12/31/2012</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213,271,563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8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3"/>
              </w:rPr>
              <w:t>Business Services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9.00%</w:t>
            </w:r>
          </w:p>
        </w:tc>
        <w:tc>
          <w:tcPr>
            <w:tcW w:w="180" w:type="dxa"/>
            <w:vAlign w:val="bottom"/>
          </w:tcPr>
          <w:p>
            <w:pPr>
              <w:spacing w:after="0"/>
              <w:rPr>
                <w:sz w:val="13"/>
                <w:szCs w:val="13"/>
                <w:color w:val="auto"/>
              </w:rPr>
            </w:pP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144,375</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8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3"/>
                <w:szCs w:val="13"/>
                <w:color w:val="auto"/>
              </w:rPr>
            </w:pPr>
          </w:p>
        </w:tc>
        <w:tc>
          <w:tcPr>
            <w:tcW w:w="1380" w:type="dxa"/>
            <w:vAlign w:val="bottom"/>
            <w:gridSpan w:val="2"/>
          </w:tcPr>
          <w:p>
            <w:pPr>
              <w:jc w:val="center"/>
              <w:ind w:right="860"/>
              <w:spacing w:after="0" w:line="159" w:lineRule="exact"/>
              <w:rPr>
                <w:sz w:val="20"/>
                <w:szCs w:val="20"/>
                <w:color w:val="auto"/>
              </w:rPr>
            </w:pPr>
            <w:r>
              <w:rPr>
                <w:rFonts w:ascii="Arial" w:cs="Arial" w:eastAsia="Arial" w:hAnsi="Arial"/>
                <w:sz w:val="14"/>
                <w:szCs w:val="14"/>
                <w:color w:val="auto"/>
                <w:w w:val="84"/>
              </w:rPr>
              <w:t>Insurance</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8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860"/>
              <w:spacing w:after="0" w:line="159" w:lineRule="exact"/>
              <w:rPr>
                <w:sz w:val="20"/>
                <w:szCs w:val="20"/>
                <w:color w:val="auto"/>
              </w:rPr>
            </w:pPr>
            <w:r>
              <w:rPr>
                <w:rFonts w:ascii="Arial" w:cs="Arial" w:eastAsia="Arial" w:hAnsi="Arial"/>
                <w:sz w:val="14"/>
                <w:szCs w:val="14"/>
                <w:color w:val="auto"/>
                <w:w w:val="84"/>
              </w:rPr>
              <w:t>Insurance</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6.50%</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tcPr>
          <w:p>
            <w:pPr>
              <w:spacing w:after="0"/>
              <w:rPr>
                <w:sz w:val="14"/>
                <w:szCs w:val="14"/>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8.00%</w:t>
            </w:r>
          </w:p>
        </w:tc>
        <w:tc>
          <w:tcPr>
            <w:tcW w:w="180" w:type="dxa"/>
            <w:vAlign w:val="bottom"/>
          </w:tcPr>
          <w:p>
            <w:pPr>
              <w:spacing w:after="0"/>
              <w:rPr>
                <w:sz w:val="14"/>
                <w:szCs w:val="14"/>
                <w:color w:val="auto"/>
              </w:rPr>
            </w:pP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91,608</w:t>
            </w: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2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Maturity</w:t>
            </w:r>
          </w:p>
        </w:tc>
      </w:tr>
      <w:tr>
        <w:trPr>
          <w:trHeight w:val="138"/>
        </w:trPr>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Common</w:t>
            </w:r>
          </w:p>
        </w:tc>
        <w:tc>
          <w:tcPr>
            <w:tcW w:w="3820" w:type="dxa"/>
            <w:vAlign w:val="bottom"/>
          </w:tcPr>
          <w:p>
            <w:pPr>
              <w:spacing w:after="0" w:line="138" w:lineRule="exact"/>
              <w:rPr>
                <w:sz w:val="20"/>
                <w:szCs w:val="20"/>
                <w:color w:val="auto"/>
              </w:rPr>
            </w:pPr>
            <w:r>
              <w:rPr>
                <w:rFonts w:ascii="Arial" w:cs="Arial" w:eastAsia="Arial" w:hAnsi="Arial"/>
                <w:sz w:val="10"/>
                <w:szCs w:val="10"/>
                <w:b w:val="1"/>
                <w:bCs w:val="1"/>
                <w:color w:val="auto"/>
              </w:rPr>
              <w:t>Equity/Warrants/Partnership Interests—9.9%</w:t>
            </w:r>
            <w:r>
              <w:rPr>
                <w:rFonts w:ascii="Arial" w:cs="Arial" w:eastAsia="Arial" w:hAnsi="Arial"/>
                <w:sz w:val="15"/>
                <w:szCs w:val="15"/>
                <w:b w:val="1"/>
                <w:bCs w:val="1"/>
                <w:color w:val="auto"/>
                <w:vertAlign w:val="superscript"/>
              </w:rPr>
              <w:t>(7)</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(Consolidated Foundries,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(CT Technologies Intermediate Holdings,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2"/>
        </w:trPr>
        <w:tc>
          <w:tcPr>
            <w:tcW w:w="4580" w:type="dxa"/>
            <w:vAlign w:val="bottom"/>
            <w:gridSpan w:val="2"/>
          </w:tcPr>
          <w:p>
            <w:pPr>
              <w:spacing w:after="0" w:line="133" w:lineRule="exact"/>
              <w:rPr>
                <w:sz w:val="20"/>
                <w:szCs w:val="20"/>
                <w:color w:val="auto"/>
              </w:rPr>
            </w:pPr>
            <w:r>
              <w:rPr>
                <w:rFonts w:ascii="Arial" w:cs="Arial" w:eastAsia="Arial" w:hAnsi="Arial"/>
                <w:sz w:val="14"/>
                <w:szCs w:val="14"/>
                <w:color w:val="auto"/>
              </w:rPr>
              <w:t>EnviroSolutions, Inc. (Warrants)</w:t>
            </w:r>
          </w:p>
        </w:tc>
        <w:tc>
          <w:tcPr>
            <w:tcW w:w="240" w:type="dxa"/>
            <w:vAlign w:val="bottom"/>
          </w:tcPr>
          <w:p>
            <w:pPr>
              <w:spacing w:after="0"/>
              <w:rPr>
                <w:sz w:val="11"/>
                <w:szCs w:val="11"/>
                <w:color w:val="auto"/>
              </w:rPr>
            </w:pPr>
          </w:p>
        </w:tc>
        <w:tc>
          <w:tcPr>
            <w:tcW w:w="60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r>
      <w:tr>
        <w:trPr>
          <w:trHeight w:val="165"/>
        </w:trPr>
        <w:tc>
          <w:tcPr>
            <w:tcW w:w="458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i2 Holdings Ltd. </w:t>
            </w:r>
            <w:r>
              <w:rPr>
                <w:rFonts w:ascii="Arial" w:cs="Arial" w:eastAsia="Arial" w:hAnsi="Arial"/>
                <w:sz w:val="19"/>
                <w:szCs w:val="19"/>
                <w:color w:val="auto"/>
                <w:vertAlign w:val="superscript"/>
              </w:rPr>
              <w:t>(10)</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A</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580" w:type="dxa"/>
            <w:vAlign w:val="bottom"/>
            <w:gridSpan w:val="2"/>
          </w:tcPr>
          <w:p>
            <w:pPr>
              <w:ind w:left="220"/>
              <w:spacing w:after="0"/>
              <w:rPr>
                <w:sz w:val="20"/>
                <w:szCs w:val="20"/>
                <w:color w:val="auto"/>
              </w:rPr>
            </w:pPr>
            <w:r>
              <w:rPr>
                <w:rFonts w:ascii="Arial" w:cs="Arial" w:eastAsia="Arial" w:hAnsi="Arial"/>
                <w:sz w:val="14"/>
                <w:szCs w:val="14"/>
                <w:color w:val="auto"/>
              </w:rPr>
              <w:t>(Three Rivers Pharmaceutical, L.L.C.)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(Three Rivers Pharmaceutical,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4/27/2020</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12/29/2019</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(Greatwide Logistics Services, L.L.C)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VText Holdings, Inc.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45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4580" w:type="dxa"/>
            <w:vAlign w:val="bottom"/>
            <w:gridSpan w:val="2"/>
          </w:tcPr>
          <w:p>
            <w:pPr>
              <w:spacing w:after="0" w:line="167"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9"/>
                <w:szCs w:val="19"/>
                <w:b w:val="1"/>
                <w:bCs w:val="1"/>
                <w:color w:val="auto"/>
                <w:vertAlign w:val="superscript"/>
              </w:rPr>
              <w:t>(1),(2)</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45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Second Lien Secured Debt—2.0%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1/16/2015</w:t>
            </w:r>
          </w:p>
        </w:tc>
      </w:tr>
      <w:tr>
        <w:trPr>
          <w:trHeight w:val="300"/>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Notes—1.5%</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7/16/2015</w:t>
            </w:r>
          </w:p>
        </w:tc>
      </w:tr>
      <w:tr>
        <w:trPr>
          <w:trHeight w:val="40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22"/>
                <w:szCs w:val="22"/>
                <w:b w:val="1"/>
                <w:bCs w:val="1"/>
                <w:color w:val="auto"/>
                <w:vertAlign w:val="superscript"/>
              </w:rPr>
              <w:t>(7)</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NCP-Performance (Performance Holdings, Inc.)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Par/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tcPr>
          <w:p>
            <w:pPr>
              <w:spacing w:after="0"/>
              <w:rPr>
                <w:sz w:val="16"/>
                <w:szCs w:val="16"/>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Broadcasting and Entertainment</w:t>
            </w:r>
          </w:p>
        </w:tc>
        <w:tc>
          <w:tcPr>
            <w:tcW w:w="460" w:type="dxa"/>
            <w:vAlign w:val="bottom"/>
            <w:tcBorders>
              <w:top w:val="single" w:sz="8" w:color="auto"/>
            </w:tcBorders>
          </w:tcPr>
          <w:p>
            <w:pPr>
              <w:jc w:val="center"/>
              <w:ind w:left="132"/>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24"/>
                <w:szCs w:val="24"/>
                <w:color w:val="auto"/>
              </w:rPr>
            </w:pPr>
          </w:p>
        </w:tc>
        <w:tc>
          <w:tcPr>
            <w:tcW w:w="46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1,333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2"/>
              </w:rPr>
              <w:t>$  3,000,000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  3,000,000</w:t>
            </w:r>
          </w:p>
        </w:tc>
        <w:tc>
          <w:tcPr>
            <w:tcW w:w="0" w:type="dxa"/>
            <w:vAlign w:val="bottom"/>
          </w:tcPr>
          <w:p>
            <w:pPr>
              <w:spacing w:after="0"/>
              <w:rPr>
                <w:sz w:val="1"/>
                <w:szCs w:val="1"/>
                <w:color w:val="auto"/>
              </w:rPr>
            </w:pPr>
          </w:p>
        </w:tc>
      </w:tr>
      <w:tr>
        <w:trPr>
          <w:trHeight w:val="297"/>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Aerospace and Defense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1,627</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16,271</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5,556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3,200,000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Aerospace and Defense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and Childcare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8,999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1,780,693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Healthcare, Education and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8,999</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857,339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7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6"/>
              </w:rPr>
              <w:t>Oil and Gas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1,055,932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2,464,999</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297"/>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4,325</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1,306,167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531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7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6"/>
              </w:rPr>
              <w:t>Cargo Transport</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137,923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2,111,588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4"/>
              </w:rPr>
              <w:t>Insurance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9,843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91,608</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35,526</w:t>
            </w: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4,050,000</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24,595,148</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631,280,755</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641,290,626</w:t>
            </w:r>
          </w:p>
        </w:tc>
        <w:tc>
          <w:tcPr>
            <w:tcW w:w="0" w:type="dxa"/>
            <w:vAlign w:val="bottom"/>
          </w:tcPr>
          <w:p>
            <w:pPr>
              <w:spacing w:after="0"/>
              <w:rPr>
                <w:sz w:val="1"/>
                <w:szCs w:val="1"/>
                <w:color w:val="auto"/>
              </w:rPr>
            </w:pPr>
          </w:p>
        </w:tc>
      </w:tr>
      <w:tr>
        <w:trPr>
          <w:trHeight w:val="442"/>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7.50%</w:t>
            </w:r>
          </w:p>
        </w:tc>
        <w:tc>
          <w:tcPr>
            <w:tcW w:w="640" w:type="dxa"/>
            <w:vAlign w:val="bottom"/>
            <w:gridSpan w:val="2"/>
          </w:tcPr>
          <w:p>
            <w:pPr>
              <w:ind w:left="100"/>
              <w:spacing w:after="0"/>
              <w:rPr>
                <w:sz w:val="20"/>
                <w:szCs w:val="20"/>
                <w:color w:val="auto"/>
              </w:rPr>
            </w:pPr>
            <w:r>
              <w:rPr>
                <w:rFonts w:ascii="Arial" w:cs="Arial" w:eastAsia="Arial" w:hAnsi="Arial"/>
                <w:sz w:val="14"/>
                <w:szCs w:val="14"/>
                <w:color w:val="auto"/>
                <w:w w:val="90"/>
              </w:rPr>
              <w:t>L+650</w:t>
            </w:r>
            <w:r>
              <w:rPr>
                <w:rFonts w:ascii="Arial" w:cs="Arial" w:eastAsia="Arial" w:hAnsi="Arial"/>
                <w:sz w:val="22"/>
                <w:szCs w:val="22"/>
                <w:color w:val="auto"/>
                <w:w w:val="90"/>
                <w:vertAlign w:val="superscript"/>
              </w:rPr>
              <w:t>(8)</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8,000,000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82"/>
              </w:rPr>
              <w:t>15.00%</w:t>
            </w:r>
            <w:r>
              <w:rPr>
                <w:rFonts w:ascii="Arial" w:cs="Arial" w:eastAsia="Arial" w:hAnsi="Arial"/>
                <w:sz w:val="22"/>
                <w:szCs w:val="22"/>
                <w:color w:val="auto"/>
                <w:w w:val="82"/>
                <w:vertAlign w:val="superscript"/>
              </w:rPr>
              <w:t>(6)</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5,848,176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5,677,648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37,500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3,750,000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-3661410</wp:posOffset>
            </wp:positionV>
            <wp:extent cx="7246620"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-3472815</wp:posOffset>
            </wp:positionV>
            <wp:extent cx="724662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-3094990</wp:posOffset>
            </wp:positionV>
            <wp:extent cx="7246620"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-2906395</wp:posOffset>
            </wp:positionV>
            <wp:extent cx="724662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-2614930</wp:posOffset>
            </wp:positionV>
            <wp:extent cx="724662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-2331720</wp:posOffset>
            </wp:positionV>
            <wp:extent cx="724662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-2049145</wp:posOffset>
            </wp:positionV>
            <wp:extent cx="724662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-1765935</wp:posOffset>
            </wp:positionV>
            <wp:extent cx="724662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-1482725</wp:posOffset>
            </wp:positionV>
            <wp:extent cx="724662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-1276985</wp:posOffset>
            </wp:positionV>
            <wp:extent cx="724662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-1054100</wp:posOffset>
            </wp:positionV>
            <wp:extent cx="724662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-865505</wp:posOffset>
            </wp:positionV>
            <wp:extent cx="724662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-565150</wp:posOffset>
            </wp:positionV>
            <wp:extent cx="724662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-196850</wp:posOffset>
            </wp:positionV>
            <wp:extent cx="724662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20" w:space="220"/>
            <w:col w:w="578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17,427,648</w:t>
            </w:r>
          </w:p>
        </w:tc>
        <w:tc>
          <w:tcPr>
            <w:tcW w:w="760" w:type="dxa"/>
            <w:vAlign w:val="bottom"/>
          </w:tcPr>
          <w:p>
            <w:pPr>
              <w:jc w:val="right"/>
              <w:spacing w:after="0"/>
              <w:rPr>
                <w:sz w:val="20"/>
                <w:szCs w:val="20"/>
                <w:color w:val="auto"/>
              </w:rPr>
            </w:pPr>
            <w:r>
              <w:rPr>
                <w:rFonts w:ascii="Arial" w:cs="Arial" w:eastAsia="Arial" w:hAnsi="Arial"/>
                <w:sz w:val="14"/>
                <w:szCs w:val="14"/>
                <w:color w:val="auto"/>
              </w:rPr>
              <w:t>15,433,680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1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6/30/2020</w:t>
            </w:r>
          </w:p>
        </w:tc>
        <w:tc>
          <w:tcPr>
            <w:tcW w:w="1560" w:type="dxa"/>
            <w:vAlign w:val="bottom"/>
          </w:tcPr>
          <w:p>
            <w:pPr>
              <w:ind w:left="300"/>
              <w:spacing w:after="0" w:line="149" w:lineRule="exact"/>
              <w:rPr>
                <w:sz w:val="20"/>
                <w:szCs w:val="20"/>
                <w:color w:val="auto"/>
              </w:rPr>
            </w:pPr>
            <w:r>
              <w:rPr>
                <w:rFonts w:ascii="Arial" w:cs="Arial" w:eastAsia="Arial" w:hAnsi="Arial"/>
                <w:sz w:val="14"/>
                <w:szCs w:val="14"/>
                <w:color w:val="auto"/>
              </w:rPr>
              <w:t>Business Services</w:t>
            </w:r>
          </w:p>
        </w:tc>
        <w:tc>
          <w:tcPr>
            <w:tcW w:w="1040" w:type="dxa"/>
            <w:vAlign w:val="bottom"/>
            <w:vMerge w:val="continue"/>
          </w:tcPr>
          <w:p>
            <w:pPr>
              <w:spacing w:after="0"/>
              <w:rPr>
                <w:sz w:val="12"/>
                <w:szCs w:val="12"/>
                <w:color w:val="auto"/>
              </w:rPr>
            </w:pPr>
          </w:p>
        </w:tc>
        <w:tc>
          <w:tcPr>
            <w:tcW w:w="5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4,800,000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4,800,000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8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380" w:type="dxa"/>
            <w:vAlign w:val="bottom"/>
          </w:tcPr>
          <w:p>
            <w:pPr>
              <w:spacing w:after="0"/>
              <w:rPr>
                <w:sz w:val="12"/>
                <w:szCs w:val="12"/>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Industry</w:t>
            </w: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38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76"/>
              </w:rPr>
              <w:t>Cost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80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Notes—0.3%</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6/30/2020</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1,200,000</w:t>
            </w: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1,142,398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14.00%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10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5"/>
              </w:rPr>
              <w:t>656,708,503</w:t>
            </w:r>
          </w:p>
        </w:tc>
        <w:tc>
          <w:tcPr>
            <w:tcW w:w="24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664,724,406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1,814,451</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Equivalents—172.5%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658,522,954</w:t>
            </w:r>
          </w:p>
        </w:tc>
        <w:tc>
          <w:tcPr>
            <w:tcW w:w="10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 to our wholly owned, consolidated Small Business Investment Company, or SBIC, PennantPark SBIC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30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those fiscal years. The amendments of ASU 2011-04, when adopted, are not expected to have a material impact on our consolidated financial statements and the company is currently evaluating the impact on its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2011, 2010 and 2009 totaled $490.6 million, $315.8 million and $117.4 million, respectively. Sales and repayments of long-term investments for the fiscal years ended September 30, 2011, 2010 and 2009 totaled $304.0 million, $145.2 million and $28.0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September 30,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$ 305,608,989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$ 296,488,131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234,595,683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189,962,828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165,272,201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325,318,958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12,268,187</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9,762,932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866,322,836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827,548,515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664,724,406</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$ 937,927,355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$ 899,153,034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 2011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6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tcPr>
          <w:p>
            <w:pPr>
              <w:ind w:left="278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and 2010,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$771,089,501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38,395,050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75,649,114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2010</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49,488,268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666,538,857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gridSpan w:val="2"/>
          </w:tcPr>
          <w:p>
            <w:pPr>
              <w:jc w:val="right"/>
              <w:ind w:right="1758"/>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September 30, 2011</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615,236,138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45,137,828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(48,568,848)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2,904,075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486,512,694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9,969,861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(292,284,905)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(304,008,537)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Ending Balance, September 30, 2011</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732,694,451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52,353,328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(24,916,057)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(22,729,456)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2010</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442,128,049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27,632,024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469,760,073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(12,411,934)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(3,005,163)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31,964,795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304,625,814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12,984,260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317,610,074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(138,765,449)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(138,772,371)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(12,305,137)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5,840,149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Ending Balance, September 30, 2010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615,236,138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45,137,828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(1,311,683)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407,500,000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2011, at fair value,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(Cost—$240,900,000)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238,792,125</w:t>
            </w:r>
          </w:p>
        </w:tc>
        <w:tc>
          <w:tcPr>
            <w:tcW w:w="120" w:type="dxa"/>
            <w:vAlign w:val="bottom"/>
          </w:tcPr>
          <w:p>
            <w:pPr>
              <w:spacing w:after="0"/>
              <w:rPr>
                <w:sz w:val="19"/>
                <w:szCs w:val="19"/>
                <w:color w:val="auto"/>
              </w:rPr>
            </w:pPr>
          </w:p>
        </w:tc>
      </w:tr>
      <w:tr>
        <w:trPr>
          <w:trHeight w:val="46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 (Cost—$218,100,000)</w:t>
            </w:r>
          </w:p>
        </w:tc>
        <w:tc>
          <w:tcPr>
            <w:tcW w:w="1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168,475,380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177,700,000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(167,900,000)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2010, at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2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219,141,125</w:t>
            </w:r>
          </w:p>
        </w:tc>
        <w:tc>
          <w:tcPr>
            <w:tcW w:w="1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Name of Investment</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affiliates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w w:val="87"/>
              </w:rPr>
              <w:t>Received</w:t>
            </w:r>
          </w:p>
        </w:tc>
        <w:tc>
          <w:tcPr>
            <w:tcW w:w="1080" w:type="dxa"/>
            <w:vAlign w:val="bottom"/>
            <w:gridSpan w:val="2"/>
          </w:tcPr>
          <w:p>
            <w:pPr>
              <w:jc w:val="center"/>
              <w:ind w:left="11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$5,500,000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785,167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1,537,489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18,631,503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1,305,502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42,065,283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6,805,502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3,081,976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54,173,134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5"/>
              </w:rPr>
              <w:t>Class and Year</w:t>
            </w:r>
          </w:p>
        </w:tc>
        <w:tc>
          <w:tcPr>
            <w:tcW w:w="7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ind w:left="7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10,263,474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16,535,491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35,802,029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42,196,076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21,092,334*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(98,294)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98,294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2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$ 10,263,474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$16,535,491</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$ 35,802,029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gain(loss) on investments not taxable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15,417,097</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 and Credit Facility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(52,326,993)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(3,178,194)</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(321,805)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827,527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$ 49,695,705</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31,752,812</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$ 23,546,442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1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17,639,482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(47,030,821)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(54,591,911)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(11,250,568)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(8,645,354)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(39,331,872)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(12,477,778)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(9,651,137)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(36,122,397)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19,300,499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22,096,807</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(77,991,514)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(42,136,121)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(26,505,872)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September 30, 2011, the capital loss carry forward of $47.0 million expires, if not utilized against future capital gains, as follows: $3.7 million in 2017 and $43.3 million in 2018.</w:t>
      </w:r>
    </w:p>
    <w:p>
      <w:pPr>
        <w:ind w:left="460" w:hanging="452"/>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2011 and 2010 were solely from ordinary income and totaled $46.3 million, or $1.10 per share, and $32.3 million, or $1.09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offering costs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Accretive (Dilutive) effect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1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45,689,781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25,368,772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21,068,772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Credit Facility related expenses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total expenses to average net assets</w:t>
            </w:r>
            <w:r>
              <w:rPr>
                <w:rFonts w:ascii="Arial" w:cs="Arial" w:eastAsia="Arial" w:hAnsi="Arial"/>
                <w:sz w:val="11"/>
                <w:szCs w:val="11"/>
                <w:color w:val="auto"/>
                <w:w w:val="98"/>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net investment income to average net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462,657,196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278,294,433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119,472,732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annualized for a period of less than a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340" w:right="140" w:hanging="332"/>
        <w:spacing w:after="0" w:line="286"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and may differ from amounts determined under GAAP.</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340" w:right="32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40" w:lineRule="exact"/>
        <w:rPr>
          <w:sz w:val="20"/>
          <w:szCs w:val="20"/>
          <w:color w:val="auto"/>
        </w:rPr>
      </w:pPr>
    </w:p>
    <w:p>
      <w:pPr>
        <w:ind w:left="460" w:right="7520" w:hanging="452"/>
        <w:spacing w:after="0" w:line="391" w:lineRule="auto"/>
        <w:tabs>
          <w:tab w:leader="none" w:pos="257"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Notes. SBA current regulations limit the amount that SBIC LP may borrow to a maximum of $150 million, which is up to twice its potential regulatory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 SBIC LP has accessed the maximum borrowing with its $75.0 million in regulatory capital.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As of September 30, 2011</w:t>
            </w:r>
          </w:p>
        </w:tc>
        <w:tc>
          <w:tcPr>
            <w:tcW w:w="18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As of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Coupon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Coupon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Issuance Dates</w:t>
            </w:r>
          </w:p>
        </w:tc>
        <w:tc>
          <w:tcPr>
            <w:tcW w:w="5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ind w:left="6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87"/>
              </w:rPr>
              <w:t>Principal Balance</w:t>
            </w:r>
          </w:p>
        </w:tc>
        <w:tc>
          <w:tcPr>
            <w:tcW w:w="180" w:type="dxa"/>
            <w:vAlign w:val="bottom"/>
          </w:tcPr>
          <w:p>
            <w:pPr>
              <w:spacing w:after="0"/>
              <w:rPr>
                <w:sz w:val="15"/>
                <w:szCs w:val="15"/>
                <w:color w:val="auto"/>
              </w:rPr>
            </w:pPr>
          </w:p>
        </w:tc>
        <w:tc>
          <w:tcPr>
            <w:tcW w:w="500" w:type="dxa"/>
            <w:vAlign w:val="bottom"/>
          </w:tcPr>
          <w:p>
            <w:pPr>
              <w:ind w:left="4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70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Fixed SBA Debentures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22, 2010</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2020</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3.50%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29, 2011</w:t>
            </w:r>
          </w:p>
        </w:tc>
        <w:tc>
          <w:tcPr>
            <w:tcW w:w="3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1, 2021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21, 2011</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2021</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3.38%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105,000,000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Interim SBA Debentures</w:t>
            </w: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0.84%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0.93%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5"/>
            <w:vMerge w:val="restart"/>
          </w:tcPr>
          <w:p>
            <w:pPr>
              <w:spacing w:after="0"/>
              <w:rPr>
                <w:sz w:val="20"/>
                <w:szCs w:val="20"/>
                <w:color w:val="auto"/>
              </w:rPr>
            </w:pPr>
            <w:r>
              <w:rPr>
                <w:rFonts w:ascii="Arial" w:cs="Arial" w:eastAsia="Arial" w:hAnsi="Arial"/>
                <w:sz w:val="18"/>
                <w:szCs w:val="18"/>
                <w:color w:val="auto"/>
              </w:rPr>
              <w:t>SBA Commitment</w:t>
            </w: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2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60"/>
          </w:cols>
          <w:pgMar w:left="240" w:top="460" w:right="39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9,000,000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551180</wp:posOffset>
            </wp:positionV>
            <wp:extent cx="40563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RBC Capital Markets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Credit Suisse</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Stifel Nicolaus Weisel</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80"/>
        <w:spacing w:after="0"/>
        <w:tabs>
          <w:tab w:leader="none" w:pos="5900" w:val="left"/>
        </w:tabs>
        <w:rPr>
          <w:sz w:val="20"/>
          <w:szCs w:val="20"/>
          <w:color w:val="auto"/>
        </w:rPr>
      </w:pPr>
      <w:r>
        <w:rPr>
          <w:rFonts w:ascii="Arial" w:cs="Arial" w:eastAsia="Arial" w:hAnsi="Arial"/>
          <w:sz w:val="18"/>
          <w:szCs w:val="18"/>
          <w:b w:val="1"/>
          <w:bCs w:val="1"/>
          <w:color w:val="auto"/>
        </w:rPr>
        <w:t>January</w:t>
        <w:tab/>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lowerLetter"/>
      <w:start w:val="2"/>
    </w:lvl>
    <w:lvl w:ilvl="1">
      <w:lvlJc w:val="left"/>
      <w:lvlText w:val="•"/>
      <w:numFmt w:val="bullet"/>
      <w:start w:val="1"/>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1)"/>
      <w:numFmt w:val="decimal"/>
      <w:start w:val="8"/>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1)"/>
      <w:numFmt w:val="decimal"/>
      <w:start w:val="7"/>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1)"/>
      <w:numFmt w:val="decimal"/>
      <w:start w:val="4"/>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1)"/>
      <w:numFmt w:val="decimal"/>
      <w:start w:val="5"/>
    </w:lvl>
  </w:abstractNum>
  <w:abstractNum w:abstractNumId="38">
    <w:nsid w:val="11447B73"/>
    <w:multiLevelType w:val="hybridMultilevel"/>
    <w:lvl w:ilvl="0">
      <w:lvlJc w:val="left"/>
      <w:lvlText w:val="(%1)"/>
      <w:numFmt w:val="decimal"/>
      <w:start w:val="2"/>
    </w:lvl>
  </w:abstractNum>
  <w:abstractNum w:abstractNumId="39">
    <w:nsid w:val="42963E5A"/>
    <w:multiLevelType w:val="hybridMultilevel"/>
    <w:lvl w:ilvl="0">
      <w:lvlJc w:val="left"/>
      <w:lvlText w:val="(%1)"/>
      <w:numFmt w:val="upperLetter"/>
      <w:start w:val="2"/>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1)"/>
      <w:numFmt w:val="decimal"/>
      <w:start w:val="3"/>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lowerLetter"/>
      <w:start w:val="2"/>
    </w:lvl>
    <w:lvl w:ilvl="1">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lvl w:ilvl="1">
      <w:lvlJc w:val="left"/>
      <w:lvlText w:val="="/>
      <w:numFmt w:val="bullet"/>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
      <w:numFmt w:val="bullet"/>
      <w:start w:val="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1)"/>
      <w:numFmt w:val="decimal"/>
      <w:start w:val="1"/>
    </w:lvl>
    <w:lvl w:ilvl="1">
      <w:lvlJc w:val="left"/>
      <w:lvlText w:val="(%2)"/>
      <w:numFmt w:val="lowerLetter"/>
      <w:start w:val="1"/>
    </w:lvl>
  </w:abstractNum>
  <w:abstractNum w:abstractNumId="94">
    <w:nsid w:val="9DAF632"/>
    <w:multiLevelType w:val="hybridMultilevel"/>
    <w:lvl w:ilvl="0">
      <w:lvlJc w:val="left"/>
      <w:lvlText w:val="(%1)"/>
      <w:numFmt w:val="decimal"/>
      <w:start w:val="4"/>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
      <w:numFmt w:val="bullet"/>
      <w:start w:val="1"/>
    </w:lvl>
    <w:lvl w:ilvl="1">
      <w:lvlJc w:val="left"/>
      <w:lvlText w:val="%2)"/>
      <w:numFmt w:val="decimal"/>
      <w:start w:val="1"/>
    </w:lvl>
  </w:abstractNum>
  <w:abstractNum w:abstractNumId="100">
    <w:nsid w:val="288F1A34"/>
    <w:multiLevelType w:val="hybridMultilevel"/>
    <w:lvl w:ilvl="0">
      <w:lvlJc w:val="left"/>
      <w:lvlText w:val="(%1)"/>
      <w:numFmt w:val="decimal"/>
      <w:start w:val="3"/>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1)"/>
      <w:numFmt w:val="decimal"/>
      <w:start w:val="1"/>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4"/>
    </w:lvl>
  </w:abstractNum>
  <w:abstractNum w:abstractNumId="107">
    <w:nsid w:val="415E286C"/>
    <w:multiLevelType w:val="hybridMultilevel"/>
    <w:lvl w:ilvl="0">
      <w:lvlJc w:val="left"/>
      <w:lvlText w:val="(%1)"/>
      <w:numFmt w:val="lowerLetter"/>
      <w:start w:val="2"/>
    </w:lvl>
  </w:abstractNum>
  <w:abstractNum w:abstractNumId="108">
    <w:nsid w:val="7C58FD05"/>
    <w:multiLevelType w:val="hybridMultilevel"/>
    <w:lvl w:ilvl="0">
      <w:lvlJc w:val="left"/>
      <w:lvlText w:val="(%1)"/>
      <w:numFmt w:val="lowerLetter"/>
      <w:start w:val="3"/>
    </w:lvl>
  </w:abstractNum>
  <w:abstractNum w:abstractNumId="109">
    <w:nsid w:val="23D86AAC"/>
    <w:multiLevelType w:val="hybridMultilevel"/>
    <w:lvl w:ilvl="0">
      <w:lvlJc w:val="left"/>
      <w:lvlText w:val="(%1)"/>
      <w:numFmt w:val="lowerLetter"/>
      <w:start w:val="4"/>
    </w:lvl>
  </w:abstractNum>
  <w:abstractNum w:abstractNumId="110">
    <w:nsid w:val="45E6D486"/>
    <w:multiLevelType w:val="hybridMultilevel"/>
    <w:lvl w:ilvl="0">
      <w:lvlJc w:val="left"/>
      <w:lvlText w:val="(%1)"/>
      <w:numFmt w:val="lowerLetter"/>
      <w:start w:val="5"/>
    </w:lvl>
  </w:abstractNum>
  <w:abstractNum w:abstractNumId="111">
    <w:nsid w:val="5C10FE21"/>
    <w:multiLevelType w:val="hybridMultilevel"/>
    <w:lvl w:ilvl="0">
      <w:lvlJc w:val="left"/>
      <w:lvlText w:val="(%1)"/>
      <w:numFmt w:val="lowerLetter"/>
      <w:start w:val="6"/>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2019-12-09T18:00:36Z</dcterms:created>
  <dcterms:modified xsi:type="dcterms:W3CDTF">2019-12-09T18:00:36Z</dcterms:modified>
</cp:coreProperties>
</file>