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100"/>
                    </a:xfrm>
                    <a:prstGeom prst="rect">
                      <a:avLst/>
                    </a:prstGeom>
                    <a:noFill/>
                  </pic:spPr>
                </pic:pic>
              </a:graphicData>
            </a:graphic>
          </wp:anchor>
        </w:drawing>
        <w:t>UNITED STATES</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74295</wp:posOffset>
            </wp:positionV>
            <wp:extent cx="2863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FORM 8-K</w:t>
      </w:r>
    </w:p>
    <w:p>
      <w:pPr>
        <w:spacing w:after="0" w:line="256"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CURRENT REPORT</w:t>
      </w:r>
    </w:p>
    <w:p>
      <w:pPr>
        <w:spacing w:after="0" w:line="252"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Date of Report: November 17, 2010</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0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600"/>
          </w:cols>
          <w:pgMar w:left="320" w:top="1039" w:right="979" w:bottom="1440" w:gutter="0" w:footer="0" w:header="0"/>
        </w:sectPr>
      </w:pPr>
    </w:p>
    <w:p>
      <w:pPr>
        <w:spacing w:after="0" w:line="230"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ind w:left="3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Number)</w:t>
      </w:r>
    </w:p>
    <w:p>
      <w:pPr>
        <w:spacing w:after="0" w:line="211" w:lineRule="exact"/>
        <w:rPr>
          <w:sz w:val="24"/>
          <w:szCs w:val="24"/>
          <w:color w:val="auto"/>
        </w:rPr>
      </w:pPr>
    </w:p>
    <w:p>
      <w:pPr>
        <w:sectPr>
          <w:pgSz w:w="11900" w:h="16838" w:orient="portrait"/>
          <w:cols w:equalWidth="0" w:num="3">
            <w:col w:w="4260" w:space="720"/>
            <w:col w:w="2360" w:space="720"/>
            <w:col w:w="2540"/>
          </w:cols>
          <w:pgMar w:left="320" w:top="1039" w:right="979" w:bottom="1440" w:gutter="0" w:footer="0" w:header="0"/>
          <w:type w:val="continuous"/>
        </w:sectPr>
      </w:pPr>
    </w:p>
    <w:p>
      <w:pPr>
        <w:spacing w:after="0" w:line="250" w:lineRule="exact"/>
        <w:rPr>
          <w:sz w:val="24"/>
          <w:szCs w:val="24"/>
          <w:color w:val="auto"/>
        </w:rPr>
      </w:pPr>
    </w:p>
    <w:p>
      <w:pPr>
        <w:jc w:val="center"/>
        <w:ind w:right="342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342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3380"/>
        <w:spacing w:after="0"/>
        <w:rPr>
          <w:sz w:val="20"/>
          <w:szCs w:val="20"/>
          <w:color w:val="auto"/>
        </w:rPr>
      </w:pPr>
      <w:r>
        <w:rPr>
          <w:rFonts w:ascii="Arial" w:cs="Arial" w:eastAsia="Arial" w:hAnsi="Arial"/>
          <w:sz w:val="18"/>
          <w:szCs w:val="18"/>
          <w:color w:val="auto"/>
        </w:rPr>
        <w:t>(Address of principal executive</w:t>
      </w:r>
    </w:p>
    <w:p>
      <w:pPr>
        <w:spacing w:after="0" w:line="9" w:lineRule="exact"/>
        <w:rPr>
          <w:sz w:val="24"/>
          <w:szCs w:val="24"/>
          <w:color w:val="auto"/>
        </w:rPr>
      </w:pPr>
    </w:p>
    <w:p>
      <w:pPr>
        <w:jc w:val="center"/>
        <w:ind w:right="342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10022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438" w:lineRule="exact"/>
        <w:rPr>
          <w:sz w:val="24"/>
          <w:szCs w:val="24"/>
          <w:color w:val="auto"/>
        </w:rPr>
      </w:pPr>
    </w:p>
    <w:p>
      <w:pPr>
        <w:sectPr>
          <w:pgSz w:w="11900" w:h="16838" w:orient="portrait"/>
          <w:cols w:equalWidth="0" w:num="2">
            <w:col w:w="7780" w:space="720"/>
            <w:col w:w="2100"/>
          </w:cols>
          <w:pgMar w:left="320" w:top="1039" w:right="979" w:bottom="1440" w:gutter="0" w:footer="0" w:header="0"/>
          <w:type w:val="continuous"/>
        </w:sectPr>
      </w:pPr>
    </w:p>
    <w:p>
      <w:pPr>
        <w:spacing w:after="0" w:line="3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600"/>
          </w:cols>
          <w:pgMar w:left="320" w:top="1039" w:right="979" w:bottom="1440" w:gutter="0" w:footer="0" w:header="0"/>
          <w:type w:val="continuous"/>
        </w:sectPr>
      </w:pPr>
    </w:p>
    <w:p>
      <w:pPr>
        <w:spacing w:after="0" w:line="23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firstLine="45"/>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00"/>
          </w:cols>
          <w:pgMar w:left="320" w:top="1039"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17, 2010, PennantPark Investment Corporation issued a press release announcing its financial results for quarter and fiscal year ended September 30, 2010. A copy of the press release is furnished as exhibit 99.1 to this report pursuant to Item 2.02 and Regulation FD.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540" w:right="8820" w:hanging="532"/>
        <w:spacing w:after="0" w:line="29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40" w:right="7920" w:hanging="532"/>
        <w:spacing w:after="0" w:line="250" w:lineRule="auto"/>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40" w:right="8300" w:hanging="532"/>
        <w:spacing w:after="0" w:line="250" w:lineRule="auto"/>
        <w:tabs>
          <w:tab w:leader="none" w:pos="2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40"/>
        <w:spacing w:after="0"/>
        <w:tabs>
          <w:tab w:leader="none" w:pos="116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Investment Corporation dated November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20"/>
          </w:cols>
          <w:pgMar w:left="320" w:top="999" w:right="859" w:bottom="1440" w:gutter="0" w:footer="0" w:header="0"/>
        </w:sectPr>
      </w:pPr>
    </w:p>
    <w:bookmarkStart w:id="2" w:name="page3"/>
    <w:bookmarkEnd w:id="2"/>
    <w:p>
      <w:pPr>
        <w:ind w:left="490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Dated: November 17, 2010</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-10160</wp:posOffset>
            </wp:positionV>
            <wp:extent cx="1527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17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1032510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80"/>
          </w:cols>
          <w:pgMar w:left="320" w:top="999" w:right="1299" w:bottom="1440" w:gutter="0" w:footer="0" w:header="0"/>
        </w:sectPr>
      </w:pPr>
    </w:p>
    <w:bookmarkStart w:id="3" w:name="page4"/>
    <w:bookmarkEnd w:id="3"/>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u w:val="single" w:color="auto"/>
          <w:color w:val="auto"/>
        </w:rPr>
        <w:t>Exhibit No.</w:t>
      </w:r>
    </w:p>
    <w:p>
      <w:pPr>
        <w:spacing w:after="0" w:line="144" w:lineRule="exact"/>
        <w:rPr>
          <w:sz w:val="20"/>
          <w:szCs w:val="20"/>
          <w:color w:val="auto"/>
        </w:rPr>
      </w:pPr>
    </w:p>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5"/>
          <w:szCs w:val="15"/>
          <w:color w:val="auto"/>
        </w:rPr>
        <w:t>Press Release of PennantPark Investment</w:t>
      </w:r>
    </w:p>
    <w:p>
      <w:pPr>
        <w:spacing w:after="0" w:line="44"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Corporation dated November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1785620</wp:posOffset>
            </wp:positionV>
            <wp:extent cx="71361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2">
            <w:col w:w="3060" w:space="720"/>
            <w:col w:w="5239"/>
          </w:cols>
          <w:pgMar w:left="1440" w:top="99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198120</wp:posOffset>
            </wp:positionV>
            <wp:extent cx="713613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4277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PennantPark Investment Corporation Announces Financial Results for Quarter and Year Ended September 30, 2010</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NEW YORK, NY – (Marketwire – November 17, 2010) -- PennantPark Investment Corporation (NASDAQ: PNNT) today announces financial results for its fourth quarter and fiscal year ended September 30,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September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Assets and Liabilities:</w:t>
            </w: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portfolio</w:t>
            </w: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assets</w:t>
            </w: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386.6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(Cost $233.1)</w:t>
            </w: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SBA debentures</w:t>
            </w: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Yield on debt investments</w:t>
            </w:r>
          </w:p>
        </w:tc>
        <w:tc>
          <w:tcPr>
            <w:tcW w:w="1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vMerge w:val="restart"/>
          </w:tcPr>
          <w:p>
            <w:pPr>
              <w:ind w:left="360"/>
              <w:spacing w:after="0"/>
              <w:rPr>
                <w:sz w:val="20"/>
                <w:szCs w:val="20"/>
                <w:color w:val="auto"/>
              </w:rPr>
            </w:pPr>
            <w:r>
              <w:rPr>
                <w:rFonts w:ascii="Arial" w:cs="Arial" w:eastAsia="Arial" w:hAnsi="Arial"/>
                <w:sz w:val="18"/>
                <w:szCs w:val="18"/>
                <w:color w:val="auto"/>
              </w:rPr>
              <w:t>Year Ended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8"/>
              </w:rPr>
              <w:t>Quarter Ended</w:t>
            </w:r>
          </w:p>
        </w:tc>
        <w:tc>
          <w:tcPr>
            <w:tcW w:w="0" w:type="dxa"/>
            <w:vAlign w:val="bottom"/>
          </w:tcPr>
          <w:p>
            <w:pPr>
              <w:spacing w:after="0"/>
              <w:rPr>
                <w:sz w:val="1"/>
                <w:szCs w:val="1"/>
                <w:color w:val="auto"/>
              </w:rPr>
            </w:pPr>
          </w:p>
        </w:tc>
      </w:tr>
      <w:tr>
        <w:trPr>
          <w:trHeight w:val="445"/>
        </w:trPr>
        <w:tc>
          <w:tcPr>
            <w:tcW w:w="4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Operating Results:</w:t>
            </w: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September 30, 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September 30, 2010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2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Net investment income per average share</w:t>
            </w: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declared per share</w:t>
            </w: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Portfolio Activity:</w:t>
            </w: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Purchase of long term investments</w:t>
            </w:r>
          </w:p>
        </w:tc>
        <w:tc>
          <w:tcPr>
            <w:tcW w:w="12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309.5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repayments of long term investments</w:t>
            </w:r>
          </w:p>
        </w:tc>
        <w:tc>
          <w:tcPr>
            <w:tcW w:w="12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new portfolio companies invested</w:t>
            </w: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Number of existing portfolio companies invested</w:t>
            </w: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portfolio companies at end of period</w:t>
            </w: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-2228215</wp:posOffset>
            </wp:positionV>
            <wp:extent cx="42773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13"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2"/>
          <w:szCs w:val="22"/>
          <w:b w:val="1"/>
          <w:bCs w:val="1"/>
          <w:i w:val="1"/>
          <w:iCs w:val="1"/>
          <w:color w:val="auto"/>
        </w:rPr>
      </w:pPr>
      <w:r>
        <w:rPr>
          <w:rFonts w:ascii="Arial" w:cs="Arial" w:eastAsia="Arial" w:hAnsi="Arial"/>
          <w:sz w:val="18"/>
          <w:szCs w:val="18"/>
          <w:color w:val="auto"/>
        </w:rPr>
        <w:t>Distributions declared per average share were $0.27.</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“Company,” and “PennantPark Investment” refer to PennantPark Investment Corporation and its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AT 10:00 A.M. ET ON NOVEMBER 18, 2010</w:t>
      </w:r>
    </w:p>
    <w:p>
      <w:pPr>
        <w:spacing w:after="0" w:line="252"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The Company will host a conference call at 10:00 a.m. (Eastern Time) on Thursday, November 18, 2010 to discuss its fourth quarter and full year 2010 financial results. All interested parties are welcome to participate. You can access the conference call by dialing (877) 741-4239 approximately 5-10 minutes prior to the call. International callers should dial (719) 325-4921. All callers should reference PennantPark Investment Corporation. An archived replay of the call will be available through December 2, 2010 by calling (888) 203-1112. International callers please dial (719) 457-0820. For all replays, please reference conference ID #7462814.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September 30, 2010, our portfolio totaled $664.7 million and consisted of $234.6 million of senior secured loans, $156.7 million of second lien secured debt, $223.9 million of subordinated debt, and $49.5 million of preferred and common equity investments. This compares to our portfolio as of September 30, 2009, which totaled $469.8 million and consisted of $150.6 million of senior secured loans, $134.4 million of second lien secured debt, $157.1 million of subordinated debt, and $27.7 million of preferred and common equity investments.</w:t>
      </w:r>
    </w:p>
    <w:p>
      <w:pPr>
        <w:spacing w:after="0" w:line="1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As of September 30, 2010, our overall portfolio consisted of 43 companies with an average investment size of $15.5 million and a weighted average yield on debt investments of 12.7%. The portfolio was invested 35% in senior secured loans, 24% in second lien secured debt, 34% in subordinated debt and 7% in preferred and common equity investments. This compares to our portfolio as of September 30, 2009, which consisted of 42 companies with an average investment size of $11.2 million and a weighted average yield on debt investments of 11.4%, and which was invested 32% in senior secured loans, 29% in second lien secured debt, 33% in subordinated debt and 6% in preferred and common equity investments.</w:t>
      </w:r>
    </w:p>
    <w:p>
      <w:pPr>
        <w:sectPr>
          <w:pgSz w:w="11900" w:h="16838" w:orient="portrait"/>
          <w:cols w:equalWidth="0" w:num="1">
            <w:col w:w="11240"/>
          </w:cols>
          <w:pgMar w:left="320" w:top="436" w:right="339" w:bottom="542" w:gutter="0" w:footer="0" w:header="0"/>
        </w:sectPr>
      </w:pPr>
    </w:p>
    <w:bookmarkStart w:id="5" w:name="page6"/>
    <w:bookmarkEnd w:id="5"/>
    <w:p>
      <w:pPr>
        <w:spacing w:after="0" w:line="29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9" w:lineRule="auto"/>
        <w:rPr>
          <w:sz w:val="20"/>
          <w:szCs w:val="20"/>
          <w:color w:val="auto"/>
        </w:rPr>
      </w:pPr>
      <w:r>
        <w:rPr>
          <w:rFonts w:ascii="Arial" w:cs="Arial" w:eastAsia="Arial" w:hAnsi="Arial"/>
          <w:sz w:val="17"/>
          <w:szCs w:val="17"/>
          <w:color w:val="auto"/>
        </w:rPr>
        <w:t>For the three months ended September 30, 2010, we invested $96.7 million in 5 new and 2 existing portfolio companies with an overall average yield of 17.1% on debt investments. Sales and repayments of long-term investments for the same period totaled $62.5 million. This compares to the three months ended September 30, 2009 when we invested $64.8 million in 5 new and 3 existing portfolio companies with an overall average yield of 13.8% on debt investments. Sales and repayments of long-term investments for the same period totaled $15.1 million.</w:t>
      </w:r>
    </w:p>
    <w:p>
      <w:pPr>
        <w:spacing w:after="0" w:line="198"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For the fiscal year ended September 30, 2010, we invested $309.5 million in 17 new and 12 existing portfolio companies with an overall average yield of 14.9% on debt investments. Sales and repayments of long-term investments for the same period totaled $145.2 million. This compares to the fiscal year ended September 30, 2009 when we invested $112.7 million in 11 new and 8 existing portfolio companies with an overall average yield of 14.5% on debt investments. Sales and repayments of long-term investments for the same period totaled $28.0 million.</w:t>
      </w:r>
    </w:p>
    <w:p>
      <w:pPr>
        <w:spacing w:after="0" w:line="19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pleased with both the activity level and risk-adjusted returns we are originating,” said Arthur Penn, Chairman and Chief Executive Officer. “With the ability to utilize long-term attractively priced SBIC financing and rotate our lower yielding assets, we have two additional avenues to grow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months and fiscal years ended September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Investment income for the three months ended September 30, 2010 and 2009 was $16.7 million and $11.8 million, respectively. Investment income for the three months ended September 30, 2010 was attributable to $5.5 million from senior secured loans, $3.5 million from second lien secured debt investments, and $6.9 million from subordinated debt investments with the remainder attributable to net accretion of discounts and amortization of premiums. This compares to investment income for the three months ended September 30, 2009 that was primarily attributable to $2.1 million from senior secured loans, $2.8 million from second lien secured debt investments, and $5.9 million from subordinated debt inves tments with the remainder attributable to interest income accretion of discounts and amortization of premiums.</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Investment income for the fiscal years ended September 30, 2010 and 2009 was $60.1 million and $45.1 million, respectively. Investment income for the fiscal year ended September 30, 2010 was attributable to $16.9 million from senior secured loans, $13.2 million from second lien secured debt investments, and $24.7 million from subordinated debt investments with the remainder attributable to net accretion of discounts and amortization of premiums. This compares to investment income for the fiscal year ended September 30, 2009 that was primarily attributable to $6.0 million from senior secured loans, $12.2 million from second lien secured debt investments, and $24.1 million from subordinated debt in vestments with the remainder attributable to interest income from accretion of discounts and amortization of premiums.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Expenses for the three months ended September 30, 2010 and 2009 totaled $7.7 million and $5.8 million, respectively. Of these totals, base management fees were $3.3 million and $2.2 million, and performance-based incentive fee totaled $2.2 million and $1.5 million, credit facility and SBA debentures related expenses, as applicable, totaled $1.1 million and $0.8 million, and general and administrative expenses totaled $1.1 million and $1.3 million, respectively, for the same periods.</w:t>
      </w:r>
    </w:p>
    <w:p>
      <w:pPr>
        <w:spacing w:after="0" w:line="21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Expenses for the fiscal years ended September 30, 2010 and 2009 totaled $28.0 million and $22.4 million, respectively. Of these totals, base management fees were $11.6 million and $7.7 million, and performance-based incentive fee totaled $8.0 million and $5.7 million, credit facility and SBA debentures related expenses, as applicable, totaled $3.7 million and $4.6 million, general and administrative expenses totaled $4.6 million and $4.4 million, respectively, for the same periods. Additionally, during the fiscal year end September 30, 2010, there was an excise tax of $0.1 million. The increase in expenses over the prior year was primarily due to the growth of our portfolio and net investment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investment income totaled $9.0 million and $6.0 million or $0.27 and $0.28 per share for the three months ended September 30, 2010 and 2009, respectively.</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investment income totaled $32.1 million and $22.7 million or $1.09 and $1.08 per share for the fiscal years ended September 30, 2010 and 2009,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Gains (Losses)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Sales and repayments of long-term investments totaled $62.5 million and $15.1 million, for the three months ended September 30, 2010 and 2009, respectively. Net realized gains (losses) totaled $1.2 million and $(8.4) million, respectively, for the same periods.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Sales and repayments of long-term investments totaled $145.2 million and $28.0 million, respectively, for the fiscal years ended September 30, 2010 and 2009. Net realized losses totaled $15.4 million and $39.2 million, respectively, for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663575</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85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Net Unrealized Appreciation (Depreciation) on Investments and Credit Facility</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Net change in unrealized appreciation on investments totaled $3.2 million and $32.2 million for the three months ended September 30, 2010 and 2009, respectively. Net change in unrealized (appreciation) depreciation on credit facility totaled $(6.8) million and $3.6 million for the three months ended September 30, 2010 and 2009, respectively.</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change in unrealized appreciation on investments and cash equivalents totaled $35.5 million and $44.5 million for the fiscal years ended September 30, 2010 and 2009, respectively. Net change in unrealized (appreciation) depreciation on credit facility totaled $(35.7) million and $7.8 million for the fiscal years ended September 30, 2010 and 2009.</w:t>
      </w:r>
    </w:p>
    <w:p>
      <w:pPr>
        <w:spacing w:after="0" w:line="21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On September 30, 2010 and 2009, net unrealized appreciation (depreciation) on investments totaled $8.0 million and $(27.5) million, respectively. On September 30, 2010 and 2009, net unrealized appreciation on credit facility totaled $13.9 million and $49.6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Resulting From Operations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increase in net assets resulting from operations totaled $6.6 million and $26.2 million or $0.20 and $1.23 per share, for the three months ended September 30, 2010 and 2009, respectively.</w:t>
      </w:r>
    </w:p>
    <w:p>
      <w:pPr>
        <w:spacing w:after="0" w:line="19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increase in net assets resulting from operations totaled $16.5 million and $35.8 million or $0.56 and $1.70 per share, for the fiscal years ended September 30,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60"/>
        <w:spacing w:after="0" w:line="301" w:lineRule="auto"/>
        <w:rPr>
          <w:sz w:val="20"/>
          <w:szCs w:val="20"/>
          <w:color w:val="auto"/>
        </w:rPr>
      </w:pPr>
      <w:r>
        <w:rPr>
          <w:rFonts w:ascii="Arial" w:cs="Arial" w:eastAsia="Arial" w:hAnsi="Arial"/>
          <w:sz w:val="16"/>
          <w:szCs w:val="16"/>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30, 2010, we had $233.1 million in borrowings outstanding (including a $5.2 million temporary draw), with a fair market value of $219.1 million, with a weighted average interest rate at that time of 1.34% exclusive of the fee on the undrawn commitment of 0.20%, and $66.9 million remaining unused under our senior secured revolving credit facility.</w:t>
      </w:r>
    </w:p>
    <w:p>
      <w:pPr>
        <w:spacing w:after="0" w:line="2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August 5, 2010, SBIC LP received a SBA debenture commitment of $33.5 million. As of September 30, 2010, $14.5 million of the $33.5 million commitment was drawn with a weighted average interest rate of 0.93% exclusive of the 3.43% in upfront fees. Of the $14.5 million of SBA debentures outstanding, $0.5 million is fixed for 10-years with a rate of 3.50% (inclusive of the SBA annual fee) and $14.0 million is temporary financing currently bearing a rate of 0.84% that will reset to a market-driven rate in March 2011. The remaining unused SBA debentures totaled $19.0 million as of September 30, 2010. See recent developments below for information pertaining to the increased commitment and availability under the SBA debenture program.</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June 30, 2010, we had over a $100 million of assets bearing a coupon of 9% or lower. We will look to rotate these assets into new higher yielding investments over time.</w:t>
      </w:r>
    </w:p>
    <w:p>
      <w:pPr>
        <w:spacing w:after="0" w:line="19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On February 2, 2010, our stockholders approved a proposal that authorizes us to sell shares of our common stock below the then current net asset value per share of our common stock in one or more offerings for a period of 12 months. On August 23, 2010, we sold 4.6 million shares of our common stock below the then current net asset value per share of our common stock, resulting in proceeds of $44.4 million, including the underwriters’ overallotment option and net of offering costs. Any decision to sell shares below the then current net asset value per share of our common stock in one or more offerings is subject to the determination by our board of directors that such issuance and sale is in our and our stockholders' best interests. Any sale or other i 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fiscal year ended September 30, 2010, we generated operating cash flows primarily from interest earned on debt investments and sales of investments. Our primary use of funds from operations during the same period consisted of investments in portfolio companies, payments of fees and other operating expenses we incurred. For the fiscal year ended September 30, 2010, our operating activities used cash of $127.1 million and our financing activities provided cash of $95.6 million for the same period, primarily from proceeds of common stock offerings and draws on our credit facility and SBA debentures.</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fiscal year ended September 30, 2009, we generated operating cash flows primarily from interest earned on debt investments. Our primary use of funds for operations during the same period consisted of investments in portfolio companies, payments of fees and other operating expenses we incurred. For the fiscal year ended September 30, 2009, our operating activities used cash of $42.4 million and our financing activities provided cash of $35.4 million for the same period, primarily from proceeds of a common stock offering and draws on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fiscal years ended September 30, 2010 and 2009, we declared to stockholders distributions of $1.03 and $0.96 per share, respectively, or $32.3 million and $20.2 million, respectively. For the three months ended September 30, 2010 and 2009, we declared stockholders distributions of $0.26 or $9.4 million and $0.24 or $5.1 million, respectively. Tax characteristics of all distributions will be reported to stockholders on Form 1099-DIV after the end of the calendar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PennantPark Investment Corporation makes available on its website its Annual Report on Form 10-K, which also serves as its annual report to stockholders. The Company has filed its Annual Report on Form 10-K with the Securities Exchange Commission, and stockholders may find the report on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Stockholders may receive a hard copy of the annual report free of charge by submitting a written request to the Company.</w:t>
      </w:r>
    </w:p>
    <w:p>
      <w:pPr>
        <w:spacing w:after="0" w:line="1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CORPORATIONAND SUBSIDIARIES CONSOLIDATED STATEMENTS OF ASSETS AND LIABILITIES (Audited)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Non-controlled, non-affiliated investments, at fair value (cost—$631,280,755 and $479,909,805,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641,290,626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453,644,335</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Non-controlled, affiliated investments, at fair value (cost—$17,427,648 and $17,378,081,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15,433,680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16,115,738</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Controlled, affiliated investments, at fair value (cost—$8,000,100 and $0, respectively)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Total of Investments, at fair value (cost—$656,708,503 and $497,287,886,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664,724,406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469,760,073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1,814,451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33,247,666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12,814,096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5,539,056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30,254,774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2,726,007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1,886,119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1,108,567</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711,493,846</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512,381,369</w:t>
            </w:r>
          </w:p>
        </w:tc>
      </w:tr>
      <w:tr>
        <w:trPr>
          <w:trHeight w:val="20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9,401,281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5,056,505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52,785,000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19,489,525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22,203,434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Credit facility payable (Cost: $233,100,000 and $225,100,000,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219,141,125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175,475,380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 $14,500,000 and $0, respectively)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215,135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3,286,816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Performance-based incentive fee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2,239,011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1,146,821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1,647,244</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324,918,623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211,801,101</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Common stock, par value $0.001 per share, 100,000,000 shares authorized and 36,158,772 and 25,368,772 shares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issued and outstanding,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36,159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428,675,184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327,062,304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1,800,646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(65,911,544)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(50,494,447)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8,015,903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(27,527,813)</w:t>
            </w: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unrealized depreciation on credit facility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13,958,875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49,624,620</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386,575,223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300,580,268</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711,493,846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512,381,369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90"/>
        </w:trPr>
        <w:tc>
          <w:tcPr>
            <w:tcW w:w="8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850" w:right="339" w:bottom="957"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CORPORATIONAND SUBSIDIARIES CONSOLIDATED STATEMENTS OF OPERATIONS (Audited)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Investment income: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57,467,862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43,613,233</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1,069,514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1,358,031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82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60,139,757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45,118,771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Base management fee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11,618,773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7,715,615</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Performance-based incentive fee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8,018,309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5,683,388</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Interest and expenses on the credit facility and SBA debentures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3,672,444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4,628,564</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Administrative services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2,328,210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2,319,759</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2,329,110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2,052,530</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Expenses before income tax</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27,966,846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22,399,856</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98,294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28,065,140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22,399,856</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32,074,617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22,718,915</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Realized and unrealized (loss) gain on investments, cash equivalents and credit facility:</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(15,417,097)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(39,243,879)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36,275,341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46,954,325</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Non-controlled, affiliated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(731,625)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(2,455,952)</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(35,665,745)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7,828,620</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52,326,993</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gain from investments, cash equivalents and credit facility</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(15,539,126)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13,083,114</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16,535,491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35,802,029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19" w:lineRule="exact"/>
        <w:rPr>
          <w:sz w:val="20"/>
          <w:szCs w:val="20"/>
          <w:color w:val="auto"/>
        </w:rPr>
      </w:pPr>
    </w:p>
    <w:p>
      <w:pPr>
        <w:ind w:right="720"/>
        <w:spacing w:after="0" w:line="257" w:lineRule="auto"/>
        <w:rPr>
          <w:sz w:val="20"/>
          <w:szCs w:val="20"/>
          <w:color w:val="auto"/>
        </w:rPr>
      </w:pPr>
      <w:r>
        <w:rPr>
          <w:rFonts w:ascii="Arial" w:cs="Arial" w:eastAsia="Arial" w:hAnsi="Arial"/>
          <w:sz w:val="18"/>
          <w:szCs w:val="18"/>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us on the web at: </w:t>
      </w:r>
      <w:r>
        <w:rPr>
          <w:rFonts w:ascii="Arial" w:cs="Arial" w:eastAsia="Arial" w:hAnsi="Arial"/>
          <w:sz w:val="18"/>
          <w:szCs w:val="18"/>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693039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0390" cy="45085"/>
                    </a:xfrm>
                    <a:prstGeom prst="rect">
                      <a:avLst/>
                    </a:prstGeom>
                    <a:noFill/>
                  </pic:spPr>
                </pic:pic>
              </a:graphicData>
            </a:graphic>
          </wp:anchor>
        </w:drawing>
      </w:r>
    </w:p>
    <w:p>
      <w:pPr>
        <w:sectPr>
          <w:pgSz w:w="11900" w:h="16838" w:orient="portrait"/>
          <w:cols w:equalWidth="0" w:num="1">
            <w:col w:w="11240"/>
          </w:cols>
          <w:pgMar w:left="320" w:top="850" w:right="339" w:bottom="834"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2020-05-05T15:07:00Z</dcterms:created>
  <dcterms:modified xsi:type="dcterms:W3CDTF">2020-05-05T15:07:00Z</dcterms:modified>
</cp:coreProperties>
</file>