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left"/>
        <w:rPr>
          <w:bdr w:val="single" w:sz="16" w:space="1" w:color="000000"/>
        </w:rPr>
      </w:pPr>
      <w:bookmarkStart w:id="0" w:name="f8k_050224.htm"/>
      <w:bookmarkStart w:id="1" w:name="ksf8k_050224"/>
      <w:bookmarkEnd w:id="0"/>
      <w:bookmarkEnd w:id="1"/>
      <w:r>
        <w:rPr>
          <w:bdr w:val="single" w:sz="16" w:space="1" w:color="000000"/>
        </w:rPr>
        <w:t> </w:t>
      </w:r>
    </w:p>
    <w:p>
      <w:pPr>
        <w:pStyle w:val="TextBody"/>
        <w:bidi w:val="0"/>
        <w:spacing w:before="120" w:after="0"/>
        <w:jc w:val="center"/>
        <w:rPr>
          <w:b/>
          <w:sz w:val="28"/>
        </w:rPr>
      </w:pPr>
      <w:r>
        <w:rPr>
          <w:b/>
          <w:sz w:val="28"/>
        </w:rPr>
        <w:t>UNITED STATES</w:t>
      </w:r>
    </w:p>
    <w:p>
      <w:pPr>
        <w:pStyle w:val="TextBody"/>
        <w:bidi w:val="0"/>
        <w:spacing w:before="0" w:after="0"/>
        <w:jc w:val="center"/>
        <w:rPr>
          <w:b/>
          <w:sz w:val="28"/>
        </w:rPr>
      </w:pPr>
      <w:r>
        <w:rPr>
          <w:b/>
          <w:sz w:val="28"/>
        </w:rPr>
        <w:t>SECURITIES AND EXCHANGE COMMISSION</w:t>
      </w:r>
    </w:p>
    <w:p>
      <w:pPr>
        <w:pStyle w:val="TextBody"/>
        <w:bidi w:val="0"/>
        <w:spacing w:before="0" w:after="120"/>
        <w:jc w:val="center"/>
        <w:rPr>
          <w:b/>
          <w:sz w:val="28"/>
        </w:rPr>
      </w:pPr>
      <w:r>
        <w:rPr>
          <w:b/>
          <w:sz w:val="28"/>
        </w:rPr>
        <w:t>Washington, D.C. 20549</w:t>
      </w:r>
    </w:p>
    <w:p>
      <w:pPr>
        <w:pStyle w:val="TextBody"/>
        <w:bidi w:val="0"/>
        <w:jc w:val="center"/>
        <w:rPr/>
      </w:pPr>
      <w:r>
        <w:rPr/>
        <w:t>_________________</w:t>
      </w:r>
    </w:p>
    <w:p>
      <w:pPr>
        <w:pStyle w:val="TextBody"/>
        <w:bidi w:val="0"/>
        <w:spacing w:before="120" w:after="120"/>
        <w:jc w:val="center"/>
        <w:rPr>
          <w:b/>
          <w:sz w:val="28"/>
        </w:rPr>
      </w:pPr>
      <w:r>
        <w:rPr>
          <w:b/>
          <w:sz w:val="28"/>
        </w:rPr>
        <w:t>FORM 8-K</w:t>
      </w:r>
    </w:p>
    <w:p>
      <w:pPr>
        <w:pStyle w:val="TextBody"/>
        <w:bidi w:val="0"/>
        <w:jc w:val="center"/>
        <w:rPr/>
      </w:pPr>
      <w:r>
        <w:rPr/>
        <w:t>_________________</w:t>
      </w:r>
    </w:p>
    <w:p>
      <w:pPr>
        <w:pStyle w:val="TextBody"/>
        <w:bidi w:val="0"/>
        <w:spacing w:before="120" w:after="120"/>
        <w:jc w:val="center"/>
        <w:rPr>
          <w:b/>
          <w:sz w:val="24"/>
        </w:rPr>
      </w:pPr>
      <w:r>
        <w:rPr>
          <w:b/>
          <w:sz w:val="24"/>
        </w:rPr>
        <w:t>CURRENT REPORT</w:t>
      </w:r>
    </w:p>
    <w:p>
      <w:pPr>
        <w:pStyle w:val="TextBody"/>
        <w:bidi w:val="0"/>
        <w:spacing w:before="120" w:after="120"/>
        <w:jc w:val="center"/>
        <w:rPr>
          <w:b/>
          <w:sz w:val="24"/>
        </w:rPr>
      </w:pPr>
      <w:r>
        <w:rPr>
          <w:b/>
          <w:sz w:val="24"/>
        </w:rPr>
        <w:t>Pursuant to Section 13 or 15(d)</w:t>
        <w:br/>
        <w:t>of the Securities Exchange Act of 1934</w:t>
      </w:r>
    </w:p>
    <w:p>
      <w:pPr>
        <w:pStyle w:val="TextBody"/>
        <w:bidi w:val="0"/>
        <w:spacing w:before="120" w:after="120"/>
        <w:jc w:val="center"/>
        <w:rPr>
          <w:b/>
          <w:sz w:val="20"/>
        </w:rPr>
      </w:pPr>
      <w:r>
        <w:rPr>
          <w:b/>
          <w:sz w:val="20"/>
        </w:rPr>
        <w:t>Date of Report (Date of earliest event reported):  May 2, 2024</w:t>
      </w:r>
    </w:p>
    <w:p>
      <w:pPr>
        <w:pStyle w:val="TextBody"/>
        <w:bidi w:val="0"/>
        <w:jc w:val="center"/>
        <w:rPr/>
      </w:pPr>
      <w:r>
        <w:rPr/>
        <w:t>_______________________________</w:t>
      </w:r>
    </w:p>
    <w:p>
      <w:pPr>
        <w:pStyle w:val="TextBody"/>
        <w:bidi w:val="0"/>
        <w:spacing w:before="120" w:after="283"/>
        <w:jc w:val="center"/>
        <w:rPr>
          <w:b/>
          <w:sz w:val="24"/>
        </w:rPr>
      </w:pPr>
      <w:r>
        <w:rPr>
          <w:b/>
          <w:sz w:val="24"/>
        </w:rPr>
        <w:t>PennantPark Investment Corporation</w:t>
      </w:r>
    </w:p>
    <w:p>
      <w:pPr>
        <w:pStyle w:val="TextBody"/>
        <w:bidi w:val="0"/>
        <w:spacing w:before="0" w:after="120"/>
        <w:jc w:val="center"/>
        <w:rPr>
          <w:sz w:val="20"/>
        </w:rPr>
      </w:pPr>
      <w:r>
        <w:rPr>
          <w:sz w:val="20"/>
        </w:rPr>
        <w:t>(Exact name of registrant as specified in its charter)</w:t>
      </w:r>
    </w:p>
    <w:p>
      <w:pPr>
        <w:pStyle w:val="TextBody"/>
        <w:bidi w:val="0"/>
        <w:jc w:val="center"/>
        <w:rPr/>
      </w:pPr>
      <w:r>
        <w:rPr/>
        <w:t>_______________________________</w:t>
      </w:r>
    </w:p>
    <w:tbl>
      <w:tblPr>
        <w:tblW w:w="8730" w:type="dxa"/>
        <w:jc w:val="left"/>
        <w:tblInd w:w="0" w:type="dxa"/>
        <w:tblLayout w:type="fixed"/>
        <w:tblCellMar>
          <w:top w:w="0" w:type="dxa"/>
          <w:left w:w="0" w:type="dxa"/>
          <w:bottom w:w="0" w:type="dxa"/>
          <w:right w:w="0" w:type="dxa"/>
        </w:tblCellMar>
      </w:tblPr>
      <w:tblGrid>
        <w:gridCol w:w="3620"/>
        <w:gridCol w:w="2210"/>
        <w:gridCol w:w="2900"/>
      </w:tblGrid>
      <w:tr>
        <w:trPr/>
        <w:tc>
          <w:tcPr>
            <w:tcW w:w="3620" w:type="dxa"/>
            <w:tcBorders/>
            <w:vAlign w:val="center"/>
          </w:tcPr>
          <w:p>
            <w:pPr>
              <w:pStyle w:val="TableContents"/>
              <w:bidi w:val="0"/>
              <w:spacing w:before="0" w:after="283"/>
              <w:jc w:val="center"/>
              <w:rPr>
                <w:b/>
                <w:sz w:val="20"/>
              </w:rPr>
            </w:pPr>
            <w:r>
              <w:rPr>
                <w:b/>
                <w:sz w:val="20"/>
              </w:rPr>
              <w:t>Maryland</w:t>
            </w:r>
          </w:p>
        </w:tc>
        <w:tc>
          <w:tcPr>
            <w:tcW w:w="2210" w:type="dxa"/>
            <w:tcBorders/>
            <w:vAlign w:val="center"/>
          </w:tcPr>
          <w:p>
            <w:pPr>
              <w:pStyle w:val="TableContents"/>
              <w:bidi w:val="0"/>
              <w:spacing w:before="0" w:after="283"/>
              <w:jc w:val="center"/>
              <w:rPr>
                <w:b/>
                <w:sz w:val="20"/>
              </w:rPr>
            </w:pPr>
            <w:r>
              <w:rPr>
                <w:b/>
                <w:sz w:val="20"/>
              </w:rPr>
              <w:t>814-00736</w:t>
            </w:r>
          </w:p>
        </w:tc>
        <w:tc>
          <w:tcPr>
            <w:tcW w:w="2900" w:type="dxa"/>
            <w:tcBorders/>
            <w:vAlign w:val="center"/>
          </w:tcPr>
          <w:p>
            <w:pPr>
              <w:pStyle w:val="TableContents"/>
              <w:bidi w:val="0"/>
              <w:spacing w:before="0" w:after="283"/>
              <w:jc w:val="center"/>
              <w:rPr>
                <w:b/>
                <w:sz w:val="20"/>
              </w:rPr>
            </w:pPr>
            <w:r>
              <w:rPr>
                <w:b/>
                <w:sz w:val="20"/>
              </w:rPr>
              <w:t>20-8250744</w:t>
            </w:r>
          </w:p>
        </w:tc>
      </w:tr>
      <w:tr>
        <w:trPr/>
        <w:tc>
          <w:tcPr>
            <w:tcW w:w="3620" w:type="dxa"/>
            <w:tcBorders/>
            <w:vAlign w:val="center"/>
          </w:tcPr>
          <w:p>
            <w:pPr>
              <w:pStyle w:val="TableContents"/>
              <w:bidi w:val="0"/>
              <w:spacing w:before="0" w:after="283"/>
              <w:jc w:val="center"/>
              <w:rPr>
                <w:sz w:val="20"/>
              </w:rPr>
            </w:pPr>
            <w:r>
              <w:rPr>
                <w:sz w:val="20"/>
              </w:rPr>
              <w:t>(State or Other Jurisdiction of Incorporation)</w:t>
            </w:r>
          </w:p>
        </w:tc>
        <w:tc>
          <w:tcPr>
            <w:tcW w:w="2210" w:type="dxa"/>
            <w:tcBorders/>
            <w:vAlign w:val="center"/>
          </w:tcPr>
          <w:p>
            <w:pPr>
              <w:pStyle w:val="TableContents"/>
              <w:bidi w:val="0"/>
              <w:spacing w:before="0" w:after="283"/>
              <w:jc w:val="center"/>
              <w:rPr>
                <w:sz w:val="20"/>
              </w:rPr>
            </w:pPr>
            <w:r>
              <w:rPr>
                <w:sz w:val="20"/>
              </w:rPr>
              <w:t>(Commission File Number)</w:t>
            </w:r>
          </w:p>
        </w:tc>
        <w:tc>
          <w:tcPr>
            <w:tcW w:w="2900"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240" w:after="0"/>
        <w:jc w:val="center"/>
        <w:rPr>
          <w:b/>
          <w:sz w:val="20"/>
        </w:rPr>
      </w:pPr>
      <w:r>
        <w:rPr>
          <w:b/>
          <w:sz w:val="20"/>
        </w:rPr>
        <w:t>1691 Michigan Avenue</w:t>
      </w:r>
    </w:p>
    <w:p>
      <w:pPr>
        <w:pStyle w:val="TextBody"/>
        <w:bidi w:val="0"/>
        <w:spacing w:before="0" w:after="0"/>
        <w:jc w:val="center"/>
        <w:rPr>
          <w:b/>
          <w:sz w:val="20"/>
        </w:rPr>
      </w:pPr>
      <w:r>
        <w:rPr>
          <w:b/>
          <w:sz w:val="20"/>
        </w:rPr>
        <w:t>Miami Beach, Florida 33139</w:t>
      </w:r>
    </w:p>
    <w:p>
      <w:pPr>
        <w:pStyle w:val="TextBody"/>
        <w:bidi w:val="0"/>
        <w:spacing w:before="0" w:after="120"/>
        <w:jc w:val="center"/>
        <w:rPr>
          <w:sz w:val="20"/>
        </w:rPr>
      </w:pPr>
      <w:r>
        <w:rPr>
          <w:sz w:val="20"/>
        </w:rPr>
        <w:t>(Address of Principal Executive Offices) (Zip Code)</w:t>
      </w:r>
    </w:p>
    <w:p>
      <w:pPr>
        <w:pStyle w:val="TextBody"/>
        <w:bidi w:val="0"/>
        <w:spacing w:before="0" w:after="0"/>
        <w:jc w:val="center"/>
        <w:rPr>
          <w:b/>
          <w:sz w:val="20"/>
        </w:rPr>
      </w:pPr>
      <w:r>
        <w:rPr>
          <w:b/>
          <w:sz w:val="20"/>
        </w:rPr>
        <w:t>(786) 297-9500</w:t>
      </w:r>
    </w:p>
    <w:p>
      <w:pPr>
        <w:pStyle w:val="TextBody"/>
        <w:bidi w:val="0"/>
        <w:spacing w:before="0" w:after="120"/>
        <w:jc w:val="center"/>
        <w:rPr>
          <w:sz w:val="20"/>
        </w:rPr>
      </w:pPr>
      <w:r>
        <w:rPr>
          <w:sz w:val="20"/>
        </w:rPr>
        <w:t>(Registrant's telephone number, including area code)</w:t>
      </w:r>
    </w:p>
    <w:p>
      <w:pPr>
        <w:pStyle w:val="TextBody"/>
        <w:bidi w:val="0"/>
        <w:spacing w:before="0" w:after="0"/>
        <w:jc w:val="center"/>
        <w:rPr>
          <w:b/>
          <w:sz w:val="20"/>
        </w:rPr>
      </w:pPr>
      <w:r>
        <w:rPr>
          <w:b/>
          <w:sz w:val="20"/>
        </w:rPr>
        <w:t>Not Applicable</w:t>
      </w:r>
    </w:p>
    <w:p>
      <w:pPr>
        <w:pStyle w:val="TextBody"/>
        <w:bidi w:val="0"/>
        <w:spacing w:before="0" w:after="0"/>
        <w:jc w:val="center"/>
        <w:rPr>
          <w:sz w:val="20"/>
        </w:rPr>
      </w:pPr>
      <w:r>
        <w:rPr>
          <w:sz w:val="20"/>
        </w:rPr>
        <w:t>(Former name or former address, if changed since last report)</w:t>
      </w:r>
    </w:p>
    <w:p>
      <w:pPr>
        <w:pStyle w:val="TextBody"/>
        <w:bidi w:val="0"/>
        <w:jc w:val="center"/>
        <w:rPr/>
      </w:pPr>
      <w:r>
        <w:rPr/>
        <w:t>_______________________________</w:t>
      </w:r>
    </w:p>
    <w:p>
      <w:pPr>
        <w:pStyle w:val="TextBody"/>
        <w:bidi w:val="0"/>
        <w:spacing w:before="120" w:after="120"/>
        <w:jc w:val="left"/>
        <w:rPr>
          <w:sz w:val="20"/>
        </w:rPr>
      </w:pPr>
      <w:r>
        <w:rPr>
          <w:sz w:val="20"/>
        </w:rPr>
        <w:t>Check the appropriate box below if the Form 8-K filing is intended to simultaneously satisfy the filing obligation of the registrant under any of the following provisions:</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Written communications pursuant to Rule 425 under the Securities Act (17 CFR 230.425)</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Soliciting material pursuant to Rule 14a-12 under the Exchange Act (17 CFR 240.14a-12)</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120" w:after="120"/>
        <w:jc w:val="left"/>
        <w:rPr>
          <w:sz w:val="20"/>
        </w:rPr>
      </w:pPr>
      <w:r>
        <w:rPr>
          <w:sz w:val="20"/>
        </w:rPr>
        <w:t>Securities registered pursuant to Section 12(b) of the Act:</w:t>
      </w:r>
    </w:p>
    <w:tbl>
      <w:tblPr>
        <w:tblW w:w="8610" w:type="dxa"/>
        <w:jc w:val="left"/>
        <w:tblInd w:w="0" w:type="dxa"/>
        <w:tblLayout w:type="fixed"/>
        <w:tblCellMar>
          <w:top w:w="0" w:type="dxa"/>
          <w:left w:w="0" w:type="dxa"/>
          <w:bottom w:w="28" w:type="dxa"/>
          <w:right w:w="0" w:type="dxa"/>
        </w:tblCellMar>
      </w:tblPr>
      <w:tblGrid>
        <w:gridCol w:w="3500"/>
        <w:gridCol w:w="1535"/>
        <w:gridCol w:w="3575"/>
      </w:tblGrid>
      <w:tr>
        <w:trPr/>
        <w:tc>
          <w:tcPr>
            <w:tcW w:w="3500" w:type="dxa"/>
            <w:tcBorders>
              <w:bottom w:val="single" w:sz="8" w:space="0" w:color="000000"/>
            </w:tcBorders>
            <w:vAlign w:val="center"/>
          </w:tcPr>
          <w:p>
            <w:pPr>
              <w:pStyle w:val="TableContents"/>
              <w:bidi w:val="0"/>
              <w:spacing w:before="120" w:after="120"/>
              <w:jc w:val="center"/>
              <w:rPr>
                <w:sz w:val="20"/>
              </w:rPr>
            </w:pPr>
            <w:r>
              <w:rPr>
                <w:sz w:val="20"/>
              </w:rPr>
              <w:t>Title of each class</w:t>
            </w:r>
          </w:p>
        </w:tc>
        <w:tc>
          <w:tcPr>
            <w:tcW w:w="1535" w:type="dxa"/>
            <w:tcBorders>
              <w:bottom w:val="single" w:sz="8" w:space="0" w:color="000000"/>
            </w:tcBorders>
            <w:vAlign w:val="center"/>
          </w:tcPr>
          <w:p>
            <w:pPr>
              <w:pStyle w:val="TableContents"/>
              <w:bidi w:val="0"/>
              <w:spacing w:before="120" w:after="120"/>
              <w:jc w:val="center"/>
              <w:rPr>
                <w:sz w:val="20"/>
              </w:rPr>
            </w:pPr>
            <w:r>
              <w:rPr>
                <w:sz w:val="20"/>
              </w:rPr>
              <w:t>Trading Symbol(s)</w:t>
            </w:r>
          </w:p>
        </w:tc>
        <w:tc>
          <w:tcPr>
            <w:tcW w:w="3575" w:type="dxa"/>
            <w:tcBorders>
              <w:bottom w:val="single" w:sz="8" w:space="0" w:color="000000"/>
            </w:tcBorders>
            <w:vAlign w:val="center"/>
          </w:tcPr>
          <w:p>
            <w:pPr>
              <w:pStyle w:val="TableContents"/>
              <w:bidi w:val="0"/>
              <w:spacing w:before="120" w:after="120"/>
              <w:jc w:val="center"/>
              <w:rPr>
                <w:sz w:val="20"/>
              </w:rPr>
            </w:pPr>
            <w:r>
              <w:rPr>
                <w:sz w:val="20"/>
              </w:rPr>
              <w:t>Name of each exchange on which registered</w:t>
            </w:r>
          </w:p>
        </w:tc>
      </w:tr>
      <w:tr>
        <w:trPr/>
        <w:tc>
          <w:tcPr>
            <w:tcW w:w="3500" w:type="dxa"/>
            <w:tcBorders/>
            <w:tcMar>
              <w:bottom w:w="0" w:type="dxa"/>
            </w:tcMar>
            <w:vAlign w:val="center"/>
          </w:tcPr>
          <w:p>
            <w:pPr>
              <w:pStyle w:val="TableContents"/>
              <w:bidi w:val="0"/>
              <w:spacing w:before="0" w:after="283"/>
              <w:jc w:val="center"/>
              <w:rPr>
                <w:sz w:val="20"/>
              </w:rPr>
            </w:pPr>
            <w:r>
              <w:rPr>
                <w:sz w:val="20"/>
              </w:rPr>
              <w:t>Common Stock, par value $0.001 per share</w:t>
            </w:r>
          </w:p>
        </w:tc>
        <w:tc>
          <w:tcPr>
            <w:tcW w:w="1535" w:type="dxa"/>
            <w:tcBorders/>
            <w:tcMar>
              <w:bottom w:w="0" w:type="dxa"/>
            </w:tcMar>
            <w:vAlign w:val="center"/>
          </w:tcPr>
          <w:p>
            <w:pPr>
              <w:pStyle w:val="TableContents"/>
              <w:bidi w:val="0"/>
              <w:spacing w:before="0" w:after="283"/>
              <w:jc w:val="center"/>
              <w:rPr>
                <w:sz w:val="20"/>
              </w:rPr>
            </w:pPr>
            <w:r>
              <w:rPr>
                <w:sz w:val="20"/>
              </w:rPr>
              <w:t>PNNT</w:t>
            </w:r>
          </w:p>
        </w:tc>
        <w:tc>
          <w:tcPr>
            <w:tcW w:w="3575" w:type="dxa"/>
            <w:tcBorders/>
            <w:tcMar>
              <w:bottom w:w="0" w:type="dxa"/>
            </w:tcMar>
            <w:vAlign w:val="center"/>
          </w:tcPr>
          <w:p>
            <w:pPr>
              <w:pStyle w:val="TableContents"/>
              <w:bidi w:val="0"/>
              <w:spacing w:before="0" w:after="283"/>
              <w:jc w:val="center"/>
              <w:rPr>
                <w:sz w:val="20"/>
              </w:rPr>
            </w:pPr>
            <w:r>
              <w:rPr>
                <w:sz w:val="20"/>
              </w:rPr>
              <w:t>The New York Stock Exchange</w:t>
            </w:r>
          </w:p>
        </w:tc>
      </w:tr>
    </w:tbl>
    <w:p>
      <w:pPr>
        <w:pStyle w:val="TextBody"/>
        <w:bidi w:val="0"/>
        <w:spacing w:before="120" w:after="120"/>
        <w:jc w:val="left"/>
        <w:rPr>
          <w:sz w:val="20"/>
        </w:rPr>
      </w:pPr>
      <w:r>
        <w:rPr>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120"/>
        <w:jc w:val="left"/>
        <w:rPr>
          <w:sz w:val="20"/>
        </w:rPr>
      </w:pPr>
      <w:r>
        <w:rPr>
          <w:sz w:val="20"/>
        </w:rPr>
        <w:t>Emerging growth company ☐</w:t>
      </w:r>
    </w:p>
    <w:p>
      <w:pPr>
        <w:pStyle w:val="TextBody"/>
        <w:bidi w:val="0"/>
        <w:spacing w:before="120" w:after="12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bdr w:val="single" w:sz="32" w:space="1" w:color="000000"/>
        </w:rPr>
      </w:pPr>
      <w:r>
        <w:rPr>
          <w:bdr w:val="single" w:sz="32" w:space="1" w:color="000000"/>
        </w:rPr>
        <w:t> </w:t>
      </w:r>
    </w:p>
    <w:p>
      <w:pPr>
        <w:pStyle w:val="TextBody"/>
        <w:bidi w:val="0"/>
        <w:spacing w:before="0" w:after="0"/>
        <w:jc w:val="left"/>
        <w:rPr/>
      </w:pPr>
      <w:r>
        <w:rPr/>
        <w:t> </w:t>
      </w:r>
    </w:p>
    <w:p>
      <w:pPr>
        <w:pStyle w:val="TextBody"/>
        <w:bidi w:val="0"/>
        <w:spacing w:before="0" w:after="283"/>
        <w:jc w:val="left"/>
        <w:rPr/>
      </w:pPr>
      <w:r>
        <w:rPr>
          <w:rStyle w:val="StrongEmphasis"/>
          <w:sz w:val="20"/>
        </w:rPr>
        <w:t>Item 7.01. Regulation FD Disclosure.</w:t>
      </w:r>
    </w:p>
    <w:p>
      <w:pPr>
        <w:pStyle w:val="TextBody"/>
        <w:bidi w:val="0"/>
        <w:jc w:val="left"/>
        <w:rPr>
          <w:sz w:val="20"/>
        </w:rPr>
      </w:pPr>
      <w:r>
        <w:rPr>
          <w:sz w:val="20"/>
        </w:rPr>
        <w:t>On May 2, 2024, PennantPark Investment Corporation issued a press release announcing its monthly distribution. A copy of the press release is furnished as Exhibit 99.1 to this Form 8-K.</w:t>
      </w:r>
    </w:p>
    <w:p>
      <w:pPr>
        <w:pStyle w:val="TextBody"/>
        <w:bidi w:val="0"/>
        <w:jc w:val="left"/>
        <w:rPr>
          <w:sz w:val="20"/>
        </w:rPr>
      </w:pPr>
      <w:r>
        <w:rPr>
          <w:sz w:val="20"/>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pStyle w:val="TextBody"/>
        <w:bidi w:val="0"/>
        <w:spacing w:before="0" w:after="283"/>
        <w:jc w:val="left"/>
        <w:rPr/>
      </w:pPr>
      <w:r>
        <w:rPr>
          <w:rStyle w:val="StrongEmphasis"/>
          <w:sz w:val="20"/>
        </w:rPr>
        <w:t>Forward-Looking Statements</w:t>
      </w:r>
    </w:p>
    <w:p>
      <w:pPr>
        <w:pStyle w:val="TextBody"/>
        <w:bidi w:val="0"/>
        <w:jc w:val="left"/>
        <w:rPr>
          <w:sz w:val="20"/>
        </w:rPr>
      </w:pPr>
      <w:r>
        <w:rPr>
          <w:sz w:val="20"/>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pStyle w:val="TextBody"/>
        <w:bidi w:val="0"/>
        <w:spacing w:before="0" w:after="283"/>
        <w:jc w:val="left"/>
        <w:rPr/>
      </w:pPr>
      <w:r>
        <w:rPr>
          <w:rStyle w:val="StrongEmphasis"/>
          <w:sz w:val="20"/>
        </w:rPr>
        <w:t>Item 9.01. Financial Statements and Exhibits.</w:t>
      </w:r>
    </w:p>
    <w:p>
      <w:pPr>
        <w:pStyle w:val="TextBody"/>
        <w:bidi w:val="0"/>
        <w:spacing w:before="0" w:after="283"/>
        <w:jc w:val="left"/>
        <w:rPr/>
      </w:pPr>
      <w:r>
        <w:rPr>
          <w:rStyle w:val="StrongEmphasis"/>
          <w:sz w:val="20"/>
        </w:rPr>
        <w:t>(a) Financial statements:</w:t>
      </w:r>
      <w:r>
        <w:rPr>
          <w:sz w:val="20"/>
        </w:rPr>
        <w:br/>
        <w:t>None</w:t>
        <w:br/>
      </w:r>
      <w:r>
        <w:rPr>
          <w:rStyle w:val="StrongEmphasis"/>
          <w:sz w:val="20"/>
        </w:rPr>
        <w:t>(b) Pro forma financial information:</w:t>
      </w:r>
      <w:r>
        <w:rPr>
          <w:sz w:val="20"/>
        </w:rPr>
        <w:br/>
        <w:t>None</w:t>
        <w:br/>
      </w:r>
      <w:r>
        <w:rPr>
          <w:rStyle w:val="StrongEmphasis"/>
          <w:sz w:val="20"/>
        </w:rPr>
        <w:t>(c) Shell company transactions:</w:t>
      </w:r>
      <w:r>
        <w:rPr>
          <w:sz w:val="20"/>
        </w:rPr>
        <w:br/>
        <w:t>None</w:t>
        <w:br/>
      </w:r>
      <w:r>
        <w:rPr>
          <w:rStyle w:val="StrongEmphasis"/>
          <w:sz w:val="20"/>
        </w:rPr>
        <w:t>(d) Exhibits</w:t>
      </w:r>
    </w:p>
    <w:tbl>
      <w:tblPr>
        <w:tblW w:w="6910" w:type="dxa"/>
        <w:jc w:val="left"/>
        <w:tblInd w:w="0" w:type="dxa"/>
        <w:tblLayout w:type="fixed"/>
        <w:tblCellMar>
          <w:top w:w="0" w:type="dxa"/>
          <w:left w:w="0" w:type="dxa"/>
          <w:bottom w:w="0" w:type="dxa"/>
          <w:right w:w="0" w:type="dxa"/>
        </w:tblCellMar>
      </w:tblPr>
      <w:tblGrid>
        <w:gridCol w:w="380"/>
        <w:gridCol w:w="60"/>
        <w:gridCol w:w="6470"/>
      </w:tblGrid>
      <w:tr>
        <w:trPr/>
        <w:tc>
          <w:tcPr>
            <w:tcW w:w="380" w:type="dxa"/>
            <w:tcBorders/>
            <w:vAlign w:val="center"/>
          </w:tcPr>
          <w:p>
            <w:pPr>
              <w:pStyle w:val="TableContents"/>
              <w:bidi w:val="0"/>
              <w:spacing w:before="0" w:after="283"/>
              <w:jc w:val="left"/>
              <w:rPr/>
            </w:pPr>
            <w:hyperlink w:anchor="exh_991.htm">
              <w:r>
                <w:rPr>
                  <w:rStyle w:val="InternetLink"/>
                  <w:sz w:val="20"/>
                </w:rPr>
                <w:t>99.1</w:t>
              </w:r>
            </w:hyperlink>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hyperlink w:anchor="exh_991.htm">
              <w:r>
                <w:rPr>
                  <w:rStyle w:val="InternetLink"/>
                  <w:sz w:val="20"/>
                </w:rPr>
                <w:t>Press Release of PennantPark Investment Corporation Dated May 2, 2024</w:t>
              </w:r>
            </w:hyperlink>
          </w:p>
        </w:tc>
      </w:tr>
      <w:tr>
        <w:trPr/>
        <w:tc>
          <w:tcPr>
            <w:tcW w:w="380" w:type="dxa"/>
            <w:tcBorders/>
            <w:vAlign w:val="center"/>
          </w:tcPr>
          <w:p>
            <w:pPr>
              <w:pStyle w:val="TableContents"/>
              <w:bidi w:val="0"/>
              <w:spacing w:before="0" w:after="283"/>
              <w:jc w:val="left"/>
              <w:rPr>
                <w:sz w:val="20"/>
              </w:rPr>
            </w:pPr>
            <w:r>
              <w:rPr>
                <w:sz w:val="20"/>
              </w:rPr>
              <w:t>104</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jc w:val="left"/>
        <w:rPr>
          <w:bdr w:val="single" w:sz="32" w:space="1" w:color="000000"/>
        </w:rPr>
      </w:pPr>
      <w:r>
        <w:rPr>
          <w:bdr w:val="single" w:sz="32" w:space="1" w:color="000000"/>
        </w:rPr>
        <w:t> </w:t>
      </w:r>
    </w:p>
    <w:p>
      <w:pPr>
        <w:pStyle w:val="TextBody"/>
        <w:bidi w:val="0"/>
        <w:spacing w:before="0" w:after="283"/>
        <w:jc w:val="left"/>
        <w:rPr/>
      </w:pPr>
      <w:r>
        <w:rPr/>
        <w:t> </w:t>
      </w:r>
    </w:p>
    <w:p>
      <w:pPr>
        <w:pStyle w:val="TextBody"/>
        <w:bidi w:val="0"/>
        <w:jc w:val="center"/>
        <w:rPr>
          <w:b/>
          <w:sz w:val="20"/>
        </w:rPr>
      </w:pPr>
      <w:r>
        <w:rPr>
          <w:b/>
          <w:sz w:val="20"/>
        </w:rPr>
        <w:t>SIGNATURE</w:t>
      </w:r>
    </w:p>
    <w:p>
      <w:pPr>
        <w:pStyle w:val="TextBody"/>
        <w:bidi w:val="0"/>
        <w:jc w:val="left"/>
        <w:rPr>
          <w:sz w:val="20"/>
        </w:rPr>
      </w:pPr>
      <w:r>
        <w:rPr>
          <w:sz w:val="20"/>
        </w:rPr>
        <w:t>Pursuant to the requirements of the Securities Exchange Act of 1934, the registrant has duly caused this report to be signed on its behalf by the undersigned hereunto duly authorized.</w:t>
      </w:r>
    </w:p>
    <w:tbl>
      <w:tblPr>
        <w:tblW w:w="4770" w:type="dxa"/>
        <w:jc w:val="left"/>
        <w:tblInd w:w="0" w:type="dxa"/>
        <w:tblLayout w:type="fixed"/>
        <w:tblCellMar>
          <w:top w:w="0" w:type="dxa"/>
          <w:left w:w="0" w:type="dxa"/>
          <w:bottom w:w="0" w:type="dxa"/>
          <w:right w:w="0" w:type="dxa"/>
        </w:tblCellMar>
      </w:tblPr>
      <w:tblGrid>
        <w:gridCol w:w="1535"/>
        <w:gridCol w:w="365"/>
        <w:gridCol w:w="2870"/>
      </w:tblGrid>
      <w:tr>
        <w:trPr/>
        <w:tc>
          <w:tcPr>
            <w:tcW w:w="1535" w:type="dxa"/>
            <w:tcBorders/>
            <w:vAlign w:val="center"/>
          </w:tcPr>
          <w:p>
            <w:pPr>
              <w:pStyle w:val="TableContents"/>
              <w:bidi w:val="0"/>
              <w:spacing w:before="0" w:after="283"/>
              <w:jc w:val="left"/>
              <w:rPr/>
            </w:pPr>
            <w:r>
              <w:rPr/>
              <w:t> </w:t>
            </w:r>
          </w:p>
        </w:tc>
        <w:tc>
          <w:tcPr>
            <w:tcW w:w="3235" w:type="dxa"/>
            <w:gridSpan w:val="2"/>
            <w:tcBorders/>
            <w:vAlign w:val="center"/>
          </w:tcPr>
          <w:p>
            <w:pPr>
              <w:pStyle w:val="TableContents"/>
              <w:bidi w:val="0"/>
              <w:spacing w:before="0" w:after="283"/>
              <w:jc w:val="left"/>
              <w:rPr>
                <w:b/>
                <w:sz w:val="20"/>
              </w:rPr>
            </w:pPr>
            <w:r>
              <w:rPr>
                <w:b/>
                <w:sz w:val="20"/>
              </w:rPr>
              <w:t>PennantPark Investment Corporation</w:t>
            </w:r>
          </w:p>
        </w:tc>
      </w:tr>
      <w:tr>
        <w:trPr/>
        <w:tc>
          <w:tcPr>
            <w:tcW w:w="153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sz w:val="4"/>
                <w:szCs w:val="4"/>
              </w:rPr>
            </w:pPr>
            <w:r>
              <w:rPr>
                <w:sz w:val="4"/>
                <w:szCs w:val="4"/>
              </w:rPr>
            </w:r>
          </w:p>
        </w:tc>
      </w:tr>
      <w:tr>
        <w:trPr/>
        <w:tc>
          <w:tcPr>
            <w:tcW w:w="1535" w:type="dxa"/>
            <w:tcBorders/>
            <w:vAlign w:val="center"/>
          </w:tcPr>
          <w:p>
            <w:pPr>
              <w:pStyle w:val="TableContents"/>
              <w:bidi w:val="0"/>
              <w:spacing w:before="0" w:after="283"/>
              <w:jc w:val="left"/>
              <w:rPr>
                <w:sz w:val="20"/>
              </w:rPr>
            </w:pPr>
            <w:r>
              <w:rPr>
                <w:sz w:val="20"/>
              </w:rPr>
              <w:t>Date: May 2, 2024</w:t>
            </w:r>
          </w:p>
        </w:tc>
        <w:tc>
          <w:tcPr>
            <w:tcW w:w="365" w:type="dxa"/>
            <w:tcBorders/>
            <w:vAlign w:val="center"/>
          </w:tcPr>
          <w:p>
            <w:pPr>
              <w:pStyle w:val="TableContents"/>
              <w:bidi w:val="0"/>
              <w:spacing w:before="0" w:after="283"/>
              <w:jc w:val="left"/>
              <w:rPr>
                <w:sz w:val="20"/>
              </w:rPr>
            </w:pPr>
            <w:r>
              <w:rPr>
                <w:sz w:val="20"/>
              </w:rPr>
              <w:t>By: </w:t>
            </w:r>
          </w:p>
        </w:tc>
        <w:tc>
          <w:tcPr>
            <w:tcW w:w="2870" w:type="dxa"/>
            <w:tcBorders/>
            <w:vAlign w:val="center"/>
          </w:tcPr>
          <w:p>
            <w:pPr>
              <w:pStyle w:val="TableContents"/>
              <w:bidi w:val="0"/>
              <w:spacing w:before="0" w:after="283"/>
              <w:jc w:val="left"/>
              <w:rPr>
                <w:sz w:val="20"/>
                <w:u w:val="single"/>
              </w:rPr>
            </w:pPr>
            <w:r>
              <w:rPr>
                <w:sz w:val="20"/>
                <w:u w:val="single"/>
              </w:rPr>
              <w:t>/s/ Richard T. Allorto, Jr.        </w:t>
            </w:r>
          </w:p>
        </w:tc>
      </w:tr>
      <w:tr>
        <w:trPr/>
        <w:tc>
          <w:tcPr>
            <w:tcW w:w="153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sz w:val="20"/>
              </w:rPr>
            </w:pPr>
            <w:r>
              <w:rPr>
                <w:sz w:val="20"/>
              </w:rPr>
              <w:t>Richard T. Allorto, Jr.</w:t>
            </w:r>
          </w:p>
        </w:tc>
      </w:tr>
      <w:tr>
        <w:trPr/>
        <w:tc>
          <w:tcPr>
            <w:tcW w:w="153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sz w:val="20"/>
              </w:rPr>
            </w:pPr>
            <w:r>
              <w:rPr>
                <w:sz w:val="20"/>
              </w:rPr>
              <w:t>Chief Financial Officer &amp; Treasurer</w:t>
            </w:r>
          </w:p>
        </w:tc>
      </w:tr>
      <w:tr>
        <w:trPr/>
        <w:tc>
          <w:tcPr>
            <w:tcW w:w="153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p>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left"/>
        <w:rPr/>
      </w:pPr>
      <w:r>
        <w:rPr>
          <w:rStyle w:val="StrongEmphasis"/>
        </w:rPr>
        <w:drawing>
          <wp:inline distT="0" distB="0" distL="0" distR="0">
            <wp:extent cx="1428750" cy="342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28750" cy="342900"/>
                    </a:xfrm>
                    <a:prstGeom prst="rect">
                      <a:avLst/>
                    </a:prstGeom>
                  </pic:spPr>
                </pic:pic>
              </a:graphicData>
            </a:graphic>
          </wp:inline>
        </w:drawing>
      </w:r>
      <w:r>
        <w:rPr>
          <w:rStyle w:val="StrongEmphasis"/>
        </w:rPr>
        <w:t xml:space="preserve"> </w:t>
      </w:r>
    </w:p>
    <w:p>
      <w:pPr>
        <w:pStyle w:val="TextBody"/>
        <w:bidi w:val="0"/>
        <w:jc w:val="center"/>
        <w:rPr/>
      </w:pPr>
      <w:r>
        <w:rPr>
          <w:rStyle w:val="StrongEmphasis"/>
        </w:rPr>
        <w:t>PennantPark Investment Corporation Announces Monthly Distribution of $0.07 per Share</w:t>
      </w:r>
    </w:p>
    <w:p>
      <w:pPr>
        <w:pStyle w:val="TextBody"/>
        <w:bidi w:val="0"/>
        <w:jc w:val="both"/>
        <w:rPr/>
      </w:pPr>
      <w:r>
        <w:rPr/>
        <w:t>MIAMI, May 02, 2024 (GLOBE NEWSWIRE) -- PennantPark Investment Corporation (the "Company") (NYSE: PNNT) declares its monthly distribution for May 2024 of $0.07 per share, payable on June 3, 2024 to stockholders of record as of May 15, 2024.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pStyle w:val="TextBody"/>
        <w:bidi w:val="0"/>
        <w:spacing w:before="0" w:after="283"/>
        <w:jc w:val="left"/>
        <w:rPr/>
      </w:pPr>
      <w:r>
        <w:rPr/>
        <w:t>ABOUT PENNANTPARK INVESTMENT CORPORATION</w:t>
      </w:r>
    </w:p>
    <w:p>
      <w:pPr>
        <w:pStyle w:val="TextBody"/>
        <w:bidi w:val="0"/>
        <w:jc w:val="both"/>
        <w:rPr/>
      </w:pPr>
      <w:r>
        <w:rPr/>
        <w:t>PennantPark Investment Corporation is a business development company which primarily invests in U.S. middle-market private companies in the form of first lien secured debt, second lien secured debt, subordinated debt and equity investments. PennantPark Investment Corporation is managed by PennantPark Investment Advisers, LLC.</w:t>
      </w:r>
    </w:p>
    <w:p>
      <w:pPr>
        <w:pStyle w:val="TextBody"/>
        <w:bidi w:val="0"/>
        <w:spacing w:before="0" w:after="283"/>
        <w:jc w:val="left"/>
        <w:rPr/>
      </w:pPr>
      <w:r>
        <w:rPr/>
        <w:t>ABOUT PENNANTPARK INVESTMENT ADVISERS, LLC</w:t>
      </w:r>
    </w:p>
    <w:p>
      <w:pPr>
        <w:pStyle w:val="TextBody"/>
        <w:bidi w:val="0"/>
        <w:spacing w:before="0" w:after="283"/>
        <w:jc w:val="left"/>
        <w:rPr/>
      </w:pPr>
      <w:r>
        <w:rPr/>
        <w:t>PennantPark Investment Advisers, LLC is a leading middle market credit platform, managing $7.2 billion of investable capital, including available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Los Angeles and Amsterdam.</w:t>
      </w:r>
    </w:p>
    <w:p>
      <w:pPr>
        <w:pStyle w:val="TextBody"/>
        <w:bidi w:val="0"/>
        <w:spacing w:before="0" w:after="283"/>
        <w:jc w:val="left"/>
        <w:rPr/>
      </w:pPr>
      <w:r>
        <w:rPr/>
        <w:t>FORWARD-LOOKING STATEMENTS</w:t>
      </w:r>
    </w:p>
    <w:p>
      <w:pPr>
        <w:pStyle w:val="TextBody"/>
        <w:bidi w:val="0"/>
        <w:jc w:val="both"/>
        <w:rPr/>
      </w:pPr>
      <w:r>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pStyle w:val="TextBody"/>
        <w:bidi w:val="0"/>
        <w:spacing w:before="0" w:after="283"/>
        <w:jc w:val="left"/>
        <w:rPr/>
      </w:pPr>
      <w:r>
        <w:rPr/>
        <w:t>CONTACT:</w:t>
        <w:br/>
        <w:t>Richard T. Allorto, Jr.</w:t>
        <w:br/>
        <w:t>PennantPark Investment Corporation</w:t>
        <w:br/>
        <w:t>(212) 905-1000</w:t>
        <w:br/>
        <w:t>www.pennantpark.com</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1137</Words>
  <Characters>6622</Characters>
  <CharactersWithSpaces>7715</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