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001-33418</w:t>
        </w:r>
      </w:hyperlink>
    </w:p>
    <w:p>
      <w:pPr>
        <w:spacing w:after="0" w:line="125" w:lineRule="exact"/>
        <w:rPr>
          <w:sz w:val="24"/>
          <w:szCs w:val="24"/>
          <w:color w:val="auto"/>
        </w:rPr>
      </w:pPr>
    </w:p>
    <w:p>
      <w:pPr>
        <w:jc w:val="center"/>
        <w:ind w:left="2680"/>
        <w:spacing w:after="0"/>
        <w:tabs>
          <w:tab w:leader="none" w:pos="3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PENNANTPARK INVESTMENT CORP</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840"/>
        <w:spacing w:after="0"/>
        <w:rPr>
          <w:sz w:val="20"/>
          <w:szCs w:val="20"/>
          <w:color w:val="auto"/>
        </w:rPr>
      </w:pPr>
      <w:r>
        <w:rPr>
          <w:rFonts w:ascii="Arial" w:cs="Arial" w:eastAsia="Arial" w:hAnsi="Arial"/>
          <w:sz w:val="22"/>
          <w:szCs w:val="22"/>
          <w:color w:val="auto"/>
        </w:rPr>
        <w:t>Address: 590 MADISON AVENUE</w:t>
      </w:r>
    </w:p>
    <w:p>
      <w:pPr>
        <w:spacing w:after="0" w:line="44" w:lineRule="exact"/>
        <w:rPr>
          <w:sz w:val="24"/>
          <w:szCs w:val="24"/>
          <w:color w:val="auto"/>
        </w:rPr>
      </w:pPr>
    </w:p>
    <w:p>
      <w:pPr>
        <w:ind w:left="3660"/>
        <w:spacing w:after="0"/>
        <w:rPr>
          <w:sz w:val="20"/>
          <w:szCs w:val="20"/>
          <w:color w:val="auto"/>
        </w:rPr>
      </w:pPr>
      <w:r>
        <w:rPr>
          <w:rFonts w:ascii="Arial" w:cs="Arial" w:eastAsia="Arial" w:hAnsi="Arial"/>
          <w:sz w:val="22"/>
          <w:szCs w:val="22"/>
          <w:color w:val="auto"/>
        </w:rPr>
        <w:t>15TH FLOOR</w:t>
      </w:r>
    </w:p>
    <w:p>
      <w:pPr>
        <w:spacing w:after="0" w:line="44" w:lineRule="exact"/>
        <w:rPr>
          <w:sz w:val="24"/>
          <w:szCs w:val="24"/>
          <w:color w:val="auto"/>
        </w:rPr>
      </w:pPr>
    </w:p>
    <w:p>
      <w:pPr>
        <w:ind w:left="3660"/>
        <w:spacing w:after="0"/>
        <w:rPr>
          <w:sz w:val="20"/>
          <w:szCs w:val="20"/>
          <w:color w:val="auto"/>
        </w:rPr>
      </w:pPr>
      <w:r>
        <w:rPr>
          <w:rFonts w:ascii="Arial" w:cs="Arial" w:eastAsia="Arial" w:hAnsi="Arial"/>
          <w:sz w:val="22"/>
          <w:szCs w:val="22"/>
          <w:color w:val="auto"/>
        </w:rPr>
        <w:t>NEW YORK NEW YORK 10022</w:t>
      </w:r>
    </w:p>
    <w:p>
      <w:pPr>
        <w:spacing w:after="0" w:line="44" w:lineRule="exact"/>
        <w:rPr>
          <w:sz w:val="24"/>
          <w:szCs w:val="24"/>
          <w:color w:val="auto"/>
        </w:rPr>
      </w:pPr>
    </w:p>
    <w:tbl>
      <w:tblPr>
        <w:tblLayout w:type="fixed"/>
        <w:tblInd w:w="1940" w:type="dxa"/>
        <w:tblCellMar>
          <w:top w:w="0" w:type="dxa"/>
          <w:left w:w="0" w:type="dxa"/>
          <w:bottom w:w="0" w:type="dxa"/>
          <w:right w:w="0" w:type="dxa"/>
        </w:tblCellMar>
      </w:tblPr>
      <w:tr>
        <w:trPr>
          <w:trHeight w:val="275"/>
        </w:trPr>
        <w:tc>
          <w:tcPr>
            <w:tcW w:w="3220" w:type="dxa"/>
            <w:vAlign w:val="bottom"/>
          </w:tcPr>
          <w:p>
            <w:pPr>
              <w:spacing w:after="0"/>
              <w:rPr>
                <w:sz w:val="20"/>
                <w:szCs w:val="20"/>
                <w:color w:val="auto"/>
              </w:rPr>
            </w:pPr>
            <w:r>
              <w:rPr>
                <w:rFonts w:ascii="Arial" w:cs="Arial" w:eastAsia="Arial" w:hAnsi="Arial"/>
                <w:sz w:val="22"/>
                <w:szCs w:val="22"/>
                <w:color w:val="auto"/>
              </w:rPr>
              <w:t>Telephone number:</w:t>
            </w:r>
          </w:p>
        </w:tc>
        <w:tc>
          <w:tcPr>
            <w:tcW w:w="2900" w:type="dxa"/>
            <w:vAlign w:val="bottom"/>
          </w:tcPr>
          <w:p>
            <w:pPr>
              <w:jc w:val="right"/>
              <w:spacing w:after="0"/>
              <w:rPr>
                <w:sz w:val="20"/>
                <w:szCs w:val="20"/>
                <w:color w:val="auto"/>
              </w:rPr>
            </w:pPr>
            <w:r>
              <w:rPr>
                <w:rFonts w:ascii="Arial" w:cs="Arial" w:eastAsia="Arial" w:hAnsi="Arial"/>
                <w:sz w:val="22"/>
                <w:szCs w:val="22"/>
                <w:color w:val="auto"/>
              </w:rPr>
              <w:t>(212) 905-1000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6.25% Senior Notes due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2017-06-29</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0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10, 2017, pursuant to the provisions of Rule 12d2-2 (a). [ X ] 17 CFR 240.12d2-2(a)(1) That the entire class of this security was called for redemption, maturity or retirement on June 29, 2017; appropriate notice thereof was given; funds sufficient for the payment of all such securities were deposited with an agency authorized to make such payment; and such funds were made available to security holders on June 29, 2017. The Exchange also notifies the Securities and Exchange Commission that as a result of the above indicated conditions this security was suspended from trading on June 29, 2017.</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3418" TargetMode="External"/><Relationship Id="rId10" Type="http://schemas.openxmlformats.org/officeDocument/2006/relationships/hyperlink" Target="http://www.sec.gov/cgi-bin/browse-edgar?action=getcompany&amp;CIK=1383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2019-12-07T05:14:54Z</dcterms:created>
  <dcterms:modified xsi:type="dcterms:W3CDTF">2019-12-07T05:14:54Z</dcterms:modified>
</cp:coreProperties>
</file>