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551815</wp:posOffset>
            </wp:positionV>
            <wp:extent cx="184404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445770"/>
                    </a:xfrm>
                    <a:prstGeom prst="rect">
                      <a:avLst/>
                    </a:prstGeom>
                    <a:noFill/>
                  </pic:spPr>
                </pic:pic>
              </a:graphicData>
            </a:graphic>
          </wp:anchor>
        </w:drawing>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333-172524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$67.5 million 6.25% Senior Unsecured Notes Due 2025</w:t>
      </w:r>
    </w:p>
    <w:p>
      <w:pPr>
        <w:spacing w:after="0" w:line="23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NEW YORK, NY -- (Marketwire) – 1/16/2013 -- PennantPark Investment Corporation (the “Company”) (NASDAQ: PNNT) announced today that it has priced an underwritten public offering of $67.5 million in aggregate principal amount of 6.25% senior unsecured notes due 2025. The notes will mature on February 1, 2025 and may be redeemed in whole or in part at any time or from time to time at the Company's option on or after February 1, 2016. The notes will bear interest at a rate of 6.25% per year payable quarterly on February 1, May 1, August 1 and November 1 of each year, with the first interest payment occurring on May 1, 2013. The Company has granted the underwriters an option to purchase up to an additional $10.125 million aggregate principal amount of notes to cover over-allotments, if any.</w:t>
      </w:r>
    </w:p>
    <w:p>
      <w:pPr>
        <w:spacing w:after="0" w:line="22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Stifel, Nicolaus &amp; Company, Incorporated and RBC Capital Markets, LLC are acting as joint bookrunning managers for this offering. Robert W. Baird &amp; Co. Incorporated, Credit Suisse Securities (USA) LLC, Janney Montgomery Scott LLC, Ladenburg Thalmann &amp; Co. Inc., Stephens Inc., and Sterne, Agee &amp; Leach, Inc. are acting as co-managers for this offering.</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offering is expected to close on January 22, 2013, subject to customary closing conditions. The Company intends to apply to list the notes on The New York Stock Exchange and if the application is approved, expects trading in the notes on The New York Stock Exchange to begin within 30 days from the original issue date under the ticker symbol “PNTA”.</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use the net proceeds to reduce outstanding obligations under its credit facility, to invest in new or existing portfolio companies or for other general corporate or strategic purposes.</w:t>
      </w:r>
    </w:p>
    <w:p>
      <w:pPr>
        <w:spacing w:after="0" w:line="193"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the Company before investing. The preliminary prospectus supplement dated January 15, 2013 and the accompanying prospectus dated January 6, 2012, each of which have been filed with the Securities and Exchange Commission, contain this and other information about the Company and should be read carefully before investing.</w:t>
      </w:r>
    </w:p>
    <w:p>
      <w:pPr>
        <w:spacing w:after="0" w:line="173" w:lineRule="exact"/>
        <w:rPr>
          <w:sz w:val="24"/>
          <w:szCs w:val="24"/>
          <w:color w:val="auto"/>
        </w:rPr>
      </w:pPr>
    </w:p>
    <w:p>
      <w:pPr>
        <w:spacing w:after="0"/>
        <w:rPr>
          <w:sz w:val="20"/>
          <w:szCs w:val="20"/>
          <w:color w:val="auto"/>
        </w:rPr>
      </w:pPr>
      <w:r>
        <w:rPr>
          <w:rFonts w:ascii="Arial" w:cs="Arial" w:eastAsia="Arial" w:hAnsi="Arial"/>
          <w:sz w:val="17"/>
          <w:szCs w:val="17"/>
          <w:color w:val="auto"/>
        </w:rPr>
        <w:t>The information in the preliminary prospectus supplement, the accompanying prospectus and this press release is not complete and may be changed.</w:t>
      </w:r>
    </w:p>
    <w:p>
      <w:pPr>
        <w:spacing w:after="0" w:line="26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notes referred to in this press release in any state or jurisdiction in which such offer, solicitation or sale would be unlawful prior to the registration or qualification under the securities laws of such state or jurisdiction.</w:t>
      </w:r>
    </w:p>
    <w:p>
      <w:pPr>
        <w:spacing w:after="0" w:line="204" w:lineRule="exact"/>
        <w:rPr>
          <w:sz w:val="24"/>
          <w:szCs w:val="24"/>
          <w:color w:val="auto"/>
        </w:rPr>
      </w:pPr>
    </w:p>
    <w:p>
      <w:pPr>
        <w:jc w:val="both"/>
        <w:ind w:right="480"/>
        <w:spacing w:after="0" w:line="289" w:lineRule="auto"/>
        <w:rPr>
          <w:sz w:val="20"/>
          <w:szCs w:val="20"/>
          <w:color w:val="auto"/>
        </w:rPr>
      </w:pPr>
      <w:r>
        <w:rPr>
          <w:rFonts w:ascii="Arial" w:cs="Arial" w:eastAsia="Arial" w:hAnsi="Arial"/>
          <w:sz w:val="17"/>
          <w:szCs w:val="17"/>
          <w:b w:val="1"/>
          <w:bCs w:val="1"/>
          <w:color w:val="auto"/>
        </w:rPr>
        <w:t>The offering may be made only by means of a prospectus and a related prospectus supplement, copies of which may be obtained from the joint bookrunners at the following addresses: (1) Stifel, Nicolaus &amp; Company, Incorporated, 501 N. Broadway, St. Louis, Missouri 63102 or (2) RBC Capital Markets, LLC, Three World Financial Center, 200 Vesey Street, 8</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Floor, New York, New York 10281.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release. All forward-looking statements speak only as of the date of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2019-12-07T15:14:39Z</dcterms:created>
  <dcterms:modified xsi:type="dcterms:W3CDTF">2019-12-07T15:14:39Z</dcterms:modified>
</cp:coreProperties>
</file>