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497(a)(1)</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333-192782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680845"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084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Follow-On Offering (US Registered)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Approximately $130mm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84404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Bookrunners: MS, JPM, GS, UBS, KBW</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Ticker: PNNT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Exchange: NASDAQ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Shares Filed: 11mm (100% primary)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Date: September 5, 2014 (before market open)</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right="260"/>
        <w:spacing w:after="0" w:line="303" w:lineRule="auto"/>
        <w:rPr>
          <w:sz w:val="20"/>
          <w:szCs w:val="20"/>
          <w:color w:val="auto"/>
        </w:rPr>
      </w:pPr>
      <w:r>
        <w:rPr>
          <w:rFonts w:ascii="Arial" w:cs="Arial" w:eastAsia="Arial" w:hAnsi="Arial"/>
          <w:sz w:val="16"/>
          <w:szCs w:val="16"/>
          <w:b w:val="1"/>
          <w:bCs w:val="1"/>
          <w:color w:val="auto"/>
        </w:rPr>
        <w:t>Business Description: PNNT is a closed-end, externally managed, non-diversified investment company that has elected to be treated as a business development company, or BDC, under the Investment Company Act of 1940, as amended, or the 1940 Act. PNNT seeks to generate both current income and capital appreciation through debt and equity investments primarily in U.S. middle-market private companies in the form of senior secured loans, mezzanine debt and equity investments. PNNT is externally managed by PennantPark Investment Advisers, LLC.</w:t>
      </w:r>
    </w:p>
    <w:p>
      <w:pPr>
        <w:spacing w:after="0" w:line="178" w:lineRule="exact"/>
        <w:rPr>
          <w:sz w:val="24"/>
          <w:szCs w:val="24"/>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03"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September 4, 2014 and the accompanying prospectus dated January 30, 2014, which have been filed with the Securities and Exchange Commission, contain this and other information about the Company and should be read carefully before investing.</w:t>
      </w:r>
    </w:p>
    <w:p>
      <w:pPr>
        <w:spacing w:after="0" w:line="169"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200 West Street, New York, NY 10282; J.P. Morgan Securities LLC, c/o Broadridge Financial Solutions, 1155 Long Island Avenue, Edgewood, NY 11717, Attention: Prospectus Department; UBS Securities LLC, 299 Park Avenue, New York, NY 10171; and Keefe, Bruyette &amp; Woods, Inc., 787 Seventh Avenue, 4th Floor, New York, NY 10019.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2019-12-07T14:38:22Z</dcterms:created>
  <dcterms:modified xsi:type="dcterms:W3CDTF">2019-12-07T14:38:22Z</dcterms:modified>
</cp:coreProperties>
</file>