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60325.htm"/>
      <w:bookmarkStart w:id="1" w:name="ksf8k_060325"/>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June 3, 2025</w:t>
      </w:r>
    </w:p>
    <w:p>
      <w:pPr>
        <w:pStyle w:val="TextBody"/>
        <w:bidi w:val="0"/>
        <w:jc w:val="center"/>
        <w:rPr/>
      </w:pPr>
      <w:r>
        <w:rPr/>
        <w:t>_______________________________</w:t>
      </w:r>
    </w:p>
    <w:p>
      <w:pPr>
        <w:pStyle w:val="TextBody"/>
        <w:bidi w:val="0"/>
        <w:spacing w:before="120" w:after="283"/>
        <w:jc w:val="center"/>
        <w:rPr>
          <w:b/>
          <w:sz w:val="24"/>
        </w:rPr>
      </w:pPr>
      <w:r>
        <w:rPr>
          <w:b/>
          <w:sz w:val="24"/>
        </w:rPr>
        <w:t>PennantPark Investment Corporation</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Maryland</w:t>
            </w:r>
          </w:p>
        </w:tc>
        <w:tc>
          <w:tcPr>
            <w:tcW w:w="2210" w:type="dxa"/>
            <w:tcBorders/>
            <w:vAlign w:val="center"/>
          </w:tcPr>
          <w:p>
            <w:pPr>
              <w:pStyle w:val="TableContents"/>
              <w:bidi w:val="0"/>
              <w:spacing w:before="0" w:after="283"/>
              <w:jc w:val="center"/>
              <w:rPr>
                <w:b/>
                <w:sz w:val="20"/>
              </w:rPr>
            </w:pPr>
            <w:r>
              <w:rPr>
                <w:b/>
                <w:sz w:val="20"/>
              </w:rPr>
              <w:t>814-00736</w:t>
            </w:r>
          </w:p>
        </w:tc>
        <w:tc>
          <w:tcPr>
            <w:tcW w:w="2900" w:type="dxa"/>
            <w:tcBorders/>
            <w:vAlign w:val="center"/>
          </w:tcPr>
          <w:p>
            <w:pPr>
              <w:pStyle w:val="TableContents"/>
              <w:bidi w:val="0"/>
              <w:spacing w:before="0" w:after="283"/>
              <w:jc w:val="center"/>
              <w:rPr>
                <w:b/>
                <w:sz w:val="20"/>
              </w:rPr>
            </w:pPr>
            <w:r>
              <w:rPr>
                <w:b/>
                <w:sz w:val="20"/>
              </w:rPr>
              <w:t>20-8250744</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1691 Michigan Avenue</w:t>
      </w:r>
    </w:p>
    <w:p>
      <w:pPr>
        <w:pStyle w:val="TextBody"/>
        <w:bidi w:val="0"/>
        <w:spacing w:before="0" w:after="0"/>
        <w:jc w:val="center"/>
        <w:rPr>
          <w:b/>
          <w:sz w:val="20"/>
        </w:rPr>
      </w:pPr>
      <w:r>
        <w:rPr>
          <w:b/>
          <w:sz w:val="20"/>
        </w:rPr>
        <w:t>Miami Beach, Florida 33139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(786) 297-9500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PNNT</w:t>
            </w:r>
          </w:p>
        </w:tc>
        <w:tc>
          <w:tcPr>
            <w:tcW w:w="3575" w:type="dxa"/>
            <w:tcBorders/>
            <w:tcMar>
              <w:bottom w:w="0" w:type="dxa"/>
            </w:tcMar>
            <w:vAlign w:val="center"/>
          </w:tcPr>
          <w:p>
            <w:pPr>
              <w:pStyle w:val="TableContents"/>
              <w:bidi w:val="0"/>
              <w:spacing w:before="0" w:after="283"/>
              <w:jc w:val="center"/>
              <w:rPr>
                <w:sz w:val="20"/>
              </w:rPr>
            </w:pPr>
            <w:r>
              <w:rPr>
                <w:sz w:val="20"/>
              </w:rPr>
              <w:t>The New York Stock Exchange</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7.01. Regulation FD Disclosure.</w:t>
      </w:r>
    </w:p>
    <w:p>
      <w:pPr>
        <w:pStyle w:val="TextBody"/>
        <w:bidi w:val="0"/>
        <w:jc w:val="left"/>
        <w:rPr>
          <w:sz w:val="20"/>
        </w:rPr>
      </w:pPr>
      <w:r>
        <w:rPr>
          <w:sz w:val="20"/>
        </w:rPr>
        <w:t>On June 3, 2025, PennantPark Investment Corporation issued a press release announcing its monthly distribution. A copy of the press release is furnished as Exhibit 99.1 to this Form 8-K.</w:t>
      </w:r>
    </w:p>
    <w:p>
      <w:pPr>
        <w:pStyle w:val="TextBody"/>
        <w:bidi w:val="0"/>
        <w:jc w:val="left"/>
        <w:rPr>
          <w:sz w:val="20"/>
        </w:rPr>
      </w:pPr>
      <w:r>
        <w:rPr>
          <w:sz w:val="20"/>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pStyle w:val="TextBody"/>
        <w:bidi w:val="0"/>
        <w:spacing w:before="0" w:after="283"/>
        <w:jc w:val="left"/>
        <w:rPr/>
      </w:pPr>
      <w:r>
        <w:rPr>
          <w:rStyle w:val="StrongEmphasis"/>
          <w:sz w:val="20"/>
        </w:rPr>
        <w:t xml:space="preserve">Forward-Looking Statements </w:t>
      </w:r>
    </w:p>
    <w:p>
      <w:pPr>
        <w:pStyle w:val="TextBody"/>
        <w:bidi w:val="0"/>
        <w:jc w:val="left"/>
        <w:rPr>
          <w:sz w:val="20"/>
        </w:rPr>
      </w:pPr>
      <w:r>
        <w:rPr>
          <w:sz w:val="20"/>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rStyle w:val="StrongEmphasis"/>
          <w:sz w:val="20"/>
        </w:rPr>
        <w:t xml:space="preserve">(a) Financial statements: </w:t>
      </w:r>
    </w:p>
    <w:p>
      <w:pPr>
        <w:pStyle w:val="TextBody"/>
        <w:bidi w:val="0"/>
        <w:jc w:val="left"/>
        <w:rPr>
          <w:sz w:val="20"/>
        </w:rPr>
      </w:pPr>
      <w:r>
        <w:rPr>
          <w:sz w:val="20"/>
        </w:rPr>
        <w:t>None</w:t>
      </w:r>
    </w:p>
    <w:p>
      <w:pPr>
        <w:pStyle w:val="TextBody"/>
        <w:bidi w:val="0"/>
        <w:spacing w:before="0" w:after="283"/>
        <w:jc w:val="left"/>
        <w:rPr/>
      </w:pPr>
      <w:r>
        <w:rPr>
          <w:rStyle w:val="StrongEmphasis"/>
          <w:sz w:val="20"/>
        </w:rPr>
        <w:t xml:space="preserve">(b) Pro forma financial information: </w:t>
      </w:r>
    </w:p>
    <w:p>
      <w:pPr>
        <w:pStyle w:val="TextBody"/>
        <w:bidi w:val="0"/>
        <w:jc w:val="left"/>
        <w:rPr>
          <w:sz w:val="20"/>
        </w:rPr>
      </w:pPr>
      <w:r>
        <w:rPr>
          <w:sz w:val="20"/>
        </w:rPr>
        <w:t>None</w:t>
      </w:r>
    </w:p>
    <w:p>
      <w:pPr>
        <w:pStyle w:val="TextBody"/>
        <w:bidi w:val="0"/>
        <w:spacing w:before="0" w:after="283"/>
        <w:jc w:val="left"/>
        <w:rPr/>
      </w:pPr>
      <w:r>
        <w:rPr>
          <w:rStyle w:val="StrongEmphasis"/>
          <w:sz w:val="20"/>
        </w:rPr>
        <w:t xml:space="preserve">(c) Shell company transactions: </w:t>
      </w:r>
    </w:p>
    <w:p>
      <w:pPr>
        <w:pStyle w:val="TextBody"/>
        <w:bidi w:val="0"/>
        <w:jc w:val="left"/>
        <w:rPr>
          <w:sz w:val="20"/>
        </w:rPr>
      </w:pPr>
      <w:r>
        <w:rPr>
          <w:sz w:val="20"/>
        </w:rPr>
        <w:t>None</w:t>
      </w:r>
    </w:p>
    <w:p>
      <w:pPr>
        <w:pStyle w:val="TextBody"/>
        <w:bidi w:val="0"/>
        <w:spacing w:before="0" w:after="283"/>
        <w:jc w:val="left"/>
        <w:rPr/>
      </w:pPr>
      <w:r>
        <w:rPr>
          <w:rStyle w:val="StrongEmphasis"/>
          <w:sz w:val="20"/>
        </w:rPr>
        <w:t>(d)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of PennantPark Investment Corporation Dated June 3, 2025</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770" w:type="dxa"/>
        <w:jc w:val="left"/>
        <w:tblInd w:w="0" w:type="dxa"/>
        <w:tblLayout w:type="fixed"/>
        <w:tblCellMar>
          <w:top w:w="0" w:type="dxa"/>
          <w:left w:w="0" w:type="dxa"/>
          <w:bottom w:w="0" w:type="dxa"/>
          <w:right w:w="0" w:type="dxa"/>
        </w:tblCellMar>
      </w:tblPr>
      <w:tblGrid>
        <w:gridCol w:w="1535"/>
        <w:gridCol w:w="365"/>
        <w:gridCol w:w="2870"/>
      </w:tblGrid>
      <w:tr>
        <w:trPr/>
        <w:tc>
          <w:tcPr>
            <w:tcW w:w="1535"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b/>
                <w:sz w:val="20"/>
              </w:rPr>
            </w:pPr>
            <w:r>
              <w:rPr>
                <w:b/>
                <w:sz w:val="20"/>
              </w:rPr>
              <w:t>PennantPark Investment Corporation</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sz w:val="20"/>
              </w:rPr>
            </w:pPr>
            <w:r>
              <w:rPr>
                <w:sz w:val="20"/>
              </w:rPr>
              <w:t>Date: June 3, 2025</w:t>
            </w:r>
          </w:p>
        </w:tc>
        <w:tc>
          <w:tcPr>
            <w:tcW w:w="365" w:type="dxa"/>
            <w:tcBorders/>
            <w:vAlign w:val="center"/>
          </w:tcPr>
          <w:p>
            <w:pPr>
              <w:pStyle w:val="TableContents"/>
              <w:bidi w:val="0"/>
              <w:spacing w:before="0" w:after="283"/>
              <w:jc w:val="left"/>
              <w:rPr>
                <w:sz w:val="20"/>
              </w:rPr>
            </w:pPr>
            <w:r>
              <w:rPr>
                <w:sz w:val="20"/>
              </w:rPr>
              <w:t>By: </w:t>
            </w:r>
          </w:p>
        </w:tc>
        <w:tc>
          <w:tcPr>
            <w:tcW w:w="2870" w:type="dxa"/>
            <w:tcBorders/>
            <w:vAlign w:val="center"/>
          </w:tcPr>
          <w:p>
            <w:pPr>
              <w:pStyle w:val="TableContents"/>
              <w:bidi w:val="0"/>
              <w:spacing w:before="0" w:after="283"/>
              <w:jc w:val="left"/>
              <w:rPr>
                <w:sz w:val="20"/>
                <w:u w:val="single"/>
              </w:rPr>
            </w:pPr>
            <w:r>
              <w:rPr>
                <w:sz w:val="20"/>
                <w:u w:val="single"/>
              </w:rPr>
              <w:t>/s/ Richard T. Allorto, Jr.        </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Richard T. Allorto, Jr.</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20"/>
              </w:rPr>
            </w:pPr>
            <w:r>
              <w:rPr>
                <w:sz w:val="20"/>
              </w:rPr>
              <w:t>Chief Financial Officer &amp; Treasurer</w:t>
            </w:r>
          </w:p>
        </w:tc>
      </w:tr>
      <w:tr>
        <w:trPr/>
        <w:tc>
          <w:tcPr>
            <w:tcW w:w="153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left"/>
        <w:rPr/>
      </w:pPr>
      <w:r>
        <w:rPr>
          <w:rStyle w:val="StrongEmphasis"/>
        </w:rPr>
        <w:drawing>
          <wp:inline distT="0" distB="0" distL="0" distR="0">
            <wp:extent cx="14287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342900"/>
                    </a:xfrm>
                    <a:prstGeom prst="rect">
                      <a:avLst/>
                    </a:prstGeom>
                  </pic:spPr>
                </pic:pic>
              </a:graphicData>
            </a:graphic>
          </wp:inline>
        </w:drawing>
      </w:r>
      <w:r>
        <w:rPr>
          <w:rStyle w:val="StrongEmphasis"/>
        </w:rPr>
        <w:t xml:space="preserve"> </w:t>
      </w:r>
    </w:p>
    <w:p>
      <w:pPr>
        <w:pStyle w:val="TextBody"/>
        <w:bidi w:val="0"/>
        <w:jc w:val="center"/>
        <w:rPr/>
      </w:pPr>
      <w:r>
        <w:rPr>
          <w:rStyle w:val="StrongEmphasis"/>
        </w:rPr>
        <w:t>PennantPark Investment Corporation Announces Monthly Distribution of $0.08 per Share</w:t>
      </w:r>
    </w:p>
    <w:p>
      <w:pPr>
        <w:pStyle w:val="TextBody"/>
        <w:bidi w:val="0"/>
        <w:jc w:val="both"/>
        <w:rPr/>
      </w:pPr>
      <w:r>
        <w:rPr/>
        <w:t>MIAMI, June 03, 2025 (GLOBE NEWSWIRE) -- PennantPark Investment Corporation (the "Company") (NYSE: PNNT) declares its monthly distribution for June 2025 of $0.08 per share, payable on July 1, 2025 to stockholders of record as of June 16, 2025.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pStyle w:val="TextBody"/>
        <w:bidi w:val="0"/>
        <w:jc w:val="both"/>
        <w:rPr/>
      </w:pPr>
      <w:r>
        <w:rPr/>
        <w:t>ABOUT PENNANTPARK INVESTMENT CORPORATION</w:t>
      </w:r>
    </w:p>
    <w:p>
      <w:pPr>
        <w:pStyle w:val="TextBody"/>
        <w:bidi w:val="0"/>
        <w:jc w:val="both"/>
        <w:rPr/>
      </w:pPr>
      <w:r>
        <w:rPr/>
        <w:t>PennantPark Investment Corporation is a business development company which primarily invests in U.S. middle-market private companies in the form of first lien secured debt, second lien secured debt, subordinated debt and equity investments. PennantPark Investment Corporation is managed by PennantPark Investment Advisers, LLC.</w:t>
      </w:r>
    </w:p>
    <w:p>
      <w:pPr>
        <w:pStyle w:val="TextBody"/>
        <w:bidi w:val="0"/>
        <w:jc w:val="both"/>
        <w:rPr/>
      </w:pPr>
      <w:r>
        <w:rPr/>
        <w:t>ABOUT PENNANTPARK INVESTMENT ADVISERS, LLC</w:t>
      </w:r>
    </w:p>
    <w:p>
      <w:pPr>
        <w:pStyle w:val="TextBody"/>
        <w:bidi w:val="0"/>
        <w:jc w:val="both"/>
        <w:rPr/>
      </w:pPr>
      <w:r>
        <w:rPr/>
        <w:t>PennantPark Investment Advisers, LLC is a leading middle market credit platform, managing approximately $10 billion of investable capital, including available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pStyle w:val="TextBody"/>
        <w:bidi w:val="0"/>
        <w:jc w:val="both"/>
        <w:rPr/>
      </w:pPr>
      <w:r>
        <w:rPr/>
        <w:t>FORWARD-LOOKING STATEMENTS</w:t>
      </w:r>
    </w:p>
    <w:p>
      <w:pPr>
        <w:pStyle w:val="TextBody"/>
        <w:bidi w:val="0"/>
        <w:jc w:val="both"/>
        <w:rPr/>
      </w:pPr>
      <w:r>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pStyle w:val="TextBody"/>
        <w:bidi w:val="0"/>
        <w:spacing w:before="0" w:after="283"/>
        <w:jc w:val="left"/>
        <w:rPr/>
      </w:pPr>
      <w:r>
        <w:rPr/>
        <w:t>CONTACT:</w:t>
        <w:br/>
        <w:t>Richard T. Allorto, Jr.</w:t>
        <w:br/>
        <w:t>PennantPark Investment Corporation</w:t>
        <w:br/>
        <w:t>(212) 905-1000</w:t>
        <w:br/>
        <w:t>www.pennantpark.com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1138</Words>
  <Characters>6641</Characters>
  <CharactersWithSpaces>7736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