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0001396917</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2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594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28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PennantPark Investment Corporation</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28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814-00736</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368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1691 Michigan Avenue</w:t>
            </w:r>
          </w:p>
        </w:tc>
        <w:tc>
          <w:tcPr>
            <w:tcW w:w="0" w:type="dxa"/>
            <w:vAlign w:val="bottom"/>
          </w:tcPr>
          <w:p>
            <w:pPr>
              <w:spacing w:after="0"/>
              <w:rPr>
                <w:sz w:val="1"/>
                <w:szCs w:val="1"/>
                <w:color w:val="auto"/>
              </w:rPr>
            </w:pPr>
          </w:p>
        </w:tc>
      </w:tr>
      <w:tr>
        <w:trPr>
          <w:trHeight w:val="228"/>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280" w:type="dxa"/>
            <w:vAlign w:val="bottom"/>
          </w:tcPr>
          <w:p>
            <w:pPr>
              <w:spacing w:after="0"/>
              <w:rPr>
                <w:sz w:val="19"/>
                <w:szCs w:val="19"/>
                <w:color w:val="auto"/>
              </w:rPr>
            </w:pPr>
          </w:p>
        </w:tc>
        <w:tc>
          <w:tcPr>
            <w:tcW w:w="368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Miami Beach</w:t>
            </w: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3280" w:type="dxa"/>
            <w:vAlign w:val="bottom"/>
          </w:tcPr>
          <w:p>
            <w:pPr>
              <w:spacing w:after="0"/>
              <w:rPr>
                <w:sz w:val="11"/>
                <w:szCs w:val="11"/>
                <w:color w:val="auto"/>
              </w:rPr>
            </w:pPr>
          </w:p>
        </w:tc>
        <w:tc>
          <w:tcPr>
            <w:tcW w:w="3680" w:type="dxa"/>
            <w:vAlign w:val="bottom"/>
            <w:vMerge w:val="restart"/>
          </w:tcPr>
          <w:p>
            <w:pPr>
              <w:ind w:left="840"/>
              <w:spacing w:after="0"/>
              <w:rPr>
                <w:sz w:val="20"/>
                <w:szCs w:val="20"/>
                <w:color w:val="auto"/>
              </w:rPr>
            </w:pPr>
            <w:r>
              <w:rPr>
                <w:rFonts w:ascii="Times New Roman" w:cs="Times New Roman" w:eastAsia="Times New Roman" w:hAnsi="Times New Roman"/>
                <w:sz w:val="19"/>
                <w:szCs w:val="19"/>
                <w:color w:val="auto"/>
              </w:rPr>
              <w:t>FLORIDA</w:t>
            </w: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68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33319</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28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1-786-297-9500</w:t>
            </w:r>
          </w:p>
        </w:tc>
        <w:tc>
          <w:tcPr>
            <w:tcW w:w="0" w:type="dxa"/>
            <w:vAlign w:val="bottom"/>
          </w:tcPr>
          <w:p>
            <w:pPr>
              <w:spacing w:after="0"/>
              <w:rPr>
                <w:sz w:val="1"/>
                <w:szCs w:val="1"/>
                <w:color w:val="auto"/>
              </w:rPr>
            </w:pPr>
          </w:p>
        </w:tc>
      </w:tr>
      <w:tr>
        <w:trPr>
          <w:trHeight w:val="276"/>
        </w:trPr>
        <w:tc>
          <w:tcPr>
            <w:tcW w:w="59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68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Jeffrey Flug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-2947670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-2947670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Director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703" w:gutter="0" w:footer="0" w:header="0"/>
        </w:sectPr>
      </w:pPr>
    </w:p>
    <w:p>
      <w:pPr>
        <w:spacing w:after="0" w:line="324"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9"/>
          <w:szCs w:val="19"/>
          <w:b w:val="1"/>
          <w:bCs w:val="1"/>
          <w:color w:val="auto"/>
        </w:rPr>
        <w:t>Number of</w:t>
      </w:r>
    </w:p>
    <w:p>
      <w:pPr>
        <w:spacing w:after="0" w:line="34" w:lineRule="exact"/>
        <w:rPr>
          <w:sz w:val="24"/>
          <w:szCs w:val="24"/>
          <w:color w:val="auto"/>
        </w:rPr>
      </w:pPr>
    </w:p>
    <w:p>
      <w:pPr>
        <w:ind w:left="400"/>
        <w:spacing w:after="0"/>
        <w:tabs>
          <w:tab w:leader="none" w:pos="2420" w:val="left"/>
          <w:tab w:leader="none" w:pos="4760" w:val="left"/>
        </w:tabs>
        <w:rPr>
          <w:sz w:val="20"/>
          <w:szCs w:val="20"/>
          <w:color w:val="auto"/>
        </w:rPr>
      </w:pPr>
      <w:r>
        <w:rPr>
          <w:rFonts w:ascii="Times New Roman" w:cs="Times New Roman" w:eastAsia="Times New Roman" w:hAnsi="Times New Roman"/>
          <w:sz w:val="19"/>
          <w:szCs w:val="19"/>
          <w:b w:val="1"/>
          <w:bCs w:val="1"/>
          <w:color w:val="auto"/>
        </w:rPr>
        <w:t>Title of the Class of</w:t>
      </w:r>
      <w:r>
        <w:rPr>
          <w:sz w:val="20"/>
          <w:szCs w:val="20"/>
          <w:color w:val="auto"/>
        </w:rPr>
        <w:tab/>
      </w:r>
      <w:r>
        <w:rPr>
          <w:rFonts w:ascii="Times New Roman" w:cs="Times New Roman" w:eastAsia="Times New Roman" w:hAnsi="Times New Roman"/>
          <w:sz w:val="19"/>
          <w:szCs w:val="19"/>
          <w:b w:val="1"/>
          <w:bCs w:val="1"/>
          <w:color w:val="auto"/>
        </w:rPr>
        <w:t>Name and Address of the</w:t>
        <w:tab/>
        <w:t>Shares or</w:t>
      </w:r>
    </w:p>
    <w:p>
      <w:pPr>
        <w:spacing w:after="0" w:line="10" w:lineRule="exact"/>
        <w:rPr>
          <w:sz w:val="24"/>
          <w:szCs w:val="24"/>
          <w:color w:val="auto"/>
        </w:rPr>
      </w:pPr>
    </w:p>
    <w:p>
      <w:pPr>
        <w:ind w:left="320"/>
        <w:spacing w:after="0"/>
        <w:tabs>
          <w:tab w:leader="none" w:pos="3160" w:val="left"/>
          <w:tab w:leader="none" w:pos="4680" w:val="left"/>
        </w:tabs>
        <w:rPr>
          <w:sz w:val="20"/>
          <w:szCs w:val="20"/>
          <w:color w:val="auto"/>
        </w:rPr>
      </w:pPr>
      <w:r>
        <w:rPr>
          <w:rFonts w:ascii="Times New Roman" w:cs="Times New Roman" w:eastAsia="Times New Roman" w:hAnsi="Times New Roman"/>
          <w:sz w:val="19"/>
          <w:szCs w:val="19"/>
          <w:b w:val="1"/>
          <w:bCs w:val="1"/>
          <w:color w:val="auto"/>
        </w:rPr>
        <w:t>Securities To Be Sold</w:t>
      </w:r>
      <w:r>
        <w:rPr>
          <w:sz w:val="20"/>
          <w:szCs w:val="20"/>
          <w:color w:val="auto"/>
        </w:rPr>
        <w:tab/>
      </w:r>
      <w:r>
        <w:rPr>
          <w:rFonts w:ascii="Times New Roman" w:cs="Times New Roman" w:eastAsia="Times New Roman" w:hAnsi="Times New Roman"/>
          <w:sz w:val="19"/>
          <w:szCs w:val="19"/>
          <w:b w:val="1"/>
          <w:bCs w:val="1"/>
          <w:color w:val="auto"/>
        </w:rPr>
        <w:t>Broker</w:t>
      </w:r>
      <w:r>
        <w:rPr>
          <w:sz w:val="20"/>
          <w:szCs w:val="20"/>
          <w:color w:val="auto"/>
        </w:rPr>
        <w:tab/>
      </w:r>
      <w:r>
        <w:rPr>
          <w:rFonts w:ascii="Times New Roman" w:cs="Times New Roman" w:eastAsia="Times New Roman" w:hAnsi="Times New Roman"/>
          <w:sz w:val="18"/>
          <w:szCs w:val="18"/>
          <w:b w:val="1"/>
          <w:bCs w:val="1"/>
          <w:color w:val="auto"/>
        </w:rPr>
        <w:t>Other Units</w:t>
      </w:r>
    </w:p>
    <w:p>
      <w:pPr>
        <w:spacing w:after="0" w:line="1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To Be Sold</w:t>
      </w:r>
    </w:p>
    <w:p>
      <w:pPr>
        <w:spacing w:after="0" w:line="3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Goldman Sachs &amp; Co. LLC</w:t>
      </w:r>
    </w:p>
    <w:p>
      <w:pPr>
        <w:spacing w:after="0" w:line="32" w:lineRule="exact"/>
        <w:rPr>
          <w:sz w:val="24"/>
          <w:szCs w:val="24"/>
          <w:color w:val="auto"/>
        </w:rPr>
      </w:pPr>
    </w:p>
    <w:p>
      <w:pPr>
        <w:ind w:left="40"/>
        <w:spacing w:after="0"/>
        <w:tabs>
          <w:tab w:leader="none" w:pos="2360" w:val="left"/>
          <w:tab w:leader="none" w:pos="4600" w:val="left"/>
        </w:tabs>
        <w:rPr>
          <w:sz w:val="20"/>
          <w:szCs w:val="20"/>
          <w:color w:val="auto"/>
        </w:rPr>
      </w:pPr>
      <w:r>
        <w:rPr>
          <w:rFonts w:ascii="Times New Roman" w:cs="Times New Roman" w:eastAsia="Times New Roman" w:hAnsi="Times New Roman"/>
          <w:sz w:val="19"/>
          <w:szCs w:val="19"/>
          <w:color w:val="auto"/>
        </w:rPr>
        <w:t>Common</w:t>
      </w:r>
      <w:r>
        <w:rPr>
          <w:sz w:val="20"/>
          <w:szCs w:val="20"/>
          <w:color w:val="auto"/>
        </w:rPr>
        <w:tab/>
      </w:r>
      <w:r>
        <w:rPr>
          <w:rFonts w:ascii="Times New Roman" w:cs="Times New Roman" w:eastAsia="Times New Roman" w:hAnsi="Times New Roman"/>
          <w:sz w:val="19"/>
          <w:szCs w:val="19"/>
          <w:color w:val="auto"/>
        </w:rPr>
        <w:t>200 West Street</w:t>
      </w:r>
      <w:r>
        <w:rPr>
          <w:sz w:val="20"/>
          <w:szCs w:val="20"/>
          <w:color w:val="auto"/>
        </w:rPr>
        <w:tab/>
      </w:r>
      <w:r>
        <w:rPr>
          <w:rFonts w:ascii="Times New Roman" w:cs="Times New Roman" w:eastAsia="Times New Roman" w:hAnsi="Times New Roman"/>
          <w:sz w:val="19"/>
          <w:szCs w:val="19"/>
          <w:color w:val="auto"/>
        </w:rPr>
        <w:t>21100</w:t>
      </w:r>
    </w:p>
    <w:p>
      <w:pPr>
        <w:spacing w:after="0" w:line="1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New York  NY  10282</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4"/>
        </w:trPr>
        <w:tc>
          <w:tcPr>
            <w:tcW w:w="1220" w:type="dxa"/>
            <w:vAlign w:val="bottom"/>
          </w:tcPr>
          <w:p>
            <w:pPr>
              <w:jc w:val="right"/>
              <w:ind w:right="544"/>
              <w:spacing w:after="0"/>
              <w:rPr>
                <w:sz w:val="20"/>
                <w:szCs w:val="20"/>
                <w:color w:val="auto"/>
              </w:rPr>
            </w:pPr>
            <w:r>
              <w:rPr>
                <w:rFonts w:ascii="Times New Roman" w:cs="Times New Roman" w:eastAsia="Times New Roman" w:hAnsi="Times New Roman"/>
                <w:sz w:val="19"/>
                <w:szCs w:val="19"/>
                <w:color w:val="auto"/>
                <w:w w:val="98"/>
              </w:rPr>
              <w:t>124068</w:t>
            </w:r>
          </w:p>
        </w:tc>
        <w:tc>
          <w:tcPr>
            <w:tcW w:w="114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65296094</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12/01/2025   NYSE</w:t>
            </w:r>
          </w:p>
        </w:tc>
        <w:tc>
          <w:tcPr>
            <w:tcW w:w="0" w:type="dxa"/>
            <w:vAlign w:val="bottom"/>
          </w:tcPr>
          <w:p>
            <w:pPr>
              <w:spacing w:after="0"/>
              <w:rPr>
                <w:sz w:val="1"/>
                <w:szCs w:val="1"/>
                <w:color w:val="auto"/>
              </w:rPr>
            </w:pPr>
          </w:p>
        </w:tc>
      </w:tr>
    </w:tbl>
    <w:p>
      <w:pPr>
        <w:spacing w:after="0" w:line="417" w:lineRule="exact"/>
        <w:rPr>
          <w:sz w:val="24"/>
          <w:szCs w:val="24"/>
          <w:color w:val="auto"/>
        </w:rPr>
      </w:pPr>
    </w:p>
    <w:p>
      <w:pPr>
        <w:sectPr>
          <w:pgSz w:w="11900" w:h="16840" w:orient="portrait"/>
          <w:cols w:equalWidth="0" w:num="2">
            <w:col w:w="5660" w:space="120"/>
            <w:col w:w="4780"/>
          </w:cols>
          <w:pgMar w:left="660" w:top="592" w:right="680" w:bottom="703" w:gutter="0" w:footer="0" w:header="0"/>
          <w:type w:val="continuous"/>
        </w:sectPr>
      </w:pPr>
    </w:p>
    <w:p>
      <w:pPr>
        <w:spacing w:after="0" w:line="28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9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20" w:type="dxa"/>
            <w:vAlign w:val="bottom"/>
            <w:vMerge w:val="continue"/>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40" w:type="dxa"/>
            <w:vAlign w:val="bottom"/>
          </w:tcPr>
          <w:p>
            <w:pPr>
              <w:jc w:val="center"/>
              <w:ind w:left="6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20" w:type="dxa"/>
            <w:vAlign w:val="bottom"/>
            <w:vMerge w:val="continue"/>
          </w:tcPr>
          <w:p>
            <w:pPr>
              <w:spacing w:after="0"/>
              <w:rPr>
                <w:sz w:val="16"/>
                <w:szCs w:val="16"/>
                <w:color w:val="auto"/>
              </w:rPr>
            </w:pPr>
          </w:p>
        </w:tc>
        <w:tc>
          <w:tcPr>
            <w:tcW w:w="900" w:type="dxa"/>
            <w:vAlign w:val="bottom"/>
          </w:tcPr>
          <w:p>
            <w:pPr>
              <w:jc w:val="center"/>
              <w:ind w:right="4"/>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020" w:type="dxa"/>
            <w:vAlign w:val="bottom"/>
          </w:tcPr>
          <w:p>
            <w:pPr>
              <w:ind w:left="60"/>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52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2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9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92" w:right="680" w:bottom="703"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2720" w:type="dxa"/>
            <w:vAlign w:val="bottom"/>
          </w:tcPr>
          <w:p>
            <w:pPr>
              <w:ind w:left="1280"/>
              <w:spacing w:after="0"/>
              <w:rPr>
                <w:sz w:val="20"/>
                <w:szCs w:val="20"/>
                <w:color w:val="auto"/>
              </w:rPr>
            </w:pPr>
            <w:r>
              <w:rPr>
                <w:rFonts w:ascii="Times New Roman" w:cs="Times New Roman" w:eastAsia="Times New Roman" w:hAnsi="Times New Roman"/>
                <w:sz w:val="19"/>
                <w:szCs w:val="19"/>
                <w:color w:val="auto"/>
              </w:rPr>
              <w:t>Acquired from</w:t>
            </w:r>
          </w:p>
        </w:tc>
        <w:tc>
          <w:tcPr>
            <w:tcW w:w="1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27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04/19/2007 issuer in private</w:t>
            </w:r>
          </w:p>
        </w:tc>
        <w:tc>
          <w:tcPr>
            <w:tcW w:w="1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Issuer</w:t>
            </w:r>
          </w:p>
        </w:tc>
        <w:tc>
          <w:tcPr>
            <w:tcW w:w="2020" w:type="dxa"/>
            <w:vAlign w:val="bottom"/>
          </w:tcPr>
          <w:p>
            <w:pPr>
              <w:jc w:val="right"/>
              <w:ind w:right="284"/>
              <w:spacing w:after="0"/>
              <w:rPr>
                <w:sz w:val="20"/>
                <w:szCs w:val="20"/>
                <w:color w:val="auto"/>
              </w:rPr>
            </w:pPr>
            <w:r>
              <w:rPr>
                <w:rFonts w:ascii="Times New Roman" w:cs="Times New Roman" w:eastAsia="Times New Roman" w:hAnsi="Times New Roman"/>
                <w:sz w:val="19"/>
                <w:szCs w:val="19"/>
                <w:color w:val="auto"/>
              </w:rPr>
              <w:t>21100</w:t>
            </w:r>
          </w:p>
        </w:tc>
        <w:tc>
          <w:tcPr>
            <w:tcW w:w="1720" w:type="dxa"/>
            <w:vAlign w:val="bottom"/>
          </w:tcPr>
          <w:p>
            <w:pPr>
              <w:ind w:left="380"/>
              <w:spacing w:after="0"/>
              <w:rPr>
                <w:sz w:val="20"/>
                <w:szCs w:val="20"/>
                <w:color w:val="auto"/>
              </w:rPr>
            </w:pPr>
            <w:r>
              <w:rPr>
                <w:rFonts w:ascii="Times New Roman" w:cs="Times New Roman" w:eastAsia="Times New Roman" w:hAnsi="Times New Roman"/>
                <w:sz w:val="19"/>
                <w:szCs w:val="19"/>
                <w:color w:val="auto"/>
                <w:w w:val="99"/>
              </w:rPr>
              <w:t>04/19/2007 None</w:t>
            </w:r>
          </w:p>
        </w:tc>
      </w:tr>
      <w:tr>
        <w:trPr>
          <w:trHeight w:val="251"/>
        </w:trPr>
        <w:tc>
          <w:tcPr>
            <w:tcW w:w="1060" w:type="dxa"/>
            <w:vAlign w:val="bottom"/>
          </w:tcPr>
          <w:p>
            <w:pPr>
              <w:spacing w:after="0"/>
              <w:rPr>
                <w:sz w:val="21"/>
                <w:szCs w:val="21"/>
                <w:color w:val="auto"/>
              </w:rPr>
            </w:pPr>
          </w:p>
        </w:tc>
        <w:tc>
          <w:tcPr>
            <w:tcW w:w="2720" w:type="dxa"/>
            <w:vAlign w:val="bottom"/>
          </w:tcPr>
          <w:p>
            <w:pPr>
              <w:ind w:left="1280"/>
              <w:spacing w:after="0"/>
              <w:rPr>
                <w:sz w:val="20"/>
                <w:szCs w:val="20"/>
                <w:color w:val="auto"/>
              </w:rPr>
            </w:pPr>
            <w:r>
              <w:rPr>
                <w:rFonts w:ascii="Times New Roman" w:cs="Times New Roman" w:eastAsia="Times New Roman" w:hAnsi="Times New Roman"/>
                <w:sz w:val="19"/>
                <w:szCs w:val="19"/>
                <w:color w:val="auto"/>
              </w:rPr>
              <w:t>transaction</w:t>
            </w:r>
          </w:p>
        </w:tc>
        <w:tc>
          <w:tcPr>
            <w:tcW w:w="18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-280035</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21"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9"/>
                <w:szCs w:val="19"/>
                <w:b w:val="1"/>
                <w:bCs w:val="1"/>
                <w:color w:val="auto"/>
              </w:rPr>
              <w:t>Name and Address of Seller</w:t>
            </w:r>
          </w:p>
        </w:tc>
        <w:tc>
          <w:tcPr>
            <w:tcW w:w="3160" w:type="dxa"/>
            <w:vAlign w:val="bottom"/>
            <w:vMerge w:val="restart"/>
          </w:tcPr>
          <w:p>
            <w:pPr>
              <w:ind w:left="900"/>
              <w:spacing w:after="0"/>
              <w:rPr>
                <w:sz w:val="20"/>
                <w:szCs w:val="20"/>
                <w:color w:val="auto"/>
              </w:rPr>
            </w:pPr>
            <w:r>
              <w:rPr>
                <w:rFonts w:ascii="Times New Roman" w:cs="Times New Roman" w:eastAsia="Times New Roman" w:hAnsi="Times New Roman"/>
                <w:sz w:val="19"/>
                <w:szCs w:val="19"/>
                <w:b w:val="1"/>
                <w:bCs w:val="1"/>
                <w:color w:val="auto"/>
              </w:rPr>
              <w:t>Title of Securities Sold</w:t>
            </w: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w w:val="98"/>
              </w:rPr>
              <w:t>Date of</w:t>
            </w: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138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Gross Proceeds</w:t>
            </w:r>
          </w:p>
        </w:tc>
        <w:tc>
          <w:tcPr>
            <w:tcW w:w="0" w:type="dxa"/>
            <w:vAlign w:val="bottom"/>
          </w:tcPr>
          <w:p>
            <w:pPr>
              <w:spacing w:after="0"/>
              <w:rPr>
                <w:sz w:val="1"/>
                <w:szCs w:val="1"/>
                <w:color w:val="auto"/>
              </w:rPr>
            </w:pPr>
          </w:p>
        </w:tc>
      </w:tr>
      <w:tr>
        <w:trPr>
          <w:trHeight w:val="253"/>
        </w:trPr>
        <w:tc>
          <w:tcPr>
            <w:tcW w:w="3340" w:type="dxa"/>
            <w:vAlign w:val="bottom"/>
            <w:gridSpan w:val="4"/>
            <w:vMerge w:val="continue"/>
          </w:tcPr>
          <w:p>
            <w:pPr>
              <w:spacing w:after="0"/>
              <w:rPr>
                <w:sz w:val="22"/>
                <w:szCs w:val="22"/>
                <w:color w:val="auto"/>
              </w:rPr>
            </w:pPr>
          </w:p>
        </w:tc>
        <w:tc>
          <w:tcPr>
            <w:tcW w:w="3160" w:type="dxa"/>
            <w:vAlign w:val="bottom"/>
            <w:vMerge w:val="continue"/>
          </w:tcPr>
          <w:p>
            <w:pPr>
              <w:spacing w:after="0"/>
              <w:rPr>
                <w:sz w:val="22"/>
                <w:szCs w:val="22"/>
                <w:color w:val="auto"/>
              </w:rPr>
            </w:pP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rPr>
              <w:t>Sale</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 Sold</w:t>
            </w: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Jeffrey Flug</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22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1691 Michigan Avenue</w:t>
            </w:r>
          </w:p>
        </w:tc>
        <w:tc>
          <w:tcPr>
            <w:tcW w:w="1120" w:type="dxa"/>
            <w:vAlign w:val="bottom"/>
          </w:tcPr>
          <w:p>
            <w:pPr>
              <w:spacing w:after="0"/>
              <w:rPr>
                <w:sz w:val="19"/>
                <w:szCs w:val="19"/>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Common</w:t>
            </w:r>
          </w:p>
        </w:tc>
        <w:tc>
          <w:tcPr>
            <w:tcW w:w="2580" w:type="dxa"/>
            <w:vAlign w:val="bottom"/>
            <w:gridSpan w:val="2"/>
          </w:tcPr>
          <w:p>
            <w:pPr>
              <w:jc w:val="right"/>
              <w:ind w:right="664"/>
              <w:spacing w:after="0"/>
              <w:rPr>
                <w:sz w:val="20"/>
                <w:szCs w:val="20"/>
                <w:color w:val="auto"/>
              </w:rPr>
            </w:pPr>
            <w:r>
              <w:rPr>
                <w:rFonts w:ascii="Times New Roman" w:cs="Times New Roman" w:eastAsia="Times New Roman" w:hAnsi="Times New Roman"/>
                <w:sz w:val="19"/>
                <w:szCs w:val="19"/>
                <w:color w:val="auto"/>
              </w:rPr>
              <w:t>11/26/2025 25000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149952.5</w:t>
            </w:r>
          </w:p>
        </w:tc>
        <w:tc>
          <w:tcPr>
            <w:tcW w:w="0" w:type="dxa"/>
            <w:vAlign w:val="bottom"/>
          </w:tcPr>
          <w:p>
            <w:pPr>
              <w:spacing w:after="0"/>
              <w:rPr>
                <w:sz w:val="1"/>
                <w:szCs w:val="1"/>
                <w:color w:val="auto"/>
              </w:rPr>
            </w:pPr>
          </w:p>
        </w:tc>
      </w:tr>
      <w:tr>
        <w:trPr>
          <w:trHeight w:val="251"/>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Miami Beach</w:t>
            </w:r>
          </w:p>
        </w:tc>
        <w:tc>
          <w:tcPr>
            <w:tcW w:w="3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FL</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33319</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Jeffrey Flug</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22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1691 Michigan Avenue</w:t>
            </w:r>
          </w:p>
        </w:tc>
        <w:tc>
          <w:tcPr>
            <w:tcW w:w="1120" w:type="dxa"/>
            <w:vAlign w:val="bottom"/>
          </w:tcPr>
          <w:p>
            <w:pPr>
              <w:spacing w:after="0"/>
              <w:rPr>
                <w:sz w:val="19"/>
                <w:szCs w:val="19"/>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Common</w:t>
            </w:r>
          </w:p>
        </w:tc>
        <w:tc>
          <w:tcPr>
            <w:tcW w:w="2580" w:type="dxa"/>
            <w:vAlign w:val="bottom"/>
            <w:gridSpan w:val="2"/>
          </w:tcPr>
          <w:p>
            <w:pPr>
              <w:jc w:val="right"/>
              <w:ind w:right="664"/>
              <w:spacing w:after="0"/>
              <w:rPr>
                <w:sz w:val="20"/>
                <w:szCs w:val="20"/>
                <w:color w:val="auto"/>
              </w:rPr>
            </w:pPr>
            <w:r>
              <w:rPr>
                <w:rFonts w:ascii="Times New Roman" w:cs="Times New Roman" w:eastAsia="Times New Roman" w:hAnsi="Times New Roman"/>
                <w:sz w:val="19"/>
                <w:szCs w:val="19"/>
                <w:color w:val="auto"/>
              </w:rPr>
              <w:t>11/28/2025 15000</w:t>
            </w:r>
          </w:p>
        </w:tc>
        <w:tc>
          <w:tcPr>
            <w:tcW w:w="1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90493.5</w:t>
            </w:r>
          </w:p>
        </w:tc>
        <w:tc>
          <w:tcPr>
            <w:tcW w:w="0" w:type="dxa"/>
            <w:vAlign w:val="bottom"/>
          </w:tcPr>
          <w:p>
            <w:pPr>
              <w:spacing w:after="0"/>
              <w:rPr>
                <w:sz w:val="1"/>
                <w:szCs w:val="1"/>
                <w:color w:val="auto"/>
              </w:rPr>
            </w:pPr>
          </w:p>
        </w:tc>
      </w:tr>
      <w:tr>
        <w:trPr>
          <w:trHeight w:val="251"/>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Miami Beach</w:t>
            </w:r>
          </w:p>
        </w:tc>
        <w:tc>
          <w:tcPr>
            <w:tcW w:w="3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FL</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33319</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2"/>
        </w:trPr>
        <w:tc>
          <w:tcPr>
            <w:tcW w:w="6500" w:type="dxa"/>
            <w:vAlign w:val="bottom"/>
            <w:gridSpan w:val="5"/>
          </w:tcPr>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Remarks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All shares to be sold by Flug 2015 GS Trust.</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Date of Notice</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12/01/2025</w:t>
            </w: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ind w:left="40"/>
        <w:spacing w:after="0"/>
        <w:tabs>
          <w:tab w:leader="none" w:pos="234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Goldman Sachs &amp; Co. LLC on behalf of Jeffrey Flug</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568"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2025-12-01T17:30:13Z</dcterms:created>
  <dcterms:modified xsi:type="dcterms:W3CDTF">2025-12-01T17:30:13Z</dcterms:modified>
</cp:coreProperties>
</file>