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2016</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70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4065905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5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349"/>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4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280"/>
            <w:col w:w="6900" w:space="720"/>
            <w:col w:w="118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360"/>
            <w:col w:w="120" w:space="80"/>
            <w:col w:w="6700" w:space="720"/>
            <w:col w:w="1580" w:space="320"/>
            <w:col w:w="140"/>
          </w:cols>
          <w:pgMar w:left="320" w:top="230" w:right="339" w:bottom="1440" w:gutter="0" w:footer="0" w:header="0"/>
          <w:type w:val="continuous"/>
        </w:sectPr>
      </w:pPr>
    </w:p>
    <w:p>
      <w:pPr>
        <w:spacing w:after="0" w:line="29"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4">
            <w:col w:w="7100" w:space="140"/>
            <w:col w:w="200" w:space="80"/>
            <w:col w:w="120" w:space="160"/>
            <w:col w:w="3440"/>
          </w:cols>
          <w:pgMar w:left="320" w:top="230" w:right="339" w:bottom="1440" w:gutter="0" w:footer="0" w:header="0"/>
          <w:type w:val="continuous"/>
        </w:sectPr>
      </w:pPr>
    </w:p>
    <w:p>
      <w:pPr>
        <w:spacing w:after="0" w:line="29" w:lineRule="exact"/>
        <w:rPr>
          <w:sz w:val="24"/>
          <w:szCs w:val="24"/>
          <w:color w:val="auto"/>
        </w:rPr>
      </w:pPr>
    </w:p>
    <w:p>
      <w:pPr>
        <w:ind w:left="56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August 8, 2016 was 71,060,836.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JUNE 30, 2016</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2016 (unaudited) and September 30, 2015</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4"/>
        </w:trPr>
        <w:tc>
          <w:tcPr>
            <w:tcW w:w="910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2016 (unaudited) and September 30, 2015</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83"/>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We are filing this Quarterly Report on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senior notes due 2025; “2019 Notes” refers to our 4.50% notes due 2019; “our Notes” refers,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580" w:type="dxa"/>
            <w:vAlign w:val="bottom"/>
          </w:tcPr>
          <w:p>
            <w:pPr>
              <w:ind w:left="380"/>
              <w:spacing w:after="0"/>
              <w:rPr>
                <w:sz w:val="20"/>
                <w:szCs w:val="20"/>
                <w:color w:val="auto"/>
              </w:rPr>
            </w:pPr>
            <w:r>
              <w:rPr>
                <w:rFonts w:ascii="Arial" w:cs="Arial" w:eastAsia="Arial" w:hAnsi="Arial"/>
                <w:sz w:val="14"/>
                <w:szCs w:val="14"/>
                <w:b w:val="1"/>
                <w:bCs w:val="1"/>
                <w:color w:val="auto"/>
              </w:rPr>
              <w:t>Consolidated Financial Statements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5"/>
        </w:trPr>
        <w:tc>
          <w:tcPr>
            <w:tcW w:w="520" w:type="dxa"/>
            <w:vAlign w:val="bottom"/>
          </w:tcPr>
          <w:p>
            <w:pPr>
              <w:spacing w:after="0"/>
              <w:rPr>
                <w:sz w:val="24"/>
                <w:szCs w:val="24"/>
                <w:color w:val="auto"/>
              </w:rPr>
            </w:pPr>
          </w:p>
        </w:tc>
        <w:tc>
          <w:tcPr>
            <w:tcW w:w="7580" w:type="dxa"/>
            <w:vAlign w:val="bottom"/>
          </w:tcPr>
          <w:p>
            <w:pPr>
              <w:ind w:left="280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758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4"/>
        </w:trPr>
        <w:tc>
          <w:tcPr>
            <w:tcW w:w="5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 2016</w:t>
            </w:r>
          </w:p>
        </w:tc>
        <w:tc>
          <w:tcPr>
            <w:tcW w:w="180" w:type="dxa"/>
            <w:vAlign w:val="bottom"/>
          </w:tcPr>
          <w:p>
            <w:pPr>
              <w:spacing w:after="0"/>
              <w:rPr>
                <w:sz w:val="24"/>
                <w:szCs w:val="24"/>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September 30, 2015</w:t>
            </w:r>
          </w:p>
        </w:tc>
      </w:tr>
      <w:tr>
        <w:trPr>
          <w:trHeight w:val="171"/>
        </w:trPr>
        <w:tc>
          <w:tcPr>
            <w:tcW w:w="5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1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(cost—$916,933,385 and $1,138,155,969, respectively)</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904,615,102</w:t>
            </w:r>
          </w:p>
        </w:tc>
        <w:tc>
          <w:tcPr>
            <w:tcW w:w="4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1,096,719,079</w:t>
            </w:r>
          </w:p>
        </w:tc>
      </w:tr>
      <w:tr>
        <w:trPr>
          <w:trHeight w:val="148"/>
        </w:trPr>
        <w:tc>
          <w:tcPr>
            <w:tcW w:w="8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Non-controlled, affiliated investments (cost—$261,810,939 and $133,693,295, respectively)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208,959,772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95,503,104</w:t>
            </w:r>
          </w:p>
        </w:tc>
      </w:tr>
      <w:tr>
        <w:trPr>
          <w:trHeight w:val="148"/>
        </w:trPr>
        <w:tc>
          <w:tcPr>
            <w:tcW w:w="81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Controlled, affiliated investments (cost—$180,718,378 and $152,387,898, respectively)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123,006,217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106,825,650</w:t>
            </w:r>
          </w:p>
        </w:tc>
      </w:tr>
      <w:tr>
        <w:trPr>
          <w:trHeight w:val="155"/>
        </w:trPr>
        <w:tc>
          <w:tcPr>
            <w:tcW w:w="81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of investments (cost—$1,359,462,702 and $1,424,237,162, respectively)</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1,236,581,091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1,299,047,833</w:t>
            </w:r>
          </w:p>
        </w:tc>
        <w:tc>
          <w:tcPr>
            <w:tcW w:w="100" w:type="dxa"/>
            <w:vAlign w:val="bottom"/>
          </w:tcPr>
          <w:p>
            <w:pPr>
              <w:spacing w:after="0"/>
              <w:rPr>
                <w:sz w:val="13"/>
                <w:szCs w:val="13"/>
                <w:color w:val="auto"/>
              </w:rPr>
            </w:pP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(cost—$38,106,415 and $49,637,415, respectively)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37,872,854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49,619,256</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Interest receivable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7,396,797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7,590,197</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3,564,680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8,790,944</w:t>
            </w:r>
          </w:p>
        </w:tc>
      </w:tr>
      <w:tr>
        <w:trPr>
          <w:trHeight w:val="163"/>
        </w:trPr>
        <w:tc>
          <w:tcPr>
            <w:tcW w:w="520" w:type="dxa"/>
            <w:vAlign w:val="bottom"/>
          </w:tcPr>
          <w:p>
            <w:pPr>
              <w:spacing w:after="0"/>
              <w:rPr>
                <w:sz w:val="14"/>
                <w:szCs w:val="14"/>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1,285,415,422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4"/>
                <w:szCs w:val="14"/>
                <w:color w:val="auto"/>
              </w:rPr>
            </w:pP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19,897,034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20,430,492</w:t>
            </w: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3,591,177</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Credit Facility payable (cost—$117,143,923 and $136,864,300, respectively) (See Notes 5 and 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101,067,312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132,356,860</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249,675,000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253,102,500</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SBA debentures payable (par—$197,500,000 and $150,000,000, respectively) (See Notes 5 and 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193,073,622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146,269,957</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70,566,000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71,136,000</w:t>
            </w: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Base management fee payable, net (See Note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5,200,087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6,602,029</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3,393,005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5,007,792</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6,377,581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7,638,514</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611,269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2,322,367</w:t>
            </w:r>
          </w:p>
        </w:tc>
      </w:tr>
      <w:tr>
        <w:trPr>
          <w:trHeight w:val="163"/>
        </w:trPr>
        <w:tc>
          <w:tcPr>
            <w:tcW w:w="520" w:type="dxa"/>
            <w:vAlign w:val="bottom"/>
          </w:tcPr>
          <w:p>
            <w:pPr>
              <w:spacing w:after="0"/>
              <w:rPr>
                <w:sz w:val="14"/>
                <w:szCs w:val="14"/>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649,860,910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648,457,688</w:t>
            </w:r>
          </w:p>
        </w:tc>
        <w:tc>
          <w:tcPr>
            <w:tcW w:w="100" w:type="dxa"/>
            <w:vAlign w:val="bottom"/>
          </w:tcPr>
          <w:p>
            <w:pPr>
              <w:spacing w:after="0"/>
              <w:rPr>
                <w:sz w:val="14"/>
                <w:szCs w:val="14"/>
                <w:color w:val="auto"/>
              </w:rPr>
            </w:pP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71,060,836 and 72,966,043 shares issued and outstanding, respectively.</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1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71,061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72,966</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822,532,643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834,711,229</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(17,850,376)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(13,424,886)</w:t>
            </w: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(63,173,143)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18,919,305</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(123,111,284)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(125,207,012)</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17,085,611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1,518,940</w:t>
            </w:r>
          </w:p>
        </w:tc>
      </w:tr>
      <w:tr>
        <w:trPr>
          <w:trHeight w:val="27"/>
        </w:trPr>
        <w:tc>
          <w:tcPr>
            <w:tcW w:w="5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520" w:type="dxa"/>
            <w:vAlign w:val="bottom"/>
            <w:shd w:val="clear" w:color="auto" w:fill="CCEEFF"/>
          </w:tcPr>
          <w:p>
            <w:pPr>
              <w:spacing w:after="0"/>
              <w:rPr>
                <w:sz w:val="12"/>
                <w:szCs w:val="12"/>
                <w:color w:val="auto"/>
              </w:rPr>
            </w:pPr>
          </w:p>
        </w:tc>
        <w:tc>
          <w:tcPr>
            <w:tcW w:w="7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net assets</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635,554,512</w:t>
            </w:r>
          </w:p>
        </w:tc>
        <w:tc>
          <w:tcPr>
            <w:tcW w:w="4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716,590,542</w:t>
            </w:r>
          </w:p>
        </w:tc>
      </w:tr>
      <w:tr>
        <w:trPr>
          <w:trHeight w:val="155"/>
        </w:trPr>
        <w:tc>
          <w:tcPr>
            <w:tcW w:w="520" w:type="dxa"/>
            <w:vAlign w:val="bottom"/>
          </w:tcPr>
          <w:p>
            <w:pPr>
              <w:spacing w:after="0"/>
              <w:rPr>
                <w:sz w:val="13"/>
                <w:szCs w:val="13"/>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1,285,415,422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1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30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8.94</w:t>
            </w:r>
          </w:p>
        </w:tc>
        <w:tc>
          <w:tcPr>
            <w:tcW w:w="42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9.82</w:t>
            </w:r>
          </w:p>
        </w:tc>
      </w:tr>
      <w:tr>
        <w:trPr>
          <w:trHeight w:val="20"/>
        </w:trPr>
        <w:tc>
          <w:tcPr>
            <w:tcW w:w="5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2"/>
              </w:rPr>
              <w:t>Three Months Ended June 30,</w:t>
            </w:r>
          </w:p>
        </w:tc>
        <w:tc>
          <w:tcPr>
            <w:tcW w:w="60" w:type="dxa"/>
            <w:vAlign w:val="bottom"/>
          </w:tcPr>
          <w:p>
            <w:pPr>
              <w:spacing w:after="0"/>
              <w:rPr>
                <w:sz w:val="14"/>
                <w:szCs w:val="14"/>
                <w:color w:val="auto"/>
              </w:rPr>
            </w:pPr>
          </w:p>
        </w:tc>
        <w:tc>
          <w:tcPr>
            <w:tcW w:w="1940" w:type="dxa"/>
            <w:vAlign w:val="bottom"/>
            <w:gridSpan w:val="7"/>
          </w:tcPr>
          <w:p>
            <w:pPr>
              <w:jc w:val="right"/>
              <w:ind w:right="79"/>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8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20" w:type="dxa"/>
            <w:vAlign w:val="bottom"/>
            <w:gridSpan w:val="2"/>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26,432,244</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31,722,226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9"/>
              </w:rPr>
              <w:t>81,300,064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7"/>
              </w:rPr>
              <w:t>101,811,852</w:t>
            </w:r>
          </w:p>
        </w:tc>
        <w:tc>
          <w:tcPr>
            <w:tcW w:w="0" w:type="dxa"/>
            <w:vAlign w:val="bottom"/>
          </w:tcPr>
          <w:p>
            <w:pPr>
              <w:spacing w:after="0"/>
              <w:rPr>
                <w:sz w:val="1"/>
                <w:szCs w:val="1"/>
                <w:color w:val="auto"/>
              </w:rPr>
            </w:pPr>
          </w:p>
        </w:tc>
      </w:tr>
      <w:tr>
        <w:trPr>
          <w:trHeight w:val="148"/>
        </w:trPr>
        <w:tc>
          <w:tcPr>
            <w:tcW w:w="718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2,151,427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3,138,382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9,679,096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9,535,685</w:t>
            </w:r>
          </w:p>
        </w:tc>
        <w:tc>
          <w:tcPr>
            <w:tcW w:w="0" w:type="dxa"/>
            <w:vAlign w:val="bottom"/>
          </w:tcPr>
          <w:p>
            <w:pPr>
              <w:spacing w:after="0"/>
              <w:rPr>
                <w:sz w:val="1"/>
                <w:szCs w:val="1"/>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3,458,232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4,263,709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8,956,381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7,000,896</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61,094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159,437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80,521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159,437</w:t>
            </w:r>
          </w:p>
        </w:tc>
        <w:tc>
          <w:tcPr>
            <w:tcW w:w="0" w:type="dxa"/>
            <w:vAlign w:val="bottom"/>
          </w:tcPr>
          <w:p>
            <w:pPr>
              <w:spacing w:after="0"/>
              <w:rPr>
                <w:sz w:val="1"/>
                <w:szCs w:val="1"/>
                <w:color w:val="auto"/>
              </w:rPr>
            </w:pPr>
          </w:p>
        </w:tc>
      </w:tr>
      <w:tr>
        <w:trPr>
          <w:trHeight w:val="148"/>
        </w:trPr>
        <w:tc>
          <w:tcPr>
            <w:tcW w:w="718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3,436,797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1,357,778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9,895,449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3,998,887</w:t>
            </w:r>
          </w:p>
        </w:tc>
        <w:tc>
          <w:tcPr>
            <w:tcW w:w="0" w:type="dxa"/>
            <w:vAlign w:val="bottom"/>
          </w:tcPr>
          <w:p>
            <w:pPr>
              <w:spacing w:after="0"/>
              <w:rPr>
                <w:sz w:val="1"/>
                <w:szCs w:val="1"/>
                <w:color w:val="auto"/>
              </w:rPr>
            </w:pPr>
          </w:p>
        </w:tc>
      </w:tr>
      <w:tr>
        <w:trPr>
          <w:trHeight w:val="163"/>
        </w:trPr>
        <w:tc>
          <w:tcPr>
            <w:tcW w:w="71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35,539,794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40,641,532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109,911,511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122,506,757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6,190,579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6,497,136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w w:val="99"/>
              </w:rPr>
              <w:t>18,811,434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20,093,624</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4,039,292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5,163,582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9"/>
              </w:rPr>
              <w:t>12,607,547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15,556,767</w:t>
            </w:r>
          </w:p>
        </w:tc>
        <w:tc>
          <w:tcPr>
            <w:tcW w:w="0" w:type="dxa"/>
            <w:vAlign w:val="bottom"/>
          </w:tcPr>
          <w:p>
            <w:pPr>
              <w:spacing w:after="0"/>
              <w:rPr>
                <w:sz w:val="1"/>
                <w:szCs w:val="1"/>
                <w:color w:val="auto"/>
              </w:rPr>
            </w:pPr>
          </w:p>
        </w:tc>
      </w:tr>
      <w:tr>
        <w:trPr>
          <w:trHeight w:val="148"/>
        </w:trPr>
        <w:tc>
          <w:tcPr>
            <w:tcW w:w="7180" w:type="dxa"/>
            <w:vAlign w:val="bottom"/>
          </w:tcPr>
          <w:p>
            <w:pPr>
              <w:ind w:left="30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7,005,077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6,616,779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w w:val="99"/>
              </w:rPr>
              <w:t>20,674,327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19,699,606</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898,167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855,313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2,666,167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2,562,033</w:t>
            </w:r>
          </w:p>
        </w:tc>
        <w:tc>
          <w:tcPr>
            <w:tcW w:w="0" w:type="dxa"/>
            <w:vAlign w:val="bottom"/>
          </w:tcPr>
          <w:p>
            <w:pPr>
              <w:spacing w:after="0"/>
              <w:rPr>
                <w:sz w:val="1"/>
                <w:szCs w:val="1"/>
                <w:color w:val="auto"/>
              </w:rPr>
            </w:pPr>
          </w:p>
        </w:tc>
      </w:tr>
      <w:tr>
        <w:trPr>
          <w:trHeight w:val="148"/>
        </w:trPr>
        <w:tc>
          <w:tcPr>
            <w:tcW w:w="7180" w:type="dxa"/>
            <w:vAlign w:val="bottom"/>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899,508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854,397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2,721,700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2,367,661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Expenses before management fee waiver and provision for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19,032,623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19,987,207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9"/>
              </w:rPr>
              <w:t>57,481,175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60,279,691</w:t>
            </w:r>
          </w:p>
        </w:tc>
        <w:tc>
          <w:tcPr>
            <w:tcW w:w="0" w:type="dxa"/>
            <w:vAlign w:val="bottom"/>
          </w:tcPr>
          <w:p>
            <w:pPr>
              <w:spacing w:after="0"/>
              <w:rPr>
                <w:sz w:val="1"/>
                <w:szCs w:val="1"/>
                <w:color w:val="auto"/>
              </w:rPr>
            </w:pPr>
          </w:p>
        </w:tc>
      </w:tr>
      <w:tr>
        <w:trPr>
          <w:trHeight w:val="156"/>
        </w:trPr>
        <w:tc>
          <w:tcPr>
            <w:tcW w:w="7180" w:type="dxa"/>
            <w:vAlign w:val="bottom"/>
          </w:tcPr>
          <w:p>
            <w:pPr>
              <w:ind w:left="300"/>
              <w:spacing w:after="0" w:line="155" w:lineRule="exact"/>
              <w:rPr>
                <w:sz w:val="20"/>
                <w:szCs w:val="20"/>
                <w:color w:val="auto"/>
              </w:rPr>
            </w:pPr>
            <w:r>
              <w:rPr>
                <w:rFonts w:ascii="Arial" w:cs="Arial" w:eastAsia="Arial" w:hAnsi="Arial"/>
                <w:sz w:val="14"/>
                <w:szCs w:val="14"/>
                <w:color w:val="auto"/>
              </w:rPr>
              <w:t>Management Fee waiver (See Note 3)</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(1,636,779)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(5,027,041)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expenses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17,745,844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19,987,207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54,454,134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60,279,691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17,793,950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20,654,325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9"/>
              </w:rPr>
              <w:t>55,457,377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62,227,066</w:t>
            </w:r>
          </w:p>
        </w:tc>
        <w:tc>
          <w:tcPr>
            <w:tcW w:w="0" w:type="dxa"/>
            <w:vAlign w:val="bottom"/>
          </w:tcPr>
          <w:p>
            <w:pPr>
              <w:spacing w:after="0"/>
              <w:rPr>
                <w:sz w:val="1"/>
                <w:szCs w:val="1"/>
                <w:color w:val="auto"/>
              </w:rPr>
            </w:pPr>
          </w:p>
        </w:tc>
      </w:tr>
      <w:tr>
        <w:trPr>
          <w:trHeight w:val="156"/>
        </w:trPr>
        <w:tc>
          <w:tcPr>
            <w:tcW w:w="718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(45,507,467)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13,820,350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5"/>
              </w:rPr>
              <w:t>(82,092,448)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31,936,928</w:t>
            </w:r>
          </w:p>
        </w:tc>
        <w:tc>
          <w:tcPr>
            <w:tcW w:w="0" w:type="dxa"/>
            <w:vAlign w:val="bottom"/>
          </w:tcPr>
          <w:p>
            <w:pPr>
              <w:spacing w:after="0"/>
              <w:rPr>
                <w:sz w:val="1"/>
                <w:szCs w:val="1"/>
                <w:color w:val="auto"/>
              </w:rPr>
            </w:pPr>
          </w:p>
        </w:tc>
      </w:tr>
      <w:tr>
        <w:trPr>
          <w:trHeight w:val="148"/>
        </w:trPr>
        <w:tc>
          <w:tcPr>
            <w:tcW w:w="718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50,184,115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(24,919,481)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9"/>
              </w:rPr>
              <w:t>27,230,048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(102,855,290)</w:t>
            </w:r>
          </w:p>
        </w:tc>
        <w:tc>
          <w:tcPr>
            <w:tcW w:w="0" w:type="dxa"/>
            <w:vAlign w:val="bottom"/>
          </w:tcPr>
          <w:p>
            <w:pPr>
              <w:spacing w:after="0"/>
              <w:rPr>
                <w:sz w:val="1"/>
                <w:szCs w:val="1"/>
                <w:color w:val="auto"/>
              </w:rPr>
            </w:pPr>
          </w:p>
        </w:tc>
      </w:tr>
      <w:tr>
        <w:trPr>
          <w:trHeight w:val="148"/>
        </w:trPr>
        <w:tc>
          <w:tcPr>
            <w:tcW w:w="7180" w:type="dxa"/>
            <w:vAlign w:val="bottom"/>
          </w:tcPr>
          <w:p>
            <w:pPr>
              <w:ind w:left="300"/>
              <w:spacing w:after="0" w:line="149" w:lineRule="exact"/>
              <w:rPr>
                <w:sz w:val="20"/>
                <w:szCs w:val="20"/>
                <w:color w:val="auto"/>
              </w:rPr>
            </w:pPr>
            <w:r>
              <w:rPr>
                <w:rFonts w:ascii="Arial" w:cs="Arial" w:eastAsia="Arial" w:hAnsi="Arial"/>
                <w:sz w:val="14"/>
                <w:szCs w:val="14"/>
                <w:color w:val="auto"/>
              </w:rPr>
              <w:t>Controlled and non-controlled, affiliated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7,770,408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(5,260,674)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w w:val="95"/>
              </w:rPr>
              <w:t>(25,134,320)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(5,258,057)</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Debt (appreciation) depreciation (See Notes 5 and 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(2,408,132)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641,430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9"/>
              </w:rPr>
              <w:t>15,566,671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2,318,310</w:t>
            </w:r>
          </w:p>
        </w:tc>
        <w:tc>
          <w:tcPr>
            <w:tcW w:w="0" w:type="dxa"/>
            <w:vAlign w:val="bottom"/>
          </w:tcPr>
          <w:p>
            <w:pPr>
              <w:spacing w:after="0"/>
              <w:rPr>
                <w:sz w:val="1"/>
                <w:szCs w:val="1"/>
                <w:color w:val="auto"/>
              </w:rPr>
            </w:pPr>
          </w:p>
        </w:tc>
      </w:tr>
      <w:tr>
        <w:trPr>
          <w:trHeight w:val="163"/>
        </w:trPr>
        <w:tc>
          <w:tcPr>
            <w:tcW w:w="71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55,546,391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(29,538,725)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17,662,399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(105,795,037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10,038,924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(15,718,375)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5"/>
              </w:rPr>
              <w:t>(64,430,049)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(73,858,109)</w:t>
            </w:r>
          </w:p>
        </w:tc>
        <w:tc>
          <w:tcPr>
            <w:tcW w:w="0" w:type="dxa"/>
            <w:vAlign w:val="bottom"/>
          </w:tcPr>
          <w:p>
            <w:pPr>
              <w:spacing w:after="0"/>
              <w:rPr>
                <w:sz w:val="1"/>
                <w:szCs w:val="1"/>
                <w:color w:val="auto"/>
              </w:rPr>
            </w:pPr>
          </w:p>
        </w:tc>
      </w:tr>
      <w:tr>
        <w:trPr>
          <w:trHeight w:val="155"/>
        </w:trPr>
        <w:tc>
          <w:tcPr>
            <w:tcW w:w="718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27,832,874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4,935,950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(8,972,672</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(11,631,043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120" w:type="dxa"/>
            <w:vAlign w:val="bottom"/>
            <w:gridSpan w:val="2"/>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0.39</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0.07</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(0.12)</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19"/>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0.25</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Nine Months Ended June 30,</w:t>
            </w: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decrease in net assets from operations:</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6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55,457,377</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62,227,066</w:t>
            </w:r>
          </w:p>
        </w:tc>
        <w:tc>
          <w:tcPr>
            <w:tcW w:w="0" w:type="dxa"/>
            <w:vAlign w:val="bottom"/>
          </w:tcPr>
          <w:p>
            <w:pPr>
              <w:spacing w:after="0"/>
              <w:rPr>
                <w:sz w:val="1"/>
                <w:szCs w:val="1"/>
                <w:color w:val="auto"/>
              </w:rPr>
            </w:pPr>
          </w:p>
        </w:tc>
      </w:tr>
      <w:tr>
        <w:trPr>
          <w:trHeight w:val="148"/>
        </w:trPr>
        <w:tc>
          <w:tcPr>
            <w:tcW w:w="8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gain on investments</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(82,092,448)</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31,936,928</w:t>
            </w:r>
          </w:p>
        </w:tc>
        <w:tc>
          <w:tcPr>
            <w:tcW w:w="0" w:type="dxa"/>
            <w:vAlign w:val="bottom"/>
          </w:tcPr>
          <w:p>
            <w:pPr>
              <w:spacing w:after="0"/>
              <w:rPr>
                <w:sz w:val="1"/>
                <w:szCs w:val="1"/>
                <w:color w:val="auto"/>
              </w:rPr>
            </w:pPr>
          </w:p>
        </w:tc>
      </w:tr>
      <w:tr>
        <w:trPr>
          <w:trHeight w:val="148"/>
        </w:trPr>
        <w:tc>
          <w:tcPr>
            <w:tcW w:w="876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2,095,728</w:t>
            </w: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(108,113,347)</w:t>
            </w:r>
          </w:p>
        </w:tc>
        <w:tc>
          <w:tcPr>
            <w:tcW w:w="0" w:type="dxa"/>
            <w:vAlign w:val="bottom"/>
          </w:tcPr>
          <w:p>
            <w:pPr>
              <w:spacing w:after="0"/>
              <w:rPr>
                <w:sz w:val="1"/>
                <w:szCs w:val="1"/>
                <w:color w:val="auto"/>
              </w:rPr>
            </w:pPr>
          </w:p>
        </w:tc>
      </w:tr>
      <w:tr>
        <w:trPr>
          <w:trHeight w:val="148"/>
        </w:trPr>
        <w:tc>
          <w:tcPr>
            <w:tcW w:w="8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15,566,671</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2,318,310</w:t>
            </w:r>
          </w:p>
        </w:tc>
        <w:tc>
          <w:tcPr>
            <w:tcW w:w="0" w:type="dxa"/>
            <w:vAlign w:val="bottom"/>
          </w:tcPr>
          <w:p>
            <w:pPr>
              <w:spacing w:after="0"/>
              <w:rPr>
                <w:sz w:val="1"/>
                <w:szCs w:val="1"/>
                <w:color w:val="auto"/>
              </w:rPr>
            </w:pPr>
          </w:p>
        </w:tc>
      </w:tr>
      <w:tr>
        <w:trPr>
          <w:trHeight w:val="163"/>
        </w:trPr>
        <w:tc>
          <w:tcPr>
            <w:tcW w:w="87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decrease in net assets resulting from operations</w:t>
            </w: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(8,972,672)</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(11,631,043)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(59,882,867)</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(62,844,746)</w:t>
            </w:r>
          </w:p>
        </w:tc>
        <w:tc>
          <w:tcPr>
            <w:tcW w:w="0" w:type="dxa"/>
            <w:vAlign w:val="bottom"/>
          </w:tcPr>
          <w:p>
            <w:pPr>
              <w:spacing w:after="0"/>
              <w:rPr>
                <w:sz w:val="1"/>
                <w:szCs w:val="1"/>
                <w:color w:val="auto"/>
              </w:rPr>
            </w:pPr>
          </w:p>
        </w:tc>
      </w:tr>
      <w:tr>
        <w:trPr>
          <w:trHeight w:val="155"/>
        </w:trPr>
        <w:tc>
          <w:tcPr>
            <w:tcW w:w="876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Repurchase of common stock (See Note 12)</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(12,180,491)</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(7,990,983)</w:t>
            </w:r>
          </w:p>
        </w:tc>
        <w:tc>
          <w:tcPr>
            <w:tcW w:w="0" w:type="dxa"/>
            <w:vAlign w:val="bottom"/>
          </w:tcPr>
          <w:p>
            <w:pPr>
              <w:spacing w:after="0"/>
              <w:rPr>
                <w:sz w:val="1"/>
                <w:szCs w:val="1"/>
                <w:color w:val="auto"/>
              </w:rPr>
            </w:pPr>
          </w:p>
        </w:tc>
      </w:tr>
      <w:tr>
        <w:trPr>
          <w:trHeight w:val="163"/>
        </w:trPr>
        <w:tc>
          <w:tcPr>
            <w:tcW w:w="876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(81,036,030)</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(82,466,772)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716,590,542</w:t>
            </w:r>
          </w:p>
        </w:tc>
        <w:tc>
          <w:tcPr>
            <w:tcW w:w="2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828,009,949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635,554,512</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745,543,177</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30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60" w:type="dxa"/>
            <w:vAlign w:val="bottom"/>
            <w:vMerge w:val="continue"/>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(17,850,376)</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(12,420,260)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60" w:type="dxa"/>
            <w:vAlign w:val="bottom"/>
          </w:tcPr>
          <w:p>
            <w:pPr>
              <w:ind w:left="300"/>
              <w:spacing w:after="0" w:line="149" w:lineRule="exact"/>
              <w:rPr>
                <w:sz w:val="20"/>
                <w:szCs w:val="20"/>
                <w:color w:val="auto"/>
              </w:rPr>
            </w:pPr>
            <w:r>
              <w:rPr>
                <w:rFonts w:ascii="Arial" w:cs="Arial" w:eastAsia="Arial" w:hAnsi="Arial"/>
                <w:sz w:val="14"/>
                <w:szCs w:val="14"/>
                <w:color w:val="auto"/>
              </w:rPr>
              <w:t>Shares of common stock repurchased</w:t>
            </w:r>
          </w:p>
        </w:tc>
        <w:tc>
          <w:tcPr>
            <w:tcW w:w="1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(1,905,207)</w:t>
            </w: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(833,213)</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8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89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89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400"/>
              <w:spacing w:after="0" w:line="149" w:lineRule="exact"/>
              <w:rPr>
                <w:sz w:val="20"/>
                <w:szCs w:val="20"/>
                <w:color w:val="auto"/>
              </w:rPr>
            </w:pPr>
            <w:r>
              <w:rPr>
                <w:rFonts w:ascii="Arial" w:cs="Arial" w:eastAsia="Arial" w:hAnsi="Arial"/>
                <w:sz w:val="14"/>
                <w:szCs w:val="14"/>
                <w:color w:val="auto"/>
              </w:rPr>
              <w:t>Net decrease in net assets resulting from operations</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(8,972,672)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(11,631,043)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96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4"/>
              </w:rPr>
              <w:t>Adjustments to reconcile net decrease in net assets resulting from operations to net cash provided by operating</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activities: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Net change in net unrealized (appreciation) depreciation on investments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(2,095,728)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108,113,347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(15,566,671)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(2,318,310)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Net realized loss (gain) on investments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82,092,448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(31,936,928)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(3,992,102)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(4,937,779)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(307,264,571)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(344,808,702)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Payment-in-kind income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(10,392,583)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(7,693,992)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304,104,246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289,545,505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interest receivable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193,400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(147,839)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5,226,264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(521,890)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(3,591,177)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43,190,530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interest payable on debt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(1,260,933)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4,237,937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455,540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413,353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base management fee payable,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(1,401,942)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112,034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performance-based incentive fee payable, net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(1,614,787)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540,828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Decrease in accrued other expenses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(1,711,098)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(708,245)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34,207,634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41,448,806</w:t>
            </w:r>
          </w:p>
        </w:tc>
        <w:tc>
          <w:tcPr>
            <w:tcW w:w="0" w:type="dxa"/>
            <w:vAlign w:val="bottom"/>
          </w:tcPr>
          <w:p>
            <w:pPr>
              <w:spacing w:after="0"/>
              <w:rPr>
                <w:sz w:val="1"/>
                <w:szCs w:val="1"/>
                <w:color w:val="auto"/>
              </w:rPr>
            </w:pPr>
          </w:p>
        </w:tc>
      </w:tr>
      <w:tr>
        <w:trPr>
          <w:trHeight w:val="155"/>
        </w:trPr>
        <w:tc>
          <w:tcPr>
            <w:tcW w:w="6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Repurchase of common stock</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(12,180,491)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(7,990,983)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Distributions paid to stockholders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(60,416,325)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(63,078,045)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SBA debentures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47,500,000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Deferred financing costs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(1,151,875)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Credit Facility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365,664,923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467,000,000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840"/>
              <w:spacing w:after="0" w:line="149" w:lineRule="exact"/>
              <w:rPr>
                <w:sz w:val="20"/>
                <w:szCs w:val="20"/>
                <w:color w:val="auto"/>
              </w:rPr>
            </w:pPr>
            <w:r>
              <w:rPr>
                <w:rFonts w:ascii="Arial" w:cs="Arial" w:eastAsia="Arial" w:hAnsi="Arial"/>
                <w:sz w:val="14"/>
                <w:szCs w:val="14"/>
                <w:color w:val="auto"/>
              </w:rPr>
              <w:t>Repayments under Credit Facility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(385,385,300)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(420,689,600)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Net cash used by financing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(45,969,068)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(24,758,628)</w:t>
            </w:r>
          </w:p>
        </w:tc>
        <w:tc>
          <w:tcPr>
            <w:tcW w:w="0" w:type="dxa"/>
            <w:vAlign w:val="bottom"/>
          </w:tcPr>
          <w:p>
            <w:pPr>
              <w:spacing w:after="0"/>
              <w:rPr>
                <w:sz w:val="1"/>
                <w:szCs w:val="1"/>
                <w:color w:val="auto"/>
              </w:rPr>
            </w:pPr>
          </w:p>
        </w:tc>
      </w:tr>
      <w:tr>
        <w:trPr>
          <w:trHeight w:val="156"/>
        </w:trPr>
        <w:tc>
          <w:tcPr>
            <w:tcW w:w="6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(11,761,434)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16,690,178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15,032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120,112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49,619,256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37,872,854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83,328,972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paid</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21,479,719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15,048,316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180"/>
              <w:spacing w:after="0"/>
              <w:rPr>
                <w:sz w:val="20"/>
                <w:szCs w:val="20"/>
                <w:color w:val="auto"/>
              </w:rPr>
            </w:pPr>
            <w:r>
              <w:rPr>
                <w:rFonts w:ascii="Arial" w:cs="Arial" w:eastAsia="Arial" w:hAnsi="Arial"/>
                <w:sz w:val="14"/>
                <w:szCs w:val="14"/>
                <w:color w:val="auto"/>
              </w:rPr>
              <w:t>Taxes paid</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2,154,226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60,808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6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Non-cash exchanges and conversions</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60,438,396</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19,765,183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340"/>
          </w:cols>
          <w:pgMar w:left="320" w:top="459" w:right="1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Basis Point</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40" w:type="dxa"/>
            <w:vAlign w:val="bottom"/>
          </w:tcPr>
          <w:p>
            <w:pPr>
              <w:ind w:left="800"/>
              <w:spacing w:after="0" w:line="135" w:lineRule="exact"/>
              <w:rPr>
                <w:sz w:val="20"/>
                <w:szCs w:val="20"/>
                <w:color w:val="auto"/>
              </w:rPr>
            </w:pPr>
            <w:r>
              <w:rPr>
                <w:rFonts w:ascii="Arial" w:cs="Arial" w:eastAsia="Arial" w:hAnsi="Arial"/>
                <w:sz w:val="13"/>
                <w:szCs w:val="13"/>
                <w:b w:val="1"/>
                <w:bCs w:val="1"/>
                <w:color w:val="auto"/>
              </w:rPr>
              <w:t>Maturity /</w:t>
            </w:r>
          </w:p>
        </w:tc>
        <w:tc>
          <w:tcPr>
            <w:tcW w:w="188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Current</w:t>
            </w:r>
          </w:p>
        </w:tc>
        <w:tc>
          <w:tcPr>
            <w:tcW w:w="10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2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Par /</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1440" w:type="dxa"/>
            <w:vAlign w:val="bottom"/>
          </w:tcPr>
          <w:p>
            <w:pPr>
              <w:ind w:left="780"/>
              <w:spacing w:after="0"/>
              <w:rPr>
                <w:sz w:val="20"/>
                <w:szCs w:val="20"/>
                <w:color w:val="auto"/>
              </w:rPr>
            </w:pPr>
            <w:r>
              <w:rPr>
                <w:rFonts w:ascii="Arial" w:cs="Arial" w:eastAsia="Arial" w:hAnsi="Arial"/>
                <w:sz w:val="13"/>
                <w:szCs w:val="13"/>
                <w:b w:val="1"/>
                <w:bCs w:val="1"/>
                <w:color w:val="auto"/>
              </w:rPr>
              <w:t>Expiration</w:t>
            </w:r>
          </w:p>
        </w:tc>
        <w:tc>
          <w:tcPr>
            <w:tcW w:w="1880" w:type="dxa"/>
            <w:vAlign w:val="bottom"/>
          </w:tcPr>
          <w:p>
            <w:pPr>
              <w:ind w:left="640"/>
              <w:spacing w:after="0"/>
              <w:rPr>
                <w:sz w:val="20"/>
                <w:szCs w:val="20"/>
                <w:color w:val="auto"/>
              </w:rPr>
            </w:pPr>
            <w:r>
              <w:rPr>
                <w:rFonts w:ascii="Arial" w:cs="Arial" w:eastAsia="Arial" w:hAnsi="Arial"/>
                <w:sz w:val="13"/>
                <w:szCs w:val="13"/>
                <w:b w:val="1"/>
                <w:bCs w:val="1"/>
                <w:color w:val="auto"/>
              </w:rPr>
              <w:t>Industry</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Coupon</w:t>
            </w:r>
          </w:p>
        </w:tc>
        <w:tc>
          <w:tcPr>
            <w:tcW w:w="104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20" w:type="dxa"/>
            <w:vAlign w:val="bottom"/>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86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8"/>
        </w:trPr>
        <w:tc>
          <w:tcPr>
            <w:tcW w:w="48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 xml:space="preserve">Investments in Non-Controlled, Non-Affiliated Portfolio Companies—142.3% </w:t>
            </w:r>
            <w:r>
              <w:rPr>
                <w:rFonts w:ascii="Arial" w:cs="Arial" w:eastAsia="Arial" w:hAnsi="Arial"/>
                <w:sz w:val="10"/>
                <w:szCs w:val="10"/>
                <w:b w:val="1"/>
                <w:bCs w:val="1"/>
                <w:color w:val="auto"/>
                <w:w w:val="96"/>
              </w:rPr>
              <w:t>(1), (2)</w:t>
            </w:r>
          </w:p>
        </w:tc>
        <w:tc>
          <w:tcPr>
            <w:tcW w:w="18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Debt—43.2%</w:t>
            </w:r>
          </w:p>
        </w:tc>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12/21/2020</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9"/>
              </w:rPr>
              <w:t>Hotels, Motels, Inns and Gaming</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9.25%</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23,393,344</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9"/>
              </w:rPr>
              <w:t>$ 23,113,334</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7"/>
              </w:rPr>
              <w:t>$  21,902,018</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06/03/2021</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9,206,250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9,037,320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9,048,435</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06/03/2021</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13.50%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L+1,225</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9,262,500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9,088,675</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9,103,721</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10/21/2020</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4,372,074</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4,321,452</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4,284,633</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06/30/2020</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3"/>
              </w:rPr>
              <w:t>Building Materials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25,113,896</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24,902,143</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25,113,896</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02/19/2021</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Chemicals, Plastics and Rubber</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L+900</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14,522,529</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14,269,911</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14,166,684</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01/15/2021</w:t>
            </w:r>
          </w:p>
        </w:tc>
        <w:tc>
          <w:tcPr>
            <w:tcW w:w="188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L+900</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38,883,238</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38,353,399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38,883,238</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440" w:type="dxa"/>
            <w:vAlign w:val="bottom"/>
          </w:tcPr>
          <w:p>
            <w:pPr>
              <w:jc w:val="center"/>
              <w:ind w:left="637"/>
              <w:spacing w:after="0" w:line="121" w:lineRule="exact"/>
              <w:rPr>
                <w:sz w:val="20"/>
                <w:szCs w:val="20"/>
                <w:color w:val="auto"/>
              </w:rPr>
            </w:pPr>
            <w:r>
              <w:rPr>
                <w:rFonts w:ascii="Arial" w:cs="Arial" w:eastAsia="Arial" w:hAnsi="Arial"/>
                <w:sz w:val="13"/>
                <w:szCs w:val="13"/>
                <w:color w:val="auto"/>
                <w:w w:val="89"/>
              </w:rPr>
              <w:t>12/16/2019</w:t>
            </w:r>
          </w:p>
        </w:tc>
        <w:tc>
          <w:tcPr>
            <w:tcW w:w="18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Mining, Steel, Iron and Non-</w:t>
            </w:r>
          </w:p>
        </w:tc>
        <w:tc>
          <w:tcPr>
            <w:tcW w:w="9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21" w:lineRule="exact"/>
              <w:rPr>
                <w:sz w:val="20"/>
                <w:szCs w:val="20"/>
                <w:color w:val="auto"/>
              </w:rPr>
            </w:pPr>
            <w:r>
              <w:rPr>
                <w:rFonts w:ascii="Arial" w:cs="Arial" w:eastAsia="Arial" w:hAnsi="Arial"/>
                <w:sz w:val="13"/>
                <w:szCs w:val="13"/>
                <w:color w:val="auto"/>
                <w:w w:val="98"/>
              </w:rPr>
              <w:t>14,250,000</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14,150,328</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12,397,500</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80" w:type="dxa"/>
            <w:vAlign w:val="bottom"/>
          </w:tcPr>
          <w:p>
            <w:pPr>
              <w:jc w:val="center"/>
              <w:ind w:right="17"/>
              <w:spacing w:after="0"/>
              <w:rPr>
                <w:sz w:val="20"/>
                <w:szCs w:val="20"/>
                <w:color w:val="auto"/>
              </w:rPr>
            </w:pPr>
            <w:r>
              <w:rPr>
                <w:rFonts w:ascii="Arial" w:cs="Arial" w:eastAsia="Arial" w:hAnsi="Arial"/>
                <w:sz w:val="13"/>
                <w:szCs w:val="13"/>
                <w:color w:val="auto"/>
                <w:w w:val="86"/>
              </w:rPr>
              <w:t>Precious Metals</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06/18/2019</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13,252,937</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13,173,859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13,252,937</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04/21/2017</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Aerospace and Defense</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18,306,549</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17,973,854</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18,215,017</w:t>
            </w: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1440" w:type="dxa"/>
            <w:vAlign w:val="bottom"/>
            <w:shd w:val="clear" w:color="auto" w:fill="CCEEFF"/>
          </w:tcPr>
          <w:p>
            <w:pPr>
              <w:jc w:val="center"/>
              <w:ind w:left="637"/>
              <w:spacing w:after="0" w:line="121" w:lineRule="exact"/>
              <w:rPr>
                <w:sz w:val="20"/>
                <w:szCs w:val="20"/>
                <w:color w:val="auto"/>
              </w:rPr>
            </w:pPr>
            <w:r>
              <w:rPr>
                <w:rFonts w:ascii="Arial" w:cs="Arial" w:eastAsia="Arial" w:hAnsi="Arial"/>
                <w:sz w:val="13"/>
                <w:szCs w:val="13"/>
                <w:color w:val="auto"/>
                <w:w w:val="89"/>
              </w:rPr>
              <w:t>09/28/2018</w:t>
            </w:r>
          </w:p>
        </w:tc>
        <w:tc>
          <w:tcPr>
            <w:tcW w:w="18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9"/>
              </w:rPr>
              <w:t>Hotels, Motels, Inns and Gaming</w:t>
            </w:r>
          </w:p>
        </w:tc>
        <w:tc>
          <w:tcPr>
            <w:tcW w:w="9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13.01%</w:t>
            </w:r>
          </w:p>
        </w:tc>
        <w:tc>
          <w:tcPr>
            <w:tcW w:w="10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82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w w:val="98"/>
              </w:rPr>
              <w:t>20,017,246</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30,213,895</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26,648,098</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0.50%)</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Triad Manufacturing, Inc.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12/28/2020</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8"/>
              </w:rPr>
              <w:t>Manufacturing / Basic Industries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11.25%</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L+1,075</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30,590,164</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30,025,040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30,546,118</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02/12/2020</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8"/>
              </w:rPr>
              <w:t>Buildings and Real Estate</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11.09%</w:t>
            </w:r>
          </w:p>
        </w:tc>
        <w:tc>
          <w:tcPr>
            <w:tcW w:w="10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22,562,950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36,015,363</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29,289,923</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US Med Acquisition, Inc.</w:t>
            </w:r>
          </w:p>
        </w:tc>
        <w:tc>
          <w:tcPr>
            <w:tcW w:w="1440" w:type="dxa"/>
            <w:vAlign w:val="bottom"/>
          </w:tcPr>
          <w:p>
            <w:pPr>
              <w:jc w:val="center"/>
              <w:ind w:left="637"/>
              <w:spacing w:after="0" w:line="121" w:lineRule="exact"/>
              <w:rPr>
                <w:sz w:val="20"/>
                <w:szCs w:val="20"/>
                <w:color w:val="auto"/>
              </w:rPr>
            </w:pPr>
            <w:r>
              <w:rPr>
                <w:rFonts w:ascii="Arial" w:cs="Arial" w:eastAsia="Arial" w:hAnsi="Arial"/>
                <w:sz w:val="13"/>
                <w:szCs w:val="13"/>
                <w:color w:val="auto"/>
                <w:w w:val="89"/>
              </w:rPr>
              <w:t>08/13/2021</w:t>
            </w:r>
          </w:p>
        </w:tc>
        <w:tc>
          <w:tcPr>
            <w:tcW w:w="18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10.00%</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L+900</w:t>
            </w:r>
          </w:p>
        </w:tc>
        <w:tc>
          <w:tcPr>
            <w:tcW w:w="820" w:type="dxa"/>
            <w:vAlign w:val="bottom"/>
          </w:tcPr>
          <w:p>
            <w:pPr>
              <w:jc w:val="right"/>
              <w:ind w:right="97"/>
              <w:spacing w:after="0" w:line="121" w:lineRule="exact"/>
              <w:rPr>
                <w:sz w:val="20"/>
                <w:szCs w:val="20"/>
                <w:color w:val="auto"/>
              </w:rPr>
            </w:pPr>
            <w:r>
              <w:rPr>
                <w:rFonts w:ascii="Arial" w:cs="Arial" w:eastAsia="Arial" w:hAnsi="Arial"/>
                <w:sz w:val="13"/>
                <w:szCs w:val="13"/>
                <w:color w:val="auto"/>
              </w:rPr>
              <w:t>8,673,438</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8,673,437</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8,673,437</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80" w:type="dxa"/>
            <w:vAlign w:val="bottom"/>
          </w:tcPr>
          <w:p>
            <w:pPr>
              <w:jc w:val="center"/>
              <w:ind w:right="17"/>
              <w:spacing w:after="0"/>
              <w:rPr>
                <w:sz w:val="20"/>
                <w:szCs w:val="20"/>
                <w:color w:val="auto"/>
              </w:rPr>
            </w:pPr>
            <w:r>
              <w:rPr>
                <w:rFonts w:ascii="Arial" w:cs="Arial" w:eastAsia="Arial" w:hAnsi="Arial"/>
                <w:sz w:val="13"/>
                <w:szCs w:val="13"/>
                <w:color w:val="auto"/>
                <w:w w:val="87"/>
              </w:rPr>
              <w:t>Childcare</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05/02/2019</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12.00%</w:t>
            </w:r>
            <w:r>
              <w:rPr>
                <w:rFonts w:ascii="Arial" w:cs="Arial" w:eastAsia="Arial" w:hAnsi="Arial"/>
                <w:sz w:val="10"/>
                <w:szCs w:val="10"/>
                <w:color w:val="auto"/>
              </w:rPr>
              <w:t>(7)</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L+1,150</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14,674,286</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14,466,463</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13,195,351</w:t>
            </w:r>
          </w:p>
        </w:tc>
        <w:tc>
          <w:tcPr>
            <w:tcW w:w="0" w:type="dxa"/>
            <w:vAlign w:val="bottom"/>
          </w:tcPr>
          <w:p>
            <w:pPr>
              <w:spacing w:after="0"/>
              <w:rPr>
                <w:sz w:val="1"/>
                <w:szCs w:val="1"/>
                <w:color w:val="auto"/>
              </w:rPr>
            </w:pPr>
          </w:p>
        </w:tc>
      </w:tr>
      <w:tr>
        <w:trPr>
          <w:trHeight w:val="149"/>
        </w:trPr>
        <w:tc>
          <w:tcPr>
            <w:tcW w:w="342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1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287,778,473</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274,721,006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Debt—75.2%</w:t>
            </w:r>
          </w:p>
        </w:tc>
        <w:tc>
          <w:tcPr>
            <w:tcW w:w="14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440" w:type="dxa"/>
            <w:vAlign w:val="bottom"/>
          </w:tcPr>
          <w:p>
            <w:pPr>
              <w:jc w:val="center"/>
              <w:ind w:left="637"/>
              <w:spacing w:after="0" w:line="121" w:lineRule="exact"/>
              <w:rPr>
                <w:sz w:val="20"/>
                <w:szCs w:val="20"/>
                <w:color w:val="auto"/>
              </w:rPr>
            </w:pPr>
            <w:r>
              <w:rPr>
                <w:rFonts w:ascii="Arial" w:cs="Arial" w:eastAsia="Arial" w:hAnsi="Arial"/>
                <w:sz w:val="13"/>
                <w:szCs w:val="13"/>
                <w:color w:val="auto"/>
                <w:w w:val="89"/>
              </w:rPr>
              <w:t>09/01/2017</w:t>
            </w:r>
          </w:p>
        </w:tc>
        <w:tc>
          <w:tcPr>
            <w:tcW w:w="18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8"/>
              </w:rPr>
              <w:t>Diversified Natural Resources,</w:t>
            </w:r>
          </w:p>
        </w:tc>
        <w:tc>
          <w:tcPr>
            <w:tcW w:w="9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21" w:lineRule="exact"/>
              <w:rPr>
                <w:sz w:val="20"/>
                <w:szCs w:val="20"/>
                <w:color w:val="auto"/>
              </w:rPr>
            </w:pPr>
            <w:r>
              <w:rPr>
                <w:rFonts w:ascii="Arial" w:cs="Arial" w:eastAsia="Arial" w:hAnsi="Arial"/>
                <w:sz w:val="13"/>
                <w:szCs w:val="13"/>
                <w:color w:val="auto"/>
                <w:w w:val="98"/>
              </w:rPr>
              <w:t>25,400,000</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25,400,000</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15,240,000</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80" w:type="dxa"/>
            <w:vAlign w:val="bottom"/>
          </w:tcPr>
          <w:p>
            <w:pPr>
              <w:jc w:val="center"/>
              <w:ind w:right="37"/>
              <w:spacing w:after="0"/>
              <w:rPr>
                <w:sz w:val="20"/>
                <w:szCs w:val="20"/>
                <w:color w:val="auto"/>
              </w:rPr>
            </w:pPr>
            <w:r>
              <w:rPr>
                <w:rFonts w:ascii="Arial" w:cs="Arial" w:eastAsia="Arial" w:hAnsi="Arial"/>
                <w:sz w:val="13"/>
                <w:szCs w:val="13"/>
                <w:color w:val="auto"/>
                <w:w w:val="87"/>
              </w:rPr>
              <w:t>Precious Metals and Minerals</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03/04/2022</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Financial Services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19,000,000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18,744,147</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19,000,000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Bennu Oil &amp; Gas, LLC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11/01/2018</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26,925,057</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25,422,260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14,808,781</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09/30/2020</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2"/>
              </w:rPr>
              <w:t>Distribution</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41,250,000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39,330,448</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38,362,500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03/01/2017</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8"/>
              </w:rPr>
              <w:t>Cargo Transport</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4,632,948</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3,739,797</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1,667,861</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07/31/2019</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34,000,000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33,556,766</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34,170,000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10/29/2019</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Hotels, Motels, Inns and Gaming</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L+1,175</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51,775,000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51,317,866</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51,775,000</w:t>
            </w: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Language Line, LLC</w:t>
            </w:r>
          </w:p>
        </w:tc>
        <w:tc>
          <w:tcPr>
            <w:tcW w:w="1440" w:type="dxa"/>
            <w:vAlign w:val="bottom"/>
            <w:shd w:val="clear" w:color="auto" w:fill="CCEEFF"/>
          </w:tcPr>
          <w:p>
            <w:pPr>
              <w:jc w:val="center"/>
              <w:ind w:left="637"/>
              <w:spacing w:after="0" w:line="121" w:lineRule="exact"/>
              <w:rPr>
                <w:sz w:val="20"/>
                <w:szCs w:val="20"/>
                <w:color w:val="auto"/>
              </w:rPr>
            </w:pPr>
            <w:r>
              <w:rPr>
                <w:rFonts w:ascii="Arial" w:cs="Arial" w:eastAsia="Arial" w:hAnsi="Arial"/>
                <w:sz w:val="13"/>
                <w:szCs w:val="13"/>
                <w:color w:val="auto"/>
                <w:w w:val="89"/>
              </w:rPr>
              <w:t>07/07/2022</w:t>
            </w:r>
          </w:p>
        </w:tc>
        <w:tc>
          <w:tcPr>
            <w:tcW w:w="18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4"/>
              </w:rPr>
              <w:t>Personal, Food and</w:t>
            </w:r>
          </w:p>
        </w:tc>
        <w:tc>
          <w:tcPr>
            <w:tcW w:w="9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10.75%</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L+975</w:t>
            </w:r>
          </w:p>
        </w:tc>
        <w:tc>
          <w:tcPr>
            <w:tcW w:w="82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w w:val="98"/>
              </w:rPr>
              <w:t>40,312,500</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39,757,357</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39,976,697</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8"/>
              </w:rPr>
              <w:t>Miscellaneous Services</w:t>
            </w:r>
          </w:p>
        </w:tc>
        <w:tc>
          <w:tcPr>
            <w:tcW w:w="9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MailSouth, Inc.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10/22/2021</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Printing and Publishing</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26,425,000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25,907,825</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25,896,500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07/07/2021</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Business Services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11.75%</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41,250,000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40,914,722</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40,837,500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12/17/2021</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Hotels, Motels, Inns and Gaming</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75,000,000</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75,000,000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75,706,169</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10/02/2020</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0"/>
              </w:rPr>
              <w:t>Media</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L+775</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98"/>
              </w:rPr>
              <w:t>18,270,159</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18,091,545</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17,722,054</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Pre-Paid Legal Services, Inc.</w:t>
            </w:r>
          </w:p>
        </w:tc>
        <w:tc>
          <w:tcPr>
            <w:tcW w:w="1440" w:type="dxa"/>
            <w:vAlign w:val="bottom"/>
          </w:tcPr>
          <w:p>
            <w:pPr>
              <w:jc w:val="center"/>
              <w:ind w:left="637"/>
              <w:spacing w:after="0" w:line="121" w:lineRule="exact"/>
              <w:rPr>
                <w:sz w:val="20"/>
                <w:szCs w:val="20"/>
                <w:color w:val="auto"/>
              </w:rPr>
            </w:pPr>
            <w:r>
              <w:rPr>
                <w:rFonts w:ascii="Arial" w:cs="Arial" w:eastAsia="Arial" w:hAnsi="Arial"/>
                <w:sz w:val="13"/>
                <w:szCs w:val="13"/>
                <w:color w:val="auto"/>
                <w:w w:val="89"/>
              </w:rPr>
              <w:t>07/01/2020</w:t>
            </w:r>
          </w:p>
        </w:tc>
        <w:tc>
          <w:tcPr>
            <w:tcW w:w="18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4"/>
              </w:rPr>
              <w:t>Personal, Food and</w:t>
            </w:r>
          </w:p>
        </w:tc>
        <w:tc>
          <w:tcPr>
            <w:tcW w:w="9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10.25%</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L+900</w:t>
            </w:r>
          </w:p>
        </w:tc>
        <w:tc>
          <w:tcPr>
            <w:tcW w:w="820" w:type="dxa"/>
            <w:vAlign w:val="bottom"/>
          </w:tcPr>
          <w:p>
            <w:pPr>
              <w:jc w:val="right"/>
              <w:ind w:right="97"/>
              <w:spacing w:after="0" w:line="121" w:lineRule="exact"/>
              <w:rPr>
                <w:sz w:val="20"/>
                <w:szCs w:val="20"/>
                <w:color w:val="auto"/>
              </w:rPr>
            </w:pPr>
            <w:r>
              <w:rPr>
                <w:rFonts w:ascii="Arial" w:cs="Arial" w:eastAsia="Arial" w:hAnsi="Arial"/>
                <w:sz w:val="13"/>
                <w:szCs w:val="13"/>
                <w:color w:val="auto"/>
                <w:w w:val="98"/>
              </w:rPr>
              <w:t>56,750,000</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56,176,571</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56,182,500</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80" w:type="dxa"/>
            <w:vAlign w:val="bottom"/>
          </w:tcPr>
          <w:p>
            <w:pPr>
              <w:jc w:val="center"/>
              <w:ind w:right="17"/>
              <w:spacing w:after="0"/>
              <w:rPr>
                <w:sz w:val="20"/>
                <w:szCs w:val="20"/>
                <w:color w:val="auto"/>
              </w:rPr>
            </w:pPr>
            <w:r>
              <w:rPr>
                <w:rFonts w:ascii="Arial" w:cs="Arial" w:eastAsia="Arial" w:hAnsi="Arial"/>
                <w:sz w:val="13"/>
                <w:szCs w:val="13"/>
                <w:color w:val="auto"/>
                <w:w w:val="88"/>
              </w:rPr>
              <w:t>Miscellaneous Services</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440" w:type="dxa"/>
            <w:vAlign w:val="bottom"/>
            <w:shd w:val="clear" w:color="auto" w:fill="CCEEFF"/>
          </w:tcPr>
          <w:p>
            <w:pPr>
              <w:jc w:val="center"/>
              <w:ind w:left="637"/>
              <w:spacing w:after="0" w:line="121" w:lineRule="exact"/>
              <w:rPr>
                <w:sz w:val="20"/>
                <w:szCs w:val="20"/>
                <w:color w:val="auto"/>
              </w:rPr>
            </w:pPr>
            <w:r>
              <w:rPr>
                <w:rFonts w:ascii="Arial" w:cs="Arial" w:eastAsia="Arial" w:hAnsi="Arial"/>
                <w:sz w:val="13"/>
                <w:szCs w:val="13"/>
                <w:color w:val="auto"/>
                <w:w w:val="89"/>
              </w:rPr>
              <w:t>07/01/2022</w:t>
            </w:r>
          </w:p>
        </w:tc>
        <w:tc>
          <w:tcPr>
            <w:tcW w:w="18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4"/>
              </w:rPr>
              <w:t>Personal, Food and</w:t>
            </w:r>
          </w:p>
        </w:tc>
        <w:tc>
          <w:tcPr>
            <w:tcW w:w="9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10.47%</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L+875</w:t>
            </w:r>
          </w:p>
        </w:tc>
        <w:tc>
          <w:tcPr>
            <w:tcW w:w="82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w w:val="98"/>
              </w:rPr>
              <w:t>28,500,000</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28,126,488</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28,761,345</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8"/>
              </w:rPr>
              <w:t>Miscellaneous Services</w:t>
            </w:r>
          </w:p>
        </w:tc>
        <w:tc>
          <w:tcPr>
            <w:tcW w:w="9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VT Buyer Acquisition Corp.</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01/30/2023</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Business Services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10.75%</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L+975</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18,375,000</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17,756,552</w:t>
            </w: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18,007,500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4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499,242,344</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6"/>
              </w:rPr>
              <w:t>478,114,407</w:t>
            </w:r>
          </w:p>
        </w:tc>
        <w:tc>
          <w:tcPr>
            <w:tcW w:w="0" w:type="dxa"/>
            <w:vAlign w:val="bottom"/>
          </w:tcPr>
          <w:p>
            <w:pPr>
              <w:spacing w:after="0"/>
              <w:rPr>
                <w:sz w:val="1"/>
                <w:szCs w:val="1"/>
                <w:color w:val="auto"/>
              </w:rPr>
            </w:pPr>
          </w:p>
        </w:tc>
      </w:tr>
      <w:tr>
        <w:trPr>
          <w:trHeight w:val="142"/>
        </w:trPr>
        <w:tc>
          <w:tcPr>
            <w:tcW w:w="342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Notes—16.0%</w:t>
            </w:r>
          </w:p>
        </w:tc>
        <w:tc>
          <w:tcPr>
            <w:tcW w:w="1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w w:val="89"/>
              </w:rPr>
              <w:t>02/15/2019</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Financial Services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8,930,000</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8,834,499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8,791,947</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Cascade Environmental LLC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08/20/2021</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Environmental Services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32,675,553</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32,040,288</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32,348,797</w:t>
            </w: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1440" w:type="dxa"/>
            <w:vAlign w:val="bottom"/>
            <w:shd w:val="clear" w:color="auto" w:fill="CCEEFF"/>
          </w:tcPr>
          <w:p>
            <w:pPr>
              <w:jc w:val="center"/>
              <w:ind w:left="637"/>
              <w:spacing w:after="0" w:line="121" w:lineRule="exact"/>
              <w:rPr>
                <w:sz w:val="20"/>
                <w:szCs w:val="20"/>
                <w:color w:val="auto"/>
              </w:rPr>
            </w:pPr>
            <w:r>
              <w:rPr>
                <w:rFonts w:ascii="Arial" w:cs="Arial" w:eastAsia="Arial" w:hAnsi="Arial"/>
                <w:sz w:val="13"/>
                <w:szCs w:val="13"/>
                <w:color w:val="auto"/>
                <w:w w:val="89"/>
              </w:rPr>
              <w:t>10/26/2018</w:t>
            </w:r>
          </w:p>
        </w:tc>
        <w:tc>
          <w:tcPr>
            <w:tcW w:w="18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4"/>
              </w:rPr>
              <w:t>Personal, Food and</w:t>
            </w:r>
          </w:p>
        </w:tc>
        <w:tc>
          <w:tcPr>
            <w:tcW w:w="9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13.50%</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w w:val="98"/>
              </w:rPr>
              <w:t>10,983,467</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10,875,320</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10,135,984</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8"/>
              </w:rPr>
              <w:t>Miscellaneous Services</w:t>
            </w:r>
          </w:p>
        </w:tc>
        <w:tc>
          <w:tcPr>
            <w:tcW w:w="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2.25%)</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(10), (12), (13)</w:t>
            </w:r>
          </w:p>
        </w:tc>
        <w:tc>
          <w:tcPr>
            <w:tcW w:w="1440" w:type="dxa"/>
            <w:vAlign w:val="bottom"/>
          </w:tcPr>
          <w:p>
            <w:pPr>
              <w:jc w:val="center"/>
              <w:ind w:left="637"/>
              <w:spacing w:after="0" w:line="121" w:lineRule="exact"/>
              <w:rPr>
                <w:sz w:val="20"/>
                <w:szCs w:val="20"/>
                <w:color w:val="auto"/>
              </w:rPr>
            </w:pPr>
            <w:r>
              <w:rPr>
                <w:rFonts w:ascii="Arial" w:cs="Arial" w:eastAsia="Arial" w:hAnsi="Arial"/>
                <w:sz w:val="13"/>
                <w:szCs w:val="13"/>
                <w:color w:val="auto"/>
                <w:w w:val="89"/>
              </w:rPr>
              <w:t>02/19/2018</w:t>
            </w:r>
          </w:p>
        </w:tc>
        <w:tc>
          <w:tcPr>
            <w:tcW w:w="18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14.50%</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L+1,000</w:t>
            </w:r>
          </w:p>
        </w:tc>
        <w:tc>
          <w:tcPr>
            <w:tcW w:w="820" w:type="dxa"/>
            <w:vAlign w:val="bottom"/>
          </w:tcPr>
          <w:p>
            <w:pPr>
              <w:jc w:val="right"/>
              <w:ind w:right="97"/>
              <w:spacing w:after="0" w:line="121" w:lineRule="exact"/>
              <w:rPr>
                <w:sz w:val="20"/>
                <w:szCs w:val="20"/>
                <w:color w:val="auto"/>
              </w:rPr>
            </w:pPr>
            <w:r>
              <w:rPr>
                <w:rFonts w:ascii="Arial" w:cs="Arial" w:eastAsia="Arial" w:hAnsi="Arial"/>
                <w:sz w:val="13"/>
                <w:szCs w:val="13"/>
                <w:color w:val="auto"/>
              </w:rPr>
              <w:t>8,250,821</w:t>
            </w:r>
          </w:p>
        </w:tc>
        <w:tc>
          <w:tcPr>
            <w:tcW w:w="8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12,118,330</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10,945,519</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jc w:val="center"/>
              <w:ind w:right="17"/>
              <w:spacing w:after="0"/>
              <w:rPr>
                <w:sz w:val="20"/>
                <w:szCs w:val="20"/>
                <w:color w:val="auto"/>
              </w:rPr>
            </w:pPr>
            <w:r>
              <w:rPr>
                <w:rFonts w:ascii="Arial" w:cs="Arial" w:eastAsia="Arial" w:hAnsi="Arial"/>
                <w:sz w:val="13"/>
                <w:szCs w:val="13"/>
                <w:color w:val="auto"/>
                <w:w w:val="87"/>
              </w:rPr>
              <w:t>Childcare</w:t>
            </w:r>
          </w:p>
        </w:tc>
        <w:tc>
          <w:tcPr>
            <w:tcW w:w="920" w:type="dxa"/>
            <w:vAlign w:val="bottom"/>
          </w:tcPr>
          <w:p>
            <w:pPr>
              <w:ind w:left="120"/>
              <w:spacing w:after="0"/>
              <w:rPr>
                <w:sz w:val="20"/>
                <w:szCs w:val="20"/>
                <w:color w:val="auto"/>
              </w:rPr>
            </w:pPr>
            <w:r>
              <w:rPr>
                <w:rFonts w:ascii="Arial" w:cs="Arial" w:eastAsia="Arial" w:hAnsi="Arial"/>
                <w:sz w:val="13"/>
                <w:szCs w:val="13"/>
                <w:color w:val="auto"/>
              </w:rPr>
              <w:t>(PIK 6.00%)</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Randall-Reilly, LLC</w:t>
            </w:r>
          </w:p>
        </w:tc>
        <w:tc>
          <w:tcPr>
            <w:tcW w:w="1440" w:type="dxa"/>
            <w:vAlign w:val="bottom"/>
            <w:shd w:val="clear" w:color="auto" w:fill="CCEEFF"/>
          </w:tcPr>
          <w:p>
            <w:pPr>
              <w:jc w:val="center"/>
              <w:ind w:left="637"/>
              <w:spacing w:after="0" w:line="136" w:lineRule="exact"/>
              <w:rPr>
                <w:sz w:val="20"/>
                <w:szCs w:val="20"/>
                <w:color w:val="auto"/>
              </w:rPr>
            </w:pPr>
            <w:r>
              <w:rPr>
                <w:rFonts w:ascii="Arial" w:cs="Arial" w:eastAsia="Arial" w:hAnsi="Arial"/>
                <w:sz w:val="13"/>
                <w:szCs w:val="13"/>
                <w:color w:val="auto"/>
                <w:w w:val="89"/>
              </w:rPr>
              <w:t>04/15/2020</w:t>
            </w:r>
          </w:p>
        </w:tc>
        <w:tc>
          <w:tcPr>
            <w:tcW w:w="1880" w:type="dxa"/>
            <w:vAlign w:val="bottom"/>
            <w:shd w:val="clear" w:color="auto" w:fill="CCEEFF"/>
          </w:tcPr>
          <w:p>
            <w:pPr>
              <w:jc w:val="center"/>
              <w:ind w:right="17"/>
              <w:spacing w:after="0" w:line="136" w:lineRule="exact"/>
              <w:rPr>
                <w:sz w:val="20"/>
                <w:szCs w:val="20"/>
                <w:color w:val="auto"/>
              </w:rPr>
            </w:pPr>
            <w:r>
              <w:rPr>
                <w:rFonts w:ascii="Arial" w:cs="Arial" w:eastAsia="Arial" w:hAnsi="Arial"/>
                <w:sz w:val="13"/>
                <w:szCs w:val="13"/>
                <w:color w:val="auto"/>
                <w:w w:val="89"/>
              </w:rPr>
              <w:t>Other Media</w:t>
            </w:r>
          </w:p>
        </w:tc>
        <w:tc>
          <w:tcPr>
            <w:tcW w:w="92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12.00%</w:t>
            </w:r>
          </w:p>
        </w:tc>
        <w:tc>
          <w:tcPr>
            <w:tcW w:w="104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w w:val="98"/>
              </w:rPr>
              <w:t>26,500,000</w:t>
            </w:r>
          </w:p>
        </w:tc>
        <w:tc>
          <w:tcPr>
            <w:tcW w:w="8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26,622,740</w:t>
            </w:r>
          </w:p>
        </w:tc>
        <w:tc>
          <w:tcPr>
            <w:tcW w:w="8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26,251,345</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w w:val="89"/>
              </w:rPr>
              <w:t>05/13/2021</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8"/>
              </w:rPr>
              <w:t>Manufacturing / Basic Industries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8"/>
              </w:rPr>
              <w:t>13,300,000</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13,080,883</w:t>
            </w: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13,300,000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4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103,572,060</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6"/>
              </w:rPr>
              <w:t>101,773,592</w:t>
            </w:r>
          </w:p>
        </w:tc>
        <w:tc>
          <w:tcPr>
            <w:tcW w:w="0" w:type="dxa"/>
            <w:vAlign w:val="bottom"/>
          </w:tcPr>
          <w:p>
            <w:pPr>
              <w:spacing w:after="0"/>
              <w:rPr>
                <w:sz w:val="1"/>
                <w:szCs w:val="1"/>
                <w:color w:val="auto"/>
              </w:rPr>
            </w:pPr>
          </w:p>
        </w:tc>
      </w:tr>
      <w:tr>
        <w:trPr>
          <w:trHeight w:val="142"/>
        </w:trPr>
        <w:tc>
          <w:tcPr>
            <w:tcW w:w="34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Equity/Partnership Interests—1.3% </w:t>
            </w:r>
            <w:r>
              <w:rPr>
                <w:rFonts w:ascii="Arial" w:cs="Arial" w:eastAsia="Arial" w:hAnsi="Arial"/>
                <w:sz w:val="10"/>
                <w:szCs w:val="10"/>
                <w:b w:val="1"/>
                <w:bCs w:val="1"/>
                <w:color w:val="auto"/>
              </w:rPr>
              <w:t>(6)</w:t>
            </w:r>
          </w:p>
        </w:tc>
        <w:tc>
          <w:tcPr>
            <w:tcW w:w="1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w:t>
            </w:r>
          </w:p>
        </w:tc>
        <w:tc>
          <w:tcPr>
            <w:tcW w:w="1440" w:type="dxa"/>
            <w:vAlign w:val="bottom"/>
            <w:shd w:val="clear" w:color="auto" w:fill="CCEEFF"/>
          </w:tcPr>
          <w:p>
            <w:pPr>
              <w:jc w:val="center"/>
              <w:ind w:left="637"/>
              <w:spacing w:after="0" w:line="121" w:lineRule="exact"/>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6"/>
              </w:rPr>
              <w:t>Healthcare, Education and</w:t>
            </w:r>
          </w:p>
        </w:tc>
        <w:tc>
          <w:tcPr>
            <w:tcW w:w="9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6.00%</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211</w:t>
            </w:r>
          </w:p>
        </w:tc>
        <w:tc>
          <w:tcPr>
            <w:tcW w:w="8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500,000</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171,569</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7"/>
              </w:rPr>
              <w:t>Childcare</w:t>
            </w:r>
          </w:p>
        </w:tc>
        <w:tc>
          <w:tcPr>
            <w:tcW w:w="9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rPr>
              <w:t>—</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Financial Services</w:t>
            </w:r>
          </w:p>
        </w:tc>
        <w:tc>
          <w:tcPr>
            <w:tcW w:w="9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949</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949,050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975,602</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8"/>
              </w:rPr>
              <w:t>Electronics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2,375</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2,088,121</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2,383,517</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rPr>
              <w:t>—</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3,591</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31,303</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1440" w:type="dxa"/>
            <w:vAlign w:val="bottom"/>
            <w:shd w:val="clear" w:color="auto" w:fill="CCEEFF"/>
          </w:tcPr>
          <w:p>
            <w:pPr>
              <w:jc w:val="center"/>
              <w:ind w:left="637"/>
              <w:spacing w:after="0" w:line="135" w:lineRule="exact"/>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3,397</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2,511,333</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3,213,422</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440" w:type="dxa"/>
            <w:vAlign w:val="bottom"/>
          </w:tcPr>
          <w:p>
            <w:pPr>
              <w:jc w:val="center"/>
              <w:ind w:left="637"/>
              <w:spacing w:after="0" w:line="135" w:lineRule="exact"/>
              <w:rPr>
                <w:sz w:val="20"/>
                <w:szCs w:val="20"/>
                <w:color w:val="auto"/>
              </w:rPr>
            </w:pPr>
            <w:r>
              <w:rPr>
                <w:rFonts w:ascii="Arial" w:cs="Arial" w:eastAsia="Arial" w:hAnsi="Arial"/>
                <w:sz w:val="13"/>
                <w:szCs w:val="13"/>
                <w:color w:val="auto"/>
              </w:rPr>
              <w:t>—</w:t>
            </w:r>
          </w:p>
        </w:tc>
        <w:tc>
          <w:tcPr>
            <w:tcW w:w="1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8"/>
              </w:rPr>
              <w:t>Manufacturing / Basic Industries</w:t>
            </w:r>
          </w:p>
        </w:tc>
        <w:tc>
          <w:tcPr>
            <w:tcW w:w="9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1,197</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1,197,000</w:t>
            </w: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1,386,177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4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7,245,504</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8,161,590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jc w:val="center"/>
        <w:spacing w:after="0" w:line="216" w:lineRule="auto"/>
        <w:rPr>
          <w:sz w:val="20"/>
          <w:szCs w:val="20"/>
          <w:color w:val="auto"/>
        </w:rPr>
      </w:pPr>
      <w:r>
        <w:rPr>
          <w:rFonts w:ascii="Arial" w:cs="Arial" w:eastAsia="Arial" w:hAnsi="Arial"/>
          <w:sz w:val="13"/>
          <w:szCs w:val="13"/>
          <w:b w:val="1"/>
          <w:bCs w:val="1"/>
          <w:color w:val="auto"/>
        </w:rPr>
        <w:t>CONSOLIDATED SCHEDULE OF INVESTMENTS – (Continued)</w:t>
      </w:r>
    </w:p>
    <w:p>
      <w:pPr>
        <w:jc w:val="center"/>
        <w:spacing w:after="0" w:line="217" w:lineRule="auto"/>
        <w:rPr>
          <w:sz w:val="20"/>
          <w:szCs w:val="20"/>
          <w:color w:val="auto"/>
        </w:rPr>
      </w:pPr>
      <w:r>
        <w:rPr>
          <w:rFonts w:ascii="Arial" w:cs="Arial" w:eastAsia="Arial" w:hAnsi="Arial"/>
          <w:sz w:val="13"/>
          <w:szCs w:val="13"/>
          <w:b w:val="1"/>
          <w:bCs w:val="1"/>
          <w:color w:val="auto"/>
        </w:rPr>
        <w:t>JUNE 30, 2016</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6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Maturity /</w:t>
            </w:r>
          </w:p>
        </w:tc>
        <w:tc>
          <w:tcPr>
            <w:tcW w:w="1800" w:type="dxa"/>
            <w:vAlign w:val="bottom"/>
          </w:tcPr>
          <w:p>
            <w:pPr>
              <w:spacing w:after="0"/>
              <w:rPr>
                <w:sz w:val="11"/>
                <w:szCs w:val="11"/>
                <w:color w:val="auto"/>
              </w:rPr>
            </w:pPr>
          </w:p>
        </w:tc>
        <w:tc>
          <w:tcPr>
            <w:tcW w:w="94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Current</w:t>
            </w: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20" w:type="dxa"/>
            <w:vAlign w:val="bottom"/>
            <w:vMerge w:val="continue"/>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b w:val="1"/>
                <w:bCs w:val="1"/>
                <w:color w:val="auto"/>
                <w:w w:val="97"/>
              </w:rPr>
              <w:t>Expiration</w:t>
            </w:r>
          </w:p>
        </w:tc>
        <w:tc>
          <w:tcPr>
            <w:tcW w:w="1800" w:type="dxa"/>
            <w:vAlign w:val="bottom"/>
          </w:tcPr>
          <w:p>
            <w:pPr>
              <w:ind w:left="620"/>
              <w:spacing w:after="0"/>
              <w:rPr>
                <w:sz w:val="20"/>
                <w:szCs w:val="20"/>
                <w:color w:val="auto"/>
              </w:rPr>
            </w:pPr>
            <w:r>
              <w:rPr>
                <w:rFonts w:ascii="Arial" w:cs="Arial" w:eastAsia="Arial" w:hAnsi="Arial"/>
                <w:sz w:val="13"/>
                <w:szCs w:val="13"/>
                <w:b w:val="1"/>
                <w:bCs w:val="1"/>
                <w:color w:val="auto"/>
              </w:rPr>
              <w:t>Industry</w:t>
            </w:r>
          </w:p>
        </w:tc>
        <w:tc>
          <w:tcPr>
            <w:tcW w:w="940" w:type="dxa"/>
            <w:vAlign w:val="bottom"/>
          </w:tcPr>
          <w:p>
            <w:pPr>
              <w:jc w:val="right"/>
              <w:ind w:right="337"/>
              <w:spacing w:after="0"/>
              <w:rPr>
                <w:sz w:val="20"/>
                <w:szCs w:val="20"/>
                <w:color w:val="auto"/>
              </w:rPr>
            </w:pPr>
            <w:r>
              <w:rPr>
                <w:rFonts w:ascii="Arial" w:cs="Arial" w:eastAsia="Arial" w:hAnsi="Arial"/>
                <w:sz w:val="13"/>
                <w:szCs w:val="13"/>
                <w:b w:val="1"/>
                <w:bCs w:val="1"/>
                <w:color w:val="auto"/>
              </w:rPr>
              <w:t>Coupon</w:t>
            </w: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 xml:space="preserve">Above Index </w:t>
            </w:r>
            <w:r>
              <w:rPr>
                <w:rFonts w:ascii="Arial" w:cs="Arial" w:eastAsia="Arial" w:hAnsi="Arial"/>
                <w:sz w:val="10"/>
                <w:szCs w:val="10"/>
                <w:b w:val="1"/>
                <w:bCs w:val="1"/>
                <w:color w:val="auto"/>
                <w:w w:val="90"/>
              </w:rPr>
              <w:t>(4)</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3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Interests/Warrants—6.6% </w:t>
            </w:r>
            <w:r>
              <w:rPr>
                <w:rFonts w:ascii="Arial" w:cs="Arial" w:eastAsia="Arial" w:hAnsi="Arial"/>
                <w:sz w:val="10"/>
                <w:szCs w:val="10"/>
                <w:b w:val="1"/>
                <w:bCs w:val="1"/>
                <w:color w:val="auto"/>
              </w:rPr>
              <w:t>(6)</w:t>
            </w:r>
          </w:p>
        </w:tc>
        <w:tc>
          <w:tcPr>
            <w:tcW w:w="760" w:type="dxa"/>
            <w:vAlign w:val="bottom"/>
            <w:tcBorders>
              <w:top w:val="single" w:sz="8" w:color="auto"/>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760" w:type="dxa"/>
            <w:vAlign w:val="bottom"/>
          </w:tcPr>
          <w:p>
            <w:pPr>
              <w:jc w:val="center"/>
              <w:spacing w:after="0" w:line="121" w:lineRule="exact"/>
              <w:rPr>
                <w:sz w:val="20"/>
                <w:szCs w:val="20"/>
                <w:color w:val="auto"/>
              </w:rPr>
            </w:pPr>
            <w:r>
              <w:rPr>
                <w:rFonts w:ascii="Arial" w:cs="Arial" w:eastAsia="Arial" w:hAnsi="Arial"/>
                <w:sz w:val="13"/>
                <w:szCs w:val="13"/>
                <w:color w:val="auto"/>
                <w:w w:val="89"/>
              </w:rPr>
              <w:t>03/23/2021</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05/05/2026</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933</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586,975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967,929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1,333,330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760" w:type="dxa"/>
            <w:vAlign w:val="bottom"/>
          </w:tcPr>
          <w:p>
            <w:pPr>
              <w:jc w:val="center"/>
              <w:ind w:left="17"/>
              <w:spacing w:after="0" w:line="121"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137,923</w:t>
            </w: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2,111,588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(11)</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23,600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2,360,000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5,020,913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1,745,639</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1,745,639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3,525,392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2,375</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1,897,583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line="121" w:lineRule="exact"/>
              <w:rPr>
                <w:sz w:val="20"/>
                <w:szCs w:val="20"/>
                <w:color w:val="auto"/>
              </w:rPr>
            </w:pPr>
            <w:r>
              <w:rPr>
                <w:rFonts w:ascii="Arial" w:cs="Arial" w:eastAsia="Arial" w:hAnsi="Arial"/>
                <w:sz w:val="13"/>
                <w:szCs w:val="13"/>
                <w:color w:val="auto"/>
              </w:rPr>
              <w:t>Faraday Holdings, LLC</w:t>
            </w:r>
          </w:p>
        </w:tc>
        <w:tc>
          <w:tcPr>
            <w:tcW w:w="760" w:type="dxa"/>
            <w:vAlign w:val="bottom"/>
          </w:tcPr>
          <w:p>
            <w:pPr>
              <w:jc w:val="center"/>
              <w:ind w:left="17"/>
              <w:spacing w:after="0" w:line="121"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3,520</w:t>
            </w: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171,601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311,193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40"/>
              <w:spacing w:after="0"/>
              <w:rPr>
                <w:sz w:val="20"/>
                <w:szCs w:val="20"/>
                <w:color w:val="auto"/>
              </w:rPr>
            </w:pPr>
            <w:r>
              <w:rPr>
                <w:rFonts w:ascii="Arial" w:cs="Arial" w:eastAsia="Arial" w:hAnsi="Arial"/>
                <w:sz w:val="13"/>
                <w:szCs w:val="13"/>
                <w:color w:val="auto"/>
              </w:rPr>
              <w:t>(Interior Specialists, Inc.)</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388,378</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3,385,512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252</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3,519,921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A</w:t>
            </w:r>
          </w:p>
        </w:tc>
        <w:tc>
          <w:tcPr>
            <w:tcW w:w="760" w:type="dxa"/>
            <w:vAlign w:val="bottom"/>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1,079,920</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1,236,832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3,628,553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line="121" w:lineRule="exact"/>
              <w:rPr>
                <w:sz w:val="20"/>
                <w:szCs w:val="20"/>
                <w:color w:val="auto"/>
              </w:rPr>
            </w:pPr>
            <w:r>
              <w:rPr>
                <w:rFonts w:ascii="Arial" w:cs="Arial" w:eastAsia="Arial" w:hAnsi="Arial"/>
                <w:sz w:val="13"/>
                <w:szCs w:val="13"/>
                <w:color w:val="auto"/>
              </w:rPr>
              <w:t>Kadmon Holdings, LLC, Class D</w:t>
            </w:r>
          </w:p>
        </w:tc>
        <w:tc>
          <w:tcPr>
            <w:tcW w:w="760" w:type="dxa"/>
            <w:vAlign w:val="bottom"/>
          </w:tcPr>
          <w:p>
            <w:pPr>
              <w:jc w:val="center"/>
              <w:ind w:left="17"/>
              <w:spacing w:after="0" w:line="121"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1,079,920</w:t>
            </w: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1,028,807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1,028,807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493,280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517,143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268,405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MidOcean PPL Holdings, Corp.</w:t>
            </w:r>
          </w:p>
        </w:tc>
        <w:tc>
          <w:tcPr>
            <w:tcW w:w="760" w:type="dxa"/>
            <w:vAlign w:val="bottom"/>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5,137,074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Legal Services, Inc.)</w:t>
            </w:r>
          </w:p>
        </w:tc>
        <w:tc>
          <w:tcPr>
            <w:tcW w:w="76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9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Patriot National, Inc.</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100,885</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238,038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825,239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1,350,000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901,263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1,202,325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150,000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142,300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2,540,408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1,870,331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148,998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130,319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1,330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918,335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211,797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793,873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7,018,479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19,095,004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41,844,507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916,933,385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904,615,102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7"/>
              </w:rPr>
              <w:t xml:space="preserve">Investments in Non-Controlled, Affiliated Portfolio Companies—32.9% </w:t>
            </w:r>
            <w:r>
              <w:rPr>
                <w:rFonts w:ascii="Arial" w:cs="Arial" w:eastAsia="Arial" w:hAnsi="Arial"/>
                <w:sz w:val="10"/>
                <w:szCs w:val="10"/>
                <w:b w:val="1"/>
                <w:bCs w:val="1"/>
                <w:color w:val="auto"/>
                <w:w w:val="97"/>
              </w:rPr>
              <w:t>(1), (2)</w:t>
            </w: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Debt—8.4%</w:t>
            </w:r>
          </w:p>
        </w:tc>
        <w:tc>
          <w:tcPr>
            <w:tcW w:w="7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11/25/2020</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10.75%</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L+975</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23,581,500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23,152,720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23,581,500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(9)</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11/25/2020</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1,942,623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1" w:lineRule="exact"/>
              <w:rPr>
                <w:sz w:val="20"/>
                <w:szCs w:val="20"/>
                <w:color w:val="auto"/>
              </w:rPr>
            </w:pPr>
            <w:r>
              <w:rPr>
                <w:rFonts w:ascii="Arial" w:cs="Arial" w:eastAsia="Arial" w:hAnsi="Arial"/>
                <w:sz w:val="13"/>
                <w:szCs w:val="13"/>
                <w:color w:val="auto"/>
              </w:rPr>
              <w:t>PAS Technologies, Inc.</w:t>
            </w:r>
          </w:p>
        </w:tc>
        <w:tc>
          <w:tcPr>
            <w:tcW w:w="760" w:type="dxa"/>
            <w:vAlign w:val="bottom"/>
          </w:tcPr>
          <w:p>
            <w:pPr>
              <w:jc w:val="center"/>
              <w:spacing w:after="0" w:line="121" w:lineRule="exact"/>
              <w:rPr>
                <w:sz w:val="20"/>
                <w:szCs w:val="20"/>
                <w:color w:val="auto"/>
              </w:rPr>
            </w:pPr>
            <w:r>
              <w:rPr>
                <w:rFonts w:ascii="Arial" w:cs="Arial" w:eastAsia="Arial" w:hAnsi="Arial"/>
                <w:sz w:val="13"/>
                <w:szCs w:val="13"/>
                <w:color w:val="auto"/>
                <w:w w:val="89"/>
              </w:rPr>
              <w:t>03/21/2017</w:t>
            </w:r>
          </w:p>
        </w:tc>
        <w:tc>
          <w:tcPr>
            <w:tcW w:w="1800" w:type="dxa"/>
            <w:vAlign w:val="bottom"/>
          </w:tcPr>
          <w:p>
            <w:pPr>
              <w:jc w:val="center"/>
              <w:spacing w:after="0" w:line="121" w:lineRule="exact"/>
              <w:rPr>
                <w:sz w:val="20"/>
                <w:szCs w:val="20"/>
                <w:color w:val="auto"/>
              </w:rPr>
            </w:pPr>
            <w:r>
              <w:rPr>
                <w:rFonts w:ascii="Arial" w:cs="Arial" w:eastAsia="Arial" w:hAnsi="Arial"/>
                <w:sz w:val="13"/>
                <w:szCs w:val="13"/>
                <w:color w:val="auto"/>
                <w:w w:val="84"/>
              </w:rPr>
              <w:t>Aerospace and Defense</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6.01%</w:t>
            </w:r>
          </w:p>
        </w:tc>
        <w:tc>
          <w:tcPr>
            <w:tcW w:w="132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L+500</w:t>
            </w:r>
          </w:p>
        </w:tc>
        <w:tc>
          <w:tcPr>
            <w:tcW w:w="7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4,434,345</w:t>
            </w: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2,901,001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3,990,910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1.00%)</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TRAK Acquisition Corp.</w:t>
            </w:r>
          </w:p>
        </w:tc>
        <w:tc>
          <w:tcPr>
            <w:tcW w:w="7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9"/>
              </w:rPr>
              <w:t>04/30/2018</w:t>
            </w:r>
          </w:p>
        </w:tc>
        <w:tc>
          <w:tcPr>
            <w:tcW w:w="18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4"/>
              </w:rPr>
              <w:t>Business Services</w:t>
            </w:r>
          </w:p>
        </w:tc>
        <w:tc>
          <w:tcPr>
            <w:tcW w:w="94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rPr>
              <w:t>12.00%</w:t>
            </w:r>
          </w:p>
        </w:tc>
        <w:tc>
          <w:tcPr>
            <w:tcW w:w="132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L+1,050</w:t>
            </w:r>
          </w:p>
        </w:tc>
        <w:tc>
          <w:tcPr>
            <w:tcW w:w="7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w w:val="92"/>
              </w:rPr>
              <w:t>23,014,911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22,834,953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23,014,911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11/22/2016</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L+1,050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7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51,888,674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53,587,321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line="144" w:lineRule="exact"/>
              <w:rPr>
                <w:sz w:val="20"/>
                <w:szCs w:val="20"/>
                <w:color w:val="auto"/>
              </w:rPr>
            </w:pPr>
            <w:r>
              <w:rPr>
                <w:rFonts w:ascii="Arial" w:cs="Arial" w:eastAsia="Arial" w:hAnsi="Arial"/>
                <w:sz w:val="13"/>
                <w:szCs w:val="13"/>
                <w:b w:val="1"/>
                <w:bCs w:val="1"/>
                <w:color w:val="auto"/>
              </w:rPr>
              <w:t>Second Lien Secured Debt—3.5%</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10/31/2018</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8.50%</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18,000,000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16,854,084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12,895,740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12/26/2017</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L+800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9,409,740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9,285,737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9,268,594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7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26,139,821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22,164,334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line="144" w:lineRule="exact"/>
              <w:rPr>
                <w:sz w:val="20"/>
                <w:szCs w:val="20"/>
                <w:color w:val="auto"/>
              </w:rPr>
            </w:pPr>
            <w:r>
              <w:rPr>
                <w:rFonts w:ascii="Arial" w:cs="Arial" w:eastAsia="Arial" w:hAnsi="Arial"/>
                <w:sz w:val="13"/>
                <w:szCs w:val="13"/>
                <w:b w:val="1"/>
                <w:bCs w:val="1"/>
                <w:color w:val="auto"/>
              </w:rPr>
              <w:t>Subordinated Debt/Corporate Notes—11.6%</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(13)</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07/30/2018</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7.50%</w:t>
            </w:r>
          </w:p>
        </w:tc>
        <w:tc>
          <w:tcPr>
            <w:tcW w:w="132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9,858,025</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8,828,676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7,689,260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7.50%)</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11/05/2019</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14,306,057</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12,340,534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3,004,272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New Gulf Resources, LLC, Convertible Note </w:t>
            </w:r>
            <w:r>
              <w:rPr>
                <w:rFonts w:ascii="Arial" w:cs="Arial" w:eastAsia="Arial" w:hAnsi="Arial"/>
                <w:sz w:val="10"/>
                <w:szCs w:val="10"/>
                <w:color w:val="auto"/>
              </w:rPr>
              <w:t>(5)</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05/03/2021</w:t>
            </w:r>
          </w:p>
        </w:tc>
        <w:tc>
          <w:tcPr>
            <w:tcW w:w="1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12.50%</w:t>
            </w:r>
          </w:p>
        </w:tc>
        <w:tc>
          <w:tcPr>
            <w:tcW w:w="132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2"/>
              </w:rPr>
              <w:t>24,531,068</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2"/>
              </w:rPr>
              <w:t>36,287,549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35,079,427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12.50%)</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10/02/2017</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12.50%</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28,000,000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27,805,299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27,862,349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7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85,262,058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73,635,308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Equity—0.8% </w:t>
            </w:r>
            <w:r>
              <w:rPr>
                <w:rFonts w:ascii="Arial" w:cs="Arial" w:eastAsia="Arial" w:hAnsi="Arial"/>
                <w:sz w:val="10"/>
                <w:szCs w:val="10"/>
                <w:b w:val="1"/>
                <w:bCs w:val="1"/>
                <w:color w:val="auto"/>
              </w:rPr>
              <w:t>(6)</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20,059,340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Interests/Warrants—8.6% </w:t>
            </w:r>
            <w:r>
              <w:rPr>
                <w:rFonts w:ascii="Arial" w:cs="Arial" w:eastAsia="Arial" w:hAnsi="Arial"/>
                <w:sz w:val="10"/>
                <w:szCs w:val="10"/>
                <w:b w:val="1"/>
                <w:bCs w:val="1"/>
                <w:color w:val="auto"/>
              </w:rPr>
              <w:t>(6)</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859,496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30,503,493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30,802,205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37,181</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10,265,972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167,317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11,250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1,125,000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1,910,601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(9)</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11,250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104,719</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21,492,822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11/05/2022</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15,486</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143,668</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11,960,702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12,005,894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(11)</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113,610</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16,800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2,721,600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5,597,009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 xml:space="preserve">NGR Management Company LLC </w:t>
            </w:r>
            <w:r>
              <w:rPr>
                <w:rFonts w:ascii="Arial" w:cs="Arial" w:eastAsia="Arial" w:hAnsi="Arial"/>
                <w:sz w:val="10"/>
                <w:szCs w:val="10"/>
                <w:color w:val="auto"/>
              </w:rPr>
              <w:t>(11)</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119,603</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6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202,620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769,289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w:t>
            </w:r>
          </w:p>
        </w:tc>
        <w:tc>
          <w:tcPr>
            <w:tcW w:w="18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491,755</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188,837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3,066,465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6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78,461,046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54,318,780</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tcPr>
          <w:p>
            <w:pPr>
              <w:spacing w:after="0" w:line="129" w:lineRule="exact"/>
              <w:rPr>
                <w:sz w:val="20"/>
                <w:szCs w:val="20"/>
                <w:color w:val="auto"/>
              </w:rPr>
            </w:pPr>
            <w:r>
              <w:rPr>
                <w:rFonts w:ascii="Arial" w:cs="Arial" w:eastAsia="Arial" w:hAnsi="Arial"/>
                <w:sz w:val="13"/>
                <w:szCs w:val="13"/>
                <w:b w:val="1"/>
                <w:bCs w:val="1"/>
                <w:color w:val="auto"/>
                <w:w w:val="91"/>
              </w:rPr>
              <w:t>Total Investments in Non-Controlled, Affiliated Portfolio Companies</w:t>
            </w:r>
          </w:p>
        </w:tc>
        <w:tc>
          <w:tcPr>
            <w:tcW w:w="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261,810,939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208,959,772</w:t>
            </w: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9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Maturity /</w:t>
            </w:r>
          </w:p>
        </w:tc>
        <w:tc>
          <w:tcPr>
            <w:tcW w:w="148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Industry</w:t>
            </w:r>
          </w:p>
        </w:tc>
        <w:tc>
          <w:tcPr>
            <w:tcW w:w="122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Current</w:t>
            </w: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Spread</w:t>
            </w: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1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2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60" w:type="dxa"/>
            <w:vAlign w:val="bottom"/>
            <w:gridSpan w:val="2"/>
          </w:tcPr>
          <w:p>
            <w:pPr>
              <w:jc w:val="center"/>
              <w:ind w:right="320"/>
              <w:spacing w:after="0" w:line="126" w:lineRule="exact"/>
              <w:rPr>
                <w:sz w:val="20"/>
                <w:szCs w:val="20"/>
                <w:color w:val="auto"/>
              </w:rPr>
            </w:pPr>
            <w:r>
              <w:rPr>
                <w:rFonts w:ascii="Arial" w:cs="Arial" w:eastAsia="Arial" w:hAnsi="Arial"/>
                <w:sz w:val="13"/>
                <w:szCs w:val="13"/>
                <w:b w:val="1"/>
                <w:bCs w:val="1"/>
                <w:color w:val="auto"/>
                <w:w w:val="87"/>
              </w:rPr>
              <w:t>Above Index</w:t>
            </w: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48"/>
        </w:trPr>
        <w:tc>
          <w:tcPr>
            <w:tcW w:w="3160" w:type="dxa"/>
            <w:vAlign w:val="bottom"/>
            <w:vMerge w:val="continue"/>
          </w:tcPr>
          <w:p>
            <w:pPr>
              <w:spacing w:after="0"/>
              <w:rPr>
                <w:sz w:val="12"/>
                <w:szCs w:val="12"/>
                <w:color w:val="auto"/>
              </w:rPr>
            </w:pPr>
          </w:p>
        </w:tc>
        <w:tc>
          <w:tcPr>
            <w:tcW w:w="920" w:type="dxa"/>
            <w:vAlign w:val="bottom"/>
          </w:tcPr>
          <w:p>
            <w:pPr>
              <w:ind w:left="60"/>
              <w:spacing w:after="0"/>
              <w:rPr>
                <w:sz w:val="20"/>
                <w:szCs w:val="20"/>
                <w:color w:val="auto"/>
              </w:rPr>
            </w:pPr>
            <w:r>
              <w:rPr>
                <w:rFonts w:ascii="Arial" w:cs="Arial" w:eastAsia="Arial" w:hAnsi="Arial"/>
                <w:sz w:val="13"/>
                <w:szCs w:val="13"/>
                <w:b w:val="1"/>
                <w:bCs w:val="1"/>
                <w:color w:val="auto"/>
              </w:rPr>
              <w:t>Expiration</w:t>
            </w:r>
          </w:p>
        </w:tc>
        <w:tc>
          <w:tcPr>
            <w:tcW w:w="1480" w:type="dxa"/>
            <w:vAlign w:val="bottom"/>
          </w:tcPr>
          <w:p>
            <w:pPr>
              <w:spacing w:after="0"/>
              <w:rPr>
                <w:sz w:val="12"/>
                <w:szCs w:val="12"/>
                <w:color w:val="auto"/>
              </w:rPr>
            </w:pPr>
          </w:p>
        </w:tc>
        <w:tc>
          <w:tcPr>
            <w:tcW w:w="1220" w:type="dxa"/>
            <w:vAlign w:val="bottom"/>
          </w:tcPr>
          <w:p>
            <w:pPr>
              <w:ind w:left="320"/>
              <w:spacing w:after="0"/>
              <w:rPr>
                <w:sz w:val="20"/>
                <w:szCs w:val="20"/>
                <w:color w:val="auto"/>
              </w:rPr>
            </w:pPr>
            <w:r>
              <w:rPr>
                <w:rFonts w:ascii="Arial" w:cs="Arial" w:eastAsia="Arial" w:hAnsi="Arial"/>
                <w:sz w:val="13"/>
                <w:szCs w:val="13"/>
                <w:b w:val="1"/>
                <w:bCs w:val="1"/>
                <w:color w:val="auto"/>
              </w:rPr>
              <w:t>Coupon</w:t>
            </w:r>
          </w:p>
        </w:tc>
        <w:tc>
          <w:tcPr>
            <w:tcW w:w="960" w:type="dxa"/>
            <w:vAlign w:val="bottom"/>
          </w:tcPr>
          <w:p>
            <w:pPr>
              <w:jc w:val="center"/>
              <w:ind w:left="58"/>
              <w:spacing w:after="0"/>
              <w:rPr>
                <w:sz w:val="20"/>
                <w:szCs w:val="20"/>
                <w:color w:val="auto"/>
              </w:rPr>
            </w:pPr>
            <w:r>
              <w:rPr>
                <w:rFonts w:ascii="Arial" w:cs="Arial" w:eastAsia="Arial" w:hAnsi="Arial"/>
                <w:sz w:val="11"/>
                <w:szCs w:val="11"/>
                <w:b w:val="1"/>
                <w:bCs w:val="1"/>
                <w:color w:val="auto"/>
                <w:w w:val="88"/>
              </w:rPr>
              <w:t>(4)</w:t>
            </w:r>
          </w:p>
        </w:tc>
        <w:tc>
          <w:tcPr>
            <w:tcW w:w="400" w:type="dxa"/>
            <w:vAlign w:val="bottom"/>
          </w:tcPr>
          <w:p>
            <w:pPr>
              <w:spacing w:after="0"/>
              <w:rPr>
                <w:sz w:val="12"/>
                <w:szCs w:val="12"/>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 xml:space="preserve">Investments in Controlled, Affiliated Portfolio Companies—19.4% </w:t>
            </w:r>
            <w:r>
              <w:rPr>
                <w:rFonts w:ascii="Arial" w:cs="Arial" w:eastAsia="Arial" w:hAnsi="Arial"/>
                <w:sz w:val="10"/>
                <w:szCs w:val="10"/>
                <w:b w:val="1"/>
                <w:bCs w:val="1"/>
                <w:color w:val="auto"/>
                <w:w w:val="92"/>
              </w:rPr>
              <w:t>(1), (2)</w:t>
            </w:r>
          </w:p>
        </w:tc>
        <w:tc>
          <w:tcPr>
            <w:tcW w:w="14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Debt—14.8%</w:t>
            </w: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w:t>
            </w:r>
          </w:p>
        </w:tc>
        <w:tc>
          <w:tcPr>
            <w:tcW w:w="92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86"/>
              </w:rPr>
              <w:t>07/18/2019</w:t>
            </w:r>
          </w:p>
        </w:tc>
        <w:tc>
          <w:tcPr>
            <w:tcW w:w="148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91"/>
              </w:rPr>
              <w:t>Energy and Utilities</w:t>
            </w:r>
          </w:p>
        </w:tc>
        <w:tc>
          <w:tcPr>
            <w:tcW w:w="12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10.00%</w:t>
            </w:r>
          </w:p>
        </w:tc>
        <w:tc>
          <w:tcPr>
            <w:tcW w:w="1360" w:type="dxa"/>
            <w:vAlign w:val="bottom"/>
            <w:gridSpan w:val="2"/>
            <w:shd w:val="clear" w:color="auto" w:fill="CCEEFF"/>
          </w:tcPr>
          <w:p>
            <w:pPr>
              <w:jc w:val="right"/>
              <w:ind w:right="400"/>
              <w:spacing w:after="0" w:line="121" w:lineRule="exact"/>
              <w:rPr>
                <w:sz w:val="20"/>
                <w:szCs w:val="20"/>
                <w:color w:val="auto"/>
              </w:rPr>
            </w:pPr>
            <w:r>
              <w:rPr>
                <w:rFonts w:ascii="Arial" w:cs="Arial" w:eastAsia="Arial" w:hAnsi="Arial"/>
                <w:sz w:val="13"/>
                <w:szCs w:val="13"/>
                <w:color w:val="auto"/>
              </w:rPr>
              <w:t>L+800</w:t>
            </w:r>
          </w:p>
        </w:tc>
        <w:tc>
          <w:tcPr>
            <w:tcW w:w="9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w w:val="92"/>
              </w:rPr>
              <w:t>82,497,790</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81,464,183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68,060,677</w:t>
            </w:r>
          </w:p>
        </w:tc>
        <w:tc>
          <w:tcPr>
            <w:tcW w:w="0" w:type="dxa"/>
            <w:vAlign w:val="bottom"/>
          </w:tcPr>
          <w:p>
            <w:pPr>
              <w:spacing w:after="0"/>
              <w:rPr>
                <w:sz w:val="1"/>
                <w:szCs w:val="1"/>
                <w:color w:val="auto"/>
              </w:rPr>
            </w:pPr>
          </w:p>
        </w:tc>
      </w:tr>
      <w:tr>
        <w:trPr>
          <w:trHeight w:val="163"/>
        </w:trPr>
        <w:tc>
          <w:tcPr>
            <w:tcW w:w="3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(PIK 10.00%)</w:t>
            </w: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2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6"/>
              </w:rPr>
              <w:t>12/31/2018</w:t>
            </w:r>
          </w:p>
        </w:tc>
        <w:tc>
          <w:tcPr>
            <w:tcW w:w="148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90"/>
              </w:rPr>
              <w:t>Media</w:t>
            </w:r>
          </w:p>
        </w:tc>
        <w:tc>
          <w:tcPr>
            <w:tcW w:w="122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14.00%</w:t>
            </w:r>
          </w:p>
        </w:tc>
        <w:tc>
          <w:tcPr>
            <w:tcW w:w="1360" w:type="dxa"/>
            <w:vAlign w:val="bottom"/>
            <w:gridSpan w:val="2"/>
          </w:tcPr>
          <w:p>
            <w:pPr>
              <w:jc w:val="right"/>
              <w:ind w:right="400"/>
              <w:spacing w:after="0" w:line="121" w:lineRule="exact"/>
              <w:rPr>
                <w:sz w:val="20"/>
                <w:szCs w:val="20"/>
                <w:color w:val="auto"/>
              </w:rPr>
            </w:pPr>
            <w:r>
              <w:rPr>
                <w:rFonts w:ascii="Arial" w:cs="Arial" w:eastAsia="Arial" w:hAnsi="Arial"/>
                <w:sz w:val="13"/>
                <w:szCs w:val="13"/>
                <w:color w:val="auto"/>
              </w:rPr>
              <w:t>L+1,300</w:t>
            </w:r>
          </w:p>
        </w:tc>
        <w:tc>
          <w:tcPr>
            <w:tcW w:w="96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w w:val="92"/>
              </w:rPr>
              <w:t>25,600,396</w:t>
            </w:r>
          </w:p>
        </w:tc>
        <w:tc>
          <w:tcPr>
            <w:tcW w:w="80" w:type="dxa"/>
            <w:vAlign w:val="bottom"/>
          </w:tcPr>
          <w:p>
            <w:pPr>
              <w:spacing w:after="0"/>
              <w:rPr>
                <w:sz w:val="10"/>
                <w:szCs w:val="10"/>
                <w:color w:val="auto"/>
              </w:rPr>
            </w:pPr>
          </w:p>
        </w:tc>
        <w:tc>
          <w:tcPr>
            <w:tcW w:w="106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23,803,645</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25,600,396</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ind w:left="320"/>
              <w:spacing w:after="0"/>
              <w:rPr>
                <w:sz w:val="20"/>
                <w:szCs w:val="20"/>
                <w:color w:val="auto"/>
              </w:rPr>
            </w:pPr>
            <w:r>
              <w:rPr>
                <w:rFonts w:ascii="Arial" w:cs="Arial" w:eastAsia="Arial" w:hAnsi="Arial"/>
                <w:sz w:val="13"/>
                <w:szCs w:val="13"/>
                <w:color w:val="auto"/>
              </w:rPr>
              <w:t>(PIK 14.00%)</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6"/>
              </w:rPr>
              <w:t>105,267,828</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93,661,073</w:t>
            </w: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Debt—1.3%</w:t>
            </w: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2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86"/>
              </w:rPr>
              <w:t>07/01/2019</w:t>
            </w:r>
          </w:p>
        </w:tc>
        <w:tc>
          <w:tcPr>
            <w:tcW w:w="1480" w:type="dxa"/>
            <w:vAlign w:val="bottom"/>
            <w:shd w:val="clear" w:color="auto" w:fill="CCEEFF"/>
          </w:tcPr>
          <w:p>
            <w:pPr>
              <w:jc w:val="center"/>
              <w:ind w:right="97"/>
              <w:spacing w:after="0" w:line="121" w:lineRule="exact"/>
              <w:rPr>
                <w:sz w:val="20"/>
                <w:szCs w:val="20"/>
                <w:color w:val="auto"/>
              </w:rPr>
            </w:pPr>
            <w:r>
              <w:rPr>
                <w:rFonts w:ascii="Arial" w:cs="Arial" w:eastAsia="Arial" w:hAnsi="Arial"/>
                <w:sz w:val="13"/>
                <w:szCs w:val="13"/>
                <w:color w:val="auto"/>
                <w:w w:val="90"/>
              </w:rPr>
              <w:t>Media</w:t>
            </w:r>
          </w:p>
        </w:tc>
        <w:tc>
          <w:tcPr>
            <w:tcW w:w="12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16.00%</w:t>
            </w:r>
          </w:p>
        </w:tc>
        <w:tc>
          <w:tcPr>
            <w:tcW w:w="1360" w:type="dxa"/>
            <w:vAlign w:val="bottom"/>
            <w:gridSpan w:val="2"/>
            <w:shd w:val="clear" w:color="auto" w:fill="CCEEFF"/>
          </w:tcPr>
          <w:p>
            <w:pPr>
              <w:jc w:val="right"/>
              <w:ind w:right="400"/>
              <w:spacing w:after="0" w:line="121" w:lineRule="exact"/>
              <w:rPr>
                <w:sz w:val="20"/>
                <w:szCs w:val="20"/>
                <w:color w:val="auto"/>
              </w:rPr>
            </w:pPr>
            <w:r>
              <w:rPr>
                <w:rFonts w:ascii="Arial" w:cs="Arial" w:eastAsia="Arial" w:hAnsi="Arial"/>
                <w:sz w:val="13"/>
                <w:szCs w:val="13"/>
                <w:color w:val="auto"/>
              </w:rPr>
              <w:t>L+1,500</w:t>
            </w:r>
          </w:p>
        </w:tc>
        <w:tc>
          <w:tcPr>
            <w:tcW w:w="9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8,335,006</w:t>
            </w:r>
          </w:p>
        </w:tc>
        <w:tc>
          <w:tcPr>
            <w:tcW w:w="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8,335,006</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8,335,006</w:t>
            </w:r>
          </w:p>
        </w:tc>
        <w:tc>
          <w:tcPr>
            <w:tcW w:w="0" w:type="dxa"/>
            <w:vAlign w:val="bottom"/>
          </w:tcPr>
          <w:p>
            <w:pPr>
              <w:spacing w:after="0"/>
              <w:rPr>
                <w:sz w:val="1"/>
                <w:szCs w:val="1"/>
                <w:color w:val="auto"/>
              </w:rPr>
            </w:pPr>
          </w:p>
        </w:tc>
      </w:tr>
      <w:tr>
        <w:trPr>
          <w:trHeight w:val="163"/>
        </w:trPr>
        <w:tc>
          <w:tcPr>
            <w:tcW w:w="3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(PIK 16.00%)</w:t>
            </w: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Equity—2.3% </w:t>
            </w:r>
            <w:r>
              <w:rPr>
                <w:rFonts w:ascii="Arial" w:cs="Arial" w:eastAsia="Arial" w:hAnsi="Arial"/>
                <w:sz w:val="10"/>
                <w:szCs w:val="10"/>
                <w:b w:val="1"/>
                <w:bCs w:val="1"/>
                <w:color w:val="auto"/>
              </w:rPr>
              <w:t>(6)</w:t>
            </w: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5"/>
              </w:rPr>
              <w:t>Distribution</w:t>
            </w:r>
          </w:p>
        </w:tc>
        <w:tc>
          <w:tcPr>
            <w:tcW w:w="12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143,183</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14,318,325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14,318,325</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0"/>
              </w:rPr>
              <w:t>Media</w:t>
            </w:r>
          </w:p>
        </w:tc>
        <w:tc>
          <w:tcPr>
            <w:tcW w:w="12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15.00%</w:t>
            </w:r>
          </w:p>
        </w:tc>
        <w:tc>
          <w:tcPr>
            <w:tcW w:w="136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37,046</w:t>
            </w: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5,000,000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98,514</w:t>
            </w:r>
          </w:p>
        </w:tc>
        <w:tc>
          <w:tcPr>
            <w:tcW w:w="0" w:type="dxa"/>
            <w:vAlign w:val="bottom"/>
          </w:tcPr>
          <w:p>
            <w:pPr>
              <w:spacing w:after="0"/>
              <w:rPr>
                <w:sz w:val="1"/>
                <w:szCs w:val="1"/>
                <w:color w:val="auto"/>
              </w:rPr>
            </w:pPr>
          </w:p>
        </w:tc>
      </w:tr>
      <w:tr>
        <w:trPr>
          <w:trHeight w:val="128"/>
        </w:trPr>
        <w:tc>
          <w:tcPr>
            <w:tcW w:w="3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Preferred Equity</w:t>
            </w:r>
          </w:p>
        </w:tc>
        <w:tc>
          <w:tcPr>
            <w:tcW w:w="92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19,318,325</w:t>
            </w: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14,416,839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Equity—1.0% </w:t>
            </w:r>
            <w:r>
              <w:rPr>
                <w:rFonts w:ascii="Arial" w:cs="Arial" w:eastAsia="Arial" w:hAnsi="Arial"/>
                <w:sz w:val="10"/>
                <w:szCs w:val="10"/>
                <w:b w:val="1"/>
                <w:bCs w:val="1"/>
                <w:color w:val="auto"/>
              </w:rPr>
              <w:t>(6)</w:t>
            </w: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5"/>
              </w:rPr>
              <w:t>Distribution</w:t>
            </w:r>
          </w:p>
        </w:tc>
        <w:tc>
          <w:tcPr>
            <w:tcW w:w="12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65,933</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24,761,831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6,593,299</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1"/>
              </w:rPr>
              <w:t>Energy and Utilities</w:t>
            </w:r>
          </w:p>
        </w:tc>
        <w:tc>
          <w:tcPr>
            <w:tcW w:w="12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23,141</w:t>
            </w: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20,824,388</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148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90"/>
              </w:rPr>
              <w:t>Media</w:t>
            </w:r>
          </w:p>
        </w:tc>
        <w:tc>
          <w:tcPr>
            <w:tcW w:w="12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11,100</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2,211,000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6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w:t>
            </w: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47,797,219</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6,593,299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1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6"/>
              </w:rPr>
              <w:t>180,718,378</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123,006,217</w:t>
            </w:r>
          </w:p>
        </w:tc>
        <w:tc>
          <w:tcPr>
            <w:tcW w:w="0" w:type="dxa"/>
            <w:vAlign w:val="bottom"/>
          </w:tcPr>
          <w:p>
            <w:pPr>
              <w:spacing w:after="0"/>
              <w:rPr>
                <w:sz w:val="1"/>
                <w:szCs w:val="1"/>
                <w:color w:val="auto"/>
              </w:rPr>
            </w:pPr>
          </w:p>
        </w:tc>
      </w:tr>
      <w:tr>
        <w:trPr>
          <w:trHeight w:val="149"/>
        </w:trPr>
        <w:tc>
          <w:tcPr>
            <w:tcW w:w="316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Investments—194.6%</w:t>
            </w: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1,359,462,702</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1,236,581,091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Equivalents—5.9%</w:t>
            </w:r>
          </w:p>
        </w:tc>
        <w:tc>
          <w:tcPr>
            <w:tcW w:w="9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w w:val="91"/>
              </w:rPr>
              <w:t>BlackRock Liquidity Funds, Temp Cash, Institutional Shares</w:t>
            </w: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4,007,434</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4,007,434</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34,098,981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33,865,420</w:t>
            </w:r>
          </w:p>
        </w:tc>
        <w:tc>
          <w:tcPr>
            <w:tcW w:w="0" w:type="dxa"/>
            <w:vAlign w:val="bottom"/>
          </w:tcPr>
          <w:p>
            <w:pPr>
              <w:spacing w:after="0"/>
              <w:rPr>
                <w:sz w:val="1"/>
                <w:szCs w:val="1"/>
                <w:color w:val="auto"/>
              </w:rPr>
            </w:pPr>
          </w:p>
        </w:tc>
      </w:tr>
      <w:tr>
        <w:trPr>
          <w:trHeight w:val="149"/>
        </w:trPr>
        <w:tc>
          <w:tcPr>
            <w:tcW w:w="316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38,106,415</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37,872,854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Equivalents—200.5%</w:t>
            </w:r>
          </w:p>
        </w:tc>
        <w:tc>
          <w:tcPr>
            <w:tcW w:w="9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84"/>
              </w:rPr>
              <w:t>1,397,569,117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1,274,453,945</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Assets—(100.5%)</w:t>
            </w: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(638,899,433)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635,554,512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6" w:lineRule="exact"/>
        <w:rPr>
          <w:sz w:val="20"/>
          <w:szCs w:val="20"/>
          <w:color w:val="auto"/>
        </w:rPr>
      </w:pPr>
    </w:p>
    <w:p>
      <w:pPr>
        <w:ind w:left="340" w:right="40" w:hanging="332"/>
        <w:spacing w:after="0" w:line="24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2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40" w:right="40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 to the financial statements).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60" w:hanging="332"/>
        <w:spacing w:after="0" w:line="23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00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Maturity /</w:t>
            </w: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920" w:type="dxa"/>
            <w:vAlign w:val="bottom"/>
          </w:tcPr>
          <w:p>
            <w:pPr>
              <w:ind w:left="140"/>
              <w:spacing w:after="0" w:line="126" w:lineRule="exact"/>
              <w:rPr>
                <w:sz w:val="20"/>
                <w:szCs w:val="20"/>
                <w:color w:val="auto"/>
              </w:rPr>
            </w:pPr>
            <w:r>
              <w:rPr>
                <w:rFonts w:ascii="Arial" w:cs="Arial" w:eastAsia="Arial" w:hAnsi="Arial"/>
                <w:sz w:val="13"/>
                <w:szCs w:val="13"/>
                <w:b w:val="1"/>
                <w:bCs w:val="1"/>
                <w:color w:val="auto"/>
              </w:rPr>
              <w:t>Current</w:t>
            </w:r>
          </w:p>
        </w:tc>
        <w:tc>
          <w:tcPr>
            <w:tcW w:w="92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000" w:type="dxa"/>
            <w:vAlign w:val="bottom"/>
          </w:tcPr>
          <w:p>
            <w:pPr>
              <w:ind w:left="340"/>
              <w:spacing w:after="0"/>
              <w:rPr>
                <w:sz w:val="20"/>
                <w:szCs w:val="20"/>
                <w:color w:val="auto"/>
              </w:rPr>
            </w:pPr>
            <w:r>
              <w:rPr>
                <w:rFonts w:ascii="Arial" w:cs="Arial" w:eastAsia="Arial" w:hAnsi="Arial"/>
                <w:sz w:val="13"/>
                <w:szCs w:val="13"/>
                <w:b w:val="1"/>
                <w:bCs w:val="1"/>
                <w:color w:val="auto"/>
              </w:rPr>
              <w:t>Expiration</w:t>
            </w:r>
          </w:p>
        </w:tc>
        <w:tc>
          <w:tcPr>
            <w:tcW w:w="28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Coupon</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(3)</w:t>
            </w:r>
          </w:p>
        </w:tc>
        <w:tc>
          <w:tcPr>
            <w:tcW w:w="0" w:type="dxa"/>
            <w:vAlign w:val="bottom"/>
          </w:tcPr>
          <w:p>
            <w:pPr>
              <w:spacing w:after="0"/>
              <w:rPr>
                <w:sz w:val="1"/>
                <w:szCs w:val="1"/>
                <w:color w:val="auto"/>
              </w:rPr>
            </w:pPr>
          </w:p>
        </w:tc>
      </w:tr>
      <w:tr>
        <w:trPr>
          <w:trHeight w:val="142"/>
        </w:trPr>
        <w:tc>
          <w:tcPr>
            <w:tcW w:w="69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Companies—153.0% </w:t>
            </w:r>
            <w:r>
              <w:rPr>
                <w:rFonts w:ascii="Arial" w:cs="Arial" w:eastAsia="Arial" w:hAnsi="Arial"/>
                <w:sz w:val="10"/>
                <w:szCs w:val="10"/>
                <w:b w:val="1"/>
                <w:bCs w:val="1"/>
                <w:color w:val="auto"/>
              </w:rPr>
              <w:t>(1), (2)</w:t>
            </w:r>
          </w:p>
        </w:tc>
        <w:tc>
          <w:tcPr>
            <w:tcW w:w="9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Debt—39.1%</w:t>
            </w:r>
          </w:p>
        </w:tc>
        <w:tc>
          <w:tcPr>
            <w:tcW w:w="10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03/21/2018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11.25%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22,689,469</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$ 22,109,951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  23,483,601</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04/02/2018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11.97%</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44,459,443</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43,751,988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45,126,826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04/02/2018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4,371,469</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65,620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12/21/2020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9.25%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23,573,292</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23,268,725</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23,180,325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10/21/2020</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4,477,500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4,418,746</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06/30/2020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25,500,000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25,254,194</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25,500,000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08/19/2019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21,644,154</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21,333,439</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20,091,220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10/31/2017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9.63%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5,626,850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5,626,850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5,007,897</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12/16/2019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Mining, Steel, Iron and Non-Precious Metals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11.50%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14,250,000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14,137,010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11,970,000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06/18/2019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L+750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13,435,343</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13,339,249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13,407,176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04/21/2017</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L+750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19,704,329</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19,043,541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17,733,896</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09/28/2018</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19,947,600</w:t>
            </w:r>
          </w:p>
        </w:tc>
        <w:tc>
          <w:tcPr>
            <w:tcW w:w="8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30,053,647</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29,873,876</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(PIK 0.50%)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00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w w:val="98"/>
              </w:rPr>
              <w:t>02/12/2020</w:t>
            </w:r>
          </w:p>
        </w:tc>
        <w:tc>
          <w:tcPr>
            <w:tcW w:w="2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Buildings and Real Estate</w:t>
            </w:r>
          </w:p>
        </w:tc>
        <w:tc>
          <w:tcPr>
            <w:tcW w:w="92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11.08%</w:t>
            </w:r>
          </w:p>
        </w:tc>
        <w:tc>
          <w:tcPr>
            <w:tcW w:w="9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24,386,987</w:t>
            </w:r>
          </w:p>
        </w:tc>
        <w:tc>
          <w:tcPr>
            <w:tcW w:w="8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38,764,474</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36,411,706</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US Med Acquisition,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08/13/2021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8,739,063</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8,739,063</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8,739,062</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05/02/2019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L+1,150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15,297,762</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15,036,838</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15,308,835</w:t>
            </w:r>
          </w:p>
        </w:tc>
        <w:tc>
          <w:tcPr>
            <w:tcW w:w="0" w:type="dxa"/>
            <w:vAlign w:val="bottom"/>
          </w:tcPr>
          <w:p>
            <w:pPr>
              <w:spacing w:after="0"/>
              <w:rPr>
                <w:sz w:val="1"/>
                <w:szCs w:val="1"/>
                <w:color w:val="auto"/>
              </w:rPr>
            </w:pPr>
          </w:p>
        </w:tc>
      </w:tr>
      <w:tr>
        <w:trPr>
          <w:trHeight w:val="149"/>
        </w:trPr>
        <w:tc>
          <w:tcPr>
            <w:tcW w:w="314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284,877,715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280,377,540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Debt—83.7%</w:t>
            </w:r>
          </w:p>
        </w:tc>
        <w:tc>
          <w:tcPr>
            <w:tcW w:w="10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10/31/2018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8.50%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L+700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18,000,000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16,544,788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16,076,340</w:t>
            </w:r>
          </w:p>
        </w:tc>
        <w:tc>
          <w:tcPr>
            <w:tcW w:w="0" w:type="dxa"/>
            <w:vAlign w:val="bottom"/>
          </w:tcPr>
          <w:p>
            <w:pPr>
              <w:spacing w:after="0"/>
              <w:rPr>
                <w:sz w:val="1"/>
                <w:szCs w:val="1"/>
                <w:color w:val="auto"/>
              </w:rPr>
            </w:pPr>
          </w:p>
        </w:tc>
      </w:tr>
      <w:tr>
        <w:trPr>
          <w:trHeight w:val="121"/>
        </w:trPr>
        <w:tc>
          <w:tcPr>
            <w:tcW w:w="3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00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w w:val="98"/>
              </w:rPr>
              <w:t>09/01/2017</w:t>
            </w:r>
          </w:p>
        </w:tc>
        <w:tc>
          <w:tcPr>
            <w:tcW w:w="2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 Precious Metals and</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2"/>
              </w:rPr>
              <w:t>25,400,000</w:t>
            </w:r>
          </w:p>
        </w:tc>
        <w:tc>
          <w:tcPr>
            <w:tcW w:w="8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25,400,000</w:t>
            </w:r>
          </w:p>
        </w:tc>
        <w:tc>
          <w:tcPr>
            <w:tcW w:w="88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24,130,000</w:t>
            </w: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Minerals</w:t>
            </w:r>
          </w:p>
        </w:tc>
        <w:tc>
          <w:tcPr>
            <w:tcW w:w="9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12/02/2020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15,500,000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15,322,421</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15,441,875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03/04/2022</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19,000,000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18,721,641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18,810,000</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Bennu Oil &amp; Gas, LLC</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11/01/2018</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12.25%</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L+1,100</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26,484,773</w:t>
            </w:r>
          </w:p>
        </w:tc>
        <w:tc>
          <w:tcPr>
            <w:tcW w:w="8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25,150,663</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20,393,275</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(PIK 2.50%)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Foundation Building Materials, LLC</w:t>
            </w:r>
          </w:p>
        </w:tc>
        <w:tc>
          <w:tcPr>
            <w:tcW w:w="100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w w:val="98"/>
              </w:rPr>
              <w:t>04/30/2019</w:t>
            </w:r>
          </w:p>
        </w:tc>
        <w:tc>
          <w:tcPr>
            <w:tcW w:w="2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1"/>
              </w:rPr>
              <w:t>Building Materials</w:t>
            </w:r>
          </w:p>
        </w:tc>
        <w:tc>
          <w:tcPr>
            <w:tcW w:w="92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13.25%</w:t>
            </w:r>
          </w:p>
        </w:tc>
        <w:tc>
          <w:tcPr>
            <w:tcW w:w="9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P+1,000</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45,000,000</w:t>
            </w:r>
          </w:p>
        </w:tc>
        <w:tc>
          <w:tcPr>
            <w:tcW w:w="8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44,625,152</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45,900,000</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04/30/2019</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14.25%</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P+1,100</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33,109,864</w:t>
            </w:r>
          </w:p>
        </w:tc>
        <w:tc>
          <w:tcPr>
            <w:tcW w:w="8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32,588,028</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33,772,061</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(PIK 1.00%)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Howard Berger Co. LLC</w:t>
            </w:r>
          </w:p>
        </w:tc>
        <w:tc>
          <w:tcPr>
            <w:tcW w:w="100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w w:val="98"/>
              </w:rPr>
              <w:t>09/30/2020</w:t>
            </w:r>
          </w:p>
        </w:tc>
        <w:tc>
          <w:tcPr>
            <w:tcW w:w="2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5"/>
              </w:rPr>
              <w:t>Distribution</w:t>
            </w:r>
          </w:p>
        </w:tc>
        <w:tc>
          <w:tcPr>
            <w:tcW w:w="92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11.00%</w:t>
            </w:r>
          </w:p>
        </w:tc>
        <w:tc>
          <w:tcPr>
            <w:tcW w:w="9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41,250,000</w:t>
            </w:r>
          </w:p>
        </w:tc>
        <w:tc>
          <w:tcPr>
            <w:tcW w:w="8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39,088,044</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40,012,500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03/01/2017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4,391,420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4,391,422</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1,229,598</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07/31/2019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34,000,000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33,476,169</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34,340,000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10/29/2019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L+1,175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48,765,129</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48,307,757</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48,765,129</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07/07/2022</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10.75%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40,312,500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39,711,804</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40,211,719</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10/31/2017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11,875,000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11,667,848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9,143,751</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05/15/2019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45,000,000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44,698,345</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07/07/2021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11.75%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41,250,000</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40,883,259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12/17/2021</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L+1,200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75,000,000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75,000,000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75,586,475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10/02/2020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5"/>
              </w:rPr>
              <w:t>Media</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L+775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19,698,091</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19,478,649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19,615,950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07/01/2020</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10.25%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56,750,000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56,098,358</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56,608,125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Prime Security Services Borrower,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07/01/2022</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9.75%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28,500,000</w:t>
            </w: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28,082,664</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28,001,250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0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4"/>
              </w:rPr>
              <w:t>619,237,012</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599,963,048</w:t>
            </w: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Notes—20.7%</w:t>
            </w:r>
          </w:p>
        </w:tc>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09/14/2018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41,389,881</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37,715,391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15,728,155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Affinion Investments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08/15/2018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21,625,412</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18,687,177</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14,489,026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02/15/2019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8,930,000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8,819,557</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8,872,566</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Cascade LP Holdings,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08/20/2021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27,475,553</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26,893,410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26,926,042</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02/20/2017</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11,124,447</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27,811</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10/26/2018</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10,800,349</w:t>
            </w:r>
          </w:p>
        </w:tc>
        <w:tc>
          <w:tcPr>
            <w:tcW w:w="8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10,664,093</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10,628,485</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(PIK 1.75%)</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MSPark, Inc.</w:t>
            </w:r>
          </w:p>
        </w:tc>
        <w:tc>
          <w:tcPr>
            <w:tcW w:w="100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w w:val="98"/>
              </w:rPr>
              <w:t>06/15/2017</w:t>
            </w:r>
          </w:p>
        </w:tc>
        <w:tc>
          <w:tcPr>
            <w:tcW w:w="2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Printing and Publishing</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9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2"/>
              </w:rPr>
              <w:t>15,000,000</w:t>
            </w:r>
          </w:p>
        </w:tc>
        <w:tc>
          <w:tcPr>
            <w:tcW w:w="8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14,836,009</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11/15/2019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15,204,289</w:t>
            </w:r>
          </w:p>
        </w:tc>
        <w:tc>
          <w:tcPr>
            <w:tcW w:w="8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14,829,719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1,520,429</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04/15/2019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42,275,000</w:t>
            </w:r>
          </w:p>
        </w:tc>
        <w:tc>
          <w:tcPr>
            <w:tcW w:w="8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41,618,180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41,892,583</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05/13/2021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13,300,000</w:t>
            </w: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13,057,260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13,167,000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0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4"/>
              </w:rPr>
              <w:t>187,120,796</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148,252,097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w w:val="90"/>
              </w:rPr>
              <w:t>Basis Point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98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Maturity /</w:t>
            </w:r>
          </w:p>
        </w:tc>
        <w:tc>
          <w:tcPr>
            <w:tcW w:w="2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Spread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780" w:type="dxa"/>
            <w:vAlign w:val="bottom"/>
          </w:tcPr>
          <w:p>
            <w:pPr>
              <w:jc w:val="right"/>
              <w:ind w:right="117"/>
              <w:spacing w:after="0" w:line="126" w:lineRule="exact"/>
              <w:rPr>
                <w:sz w:val="20"/>
                <w:szCs w:val="20"/>
                <w:color w:val="auto"/>
              </w:rPr>
            </w:pPr>
            <w:r>
              <w:rPr>
                <w:rFonts w:ascii="Arial" w:cs="Arial" w:eastAsia="Arial" w:hAnsi="Arial"/>
                <w:sz w:val="13"/>
                <w:szCs w:val="13"/>
                <w:b w:val="1"/>
                <w:bCs w:val="1"/>
                <w:color w:val="auto"/>
              </w:rPr>
              <w:t>Current</w:t>
            </w:r>
          </w:p>
        </w:tc>
        <w:tc>
          <w:tcPr>
            <w:tcW w:w="800" w:type="dxa"/>
            <w:vAlign w:val="bottom"/>
          </w:tcPr>
          <w:p>
            <w:pPr>
              <w:jc w:val="center"/>
              <w:ind w:right="37"/>
              <w:spacing w:after="0" w:line="126"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tcPr>
          <w:p>
            <w:pPr>
              <w:jc w:val="right"/>
              <w:ind w:right="197"/>
              <w:spacing w:after="0" w:line="126"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tcPr>
          <w:p>
            <w:pPr>
              <w:ind w:left="240"/>
              <w:spacing w:after="0"/>
              <w:rPr>
                <w:sz w:val="20"/>
                <w:szCs w:val="20"/>
                <w:color w:val="auto"/>
              </w:rPr>
            </w:pPr>
            <w:r>
              <w:rPr>
                <w:rFonts w:ascii="Arial" w:cs="Arial" w:eastAsia="Arial" w:hAnsi="Arial"/>
                <w:sz w:val="13"/>
                <w:szCs w:val="13"/>
                <w:b w:val="1"/>
                <w:bCs w:val="1"/>
                <w:color w:val="auto"/>
              </w:rPr>
              <w:t>Expiration</w:t>
            </w:r>
          </w:p>
        </w:tc>
        <w:tc>
          <w:tcPr>
            <w:tcW w:w="25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780" w:type="dxa"/>
            <w:vAlign w:val="bottom"/>
          </w:tcPr>
          <w:p>
            <w:pPr>
              <w:jc w:val="right"/>
              <w:ind w:right="117"/>
              <w:spacing w:after="0"/>
              <w:rPr>
                <w:sz w:val="20"/>
                <w:szCs w:val="20"/>
                <w:color w:val="auto"/>
              </w:rPr>
            </w:pPr>
            <w:r>
              <w:rPr>
                <w:rFonts w:ascii="Arial" w:cs="Arial" w:eastAsia="Arial" w:hAnsi="Arial"/>
                <w:sz w:val="13"/>
                <w:szCs w:val="13"/>
                <w:b w:val="1"/>
                <w:bCs w:val="1"/>
                <w:color w:val="auto"/>
              </w:rPr>
              <w:t>Coupon</w:t>
            </w: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3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Interests—1.8% </w:t>
            </w:r>
            <w:r>
              <w:rPr>
                <w:rFonts w:ascii="Arial" w:cs="Arial" w:eastAsia="Arial" w:hAnsi="Arial"/>
                <w:sz w:val="10"/>
                <w:szCs w:val="10"/>
                <w:b w:val="1"/>
                <w:bCs w:val="1"/>
                <w:color w:val="auto"/>
              </w:rPr>
              <w:t>(6)</w:t>
            </w:r>
          </w:p>
        </w:tc>
        <w:tc>
          <w:tcPr>
            <w:tcW w:w="980" w:type="dxa"/>
            <w:vAlign w:val="bottom"/>
            <w:tcBorders>
              <w:top w:val="single" w:sz="8" w:color="auto"/>
            </w:tcBorders>
            <w:shd w:val="clear" w:color="auto" w:fill="CCEEFF"/>
          </w:tcPr>
          <w:p>
            <w:pPr>
              <w:spacing w:after="0"/>
              <w:rPr>
                <w:sz w:val="11"/>
                <w:szCs w:val="11"/>
                <w:color w:val="auto"/>
              </w:rPr>
            </w:pPr>
          </w:p>
        </w:tc>
        <w:tc>
          <w:tcPr>
            <w:tcW w:w="25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w:t>
            </w:r>
          </w:p>
        </w:tc>
        <w:tc>
          <w:tcPr>
            <w:tcW w:w="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355,508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949,050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995,487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2,088,121</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2,222,223</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7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3,591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3,397,484</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3,871,624</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1,197,000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1,295,710</w:t>
            </w:r>
          </w:p>
        </w:tc>
        <w:tc>
          <w:tcPr>
            <w:tcW w:w="0" w:type="dxa"/>
            <w:vAlign w:val="bottom"/>
          </w:tcPr>
          <w:p>
            <w:pPr>
              <w:spacing w:after="0"/>
              <w:rPr>
                <w:sz w:val="1"/>
                <w:szCs w:val="1"/>
                <w:color w:val="auto"/>
              </w:rPr>
            </w:pPr>
          </w:p>
        </w:tc>
      </w:tr>
      <w:tr>
        <w:trPr>
          <w:trHeight w:val="142"/>
        </w:trPr>
        <w:tc>
          <w:tcPr>
            <w:tcW w:w="3440" w:type="dxa"/>
            <w:vAlign w:val="bottom"/>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1,966,667</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2,102,669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4,275,107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98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10,234,324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13,039,836</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Arial" w:cs="Arial" w:eastAsia="Arial" w:hAnsi="Arial"/>
                <w:sz w:val="13"/>
                <w:szCs w:val="13"/>
                <w:b w:val="1"/>
                <w:bCs w:val="1"/>
                <w:color w:val="auto"/>
                <w:w w:val="97"/>
              </w:rPr>
              <w:t xml:space="preserve">Common Equity/Partnership Interests/Warrants—7.7% </w:t>
            </w:r>
            <w:r>
              <w:rPr>
                <w:rFonts w:ascii="Arial" w:cs="Arial" w:eastAsia="Arial" w:hAnsi="Arial"/>
                <w:sz w:val="10"/>
                <w:szCs w:val="10"/>
                <w:b w:val="1"/>
                <w:bCs w:val="1"/>
                <w:color w:val="auto"/>
                <w:w w:val="97"/>
              </w:rPr>
              <w:t>(6)</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1,736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445,500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2,528,247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12/12/2023</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4,798,624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10,265,972</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2,519,278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12/12/2023</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9,822,196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03/23/2021</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05/05/2026</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586,975</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820,067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1,333,330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3,000,000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137,923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2,111,588</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23,600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2,360,000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3,473,308</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207,242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2,250,000</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8,223,485</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980" w:type="dxa"/>
            <w:vAlign w:val="bottom"/>
            <w:shd w:val="clear" w:color="auto" w:fill="CCEEFF"/>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103,621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9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1,745,639</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2,040,629</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999,889</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Faraday Holdings, LLC</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3,520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171,601</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196,748</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(Interior Specialists, Inc.)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388,378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2,500,113</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2,516</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1,833,357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LLC, Class A</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1,236,832</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6,701,684</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Kadmon Holdings, LLC, Class D</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383,447</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383,447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761,955</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04/16/2016</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122,192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182,498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4,813,759</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(Pre-Paid Legal Services, Inc.)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05/09/2024</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495,000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11/27/2023</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123,129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238,049</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1,620,378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901,263</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1,141,900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142,300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1,351,202</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1,870,331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148,998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148,998</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133,000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612,550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9,882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11,314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21,481</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211,797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793,873</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3,570,645</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35,526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4,050,000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7,597,191</w:t>
            </w:r>
          </w:p>
        </w:tc>
        <w:tc>
          <w:tcPr>
            <w:tcW w:w="0" w:type="dxa"/>
            <w:vAlign w:val="bottom"/>
          </w:tcPr>
          <w:p>
            <w:pPr>
              <w:spacing w:after="0"/>
              <w:rPr>
                <w:sz w:val="1"/>
                <w:szCs w:val="1"/>
                <w:color w:val="auto"/>
              </w:rPr>
            </w:pPr>
          </w:p>
        </w:tc>
      </w:tr>
      <w:tr>
        <w:trPr>
          <w:trHeight w:val="149"/>
        </w:trPr>
        <w:tc>
          <w:tcPr>
            <w:tcW w:w="344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36,686,122</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55,086,558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8"/>
              </w:rPr>
              <w:t>Total Investments in Non-Controlled, Non-Affiliated Portfolio Companies</w:t>
            </w: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4"/>
              </w:rPr>
              <w:t>1,138,155,969</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6"/>
              </w:rPr>
              <w:t>1,096,719,079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9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Maturity /</w:t>
            </w: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60"/>
              <w:spacing w:after="0" w:line="126"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5"/>
              </w:rPr>
              <w:t>Above</w:t>
            </w: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20" w:type="dxa"/>
            <w:vAlign w:val="bottom"/>
          </w:tcPr>
          <w:p>
            <w:pPr>
              <w:ind w:left="80"/>
              <w:spacing w:after="0"/>
              <w:rPr>
                <w:sz w:val="20"/>
                <w:szCs w:val="20"/>
                <w:color w:val="auto"/>
              </w:rPr>
            </w:pPr>
            <w:r>
              <w:rPr>
                <w:rFonts w:ascii="Arial" w:cs="Arial" w:eastAsia="Arial" w:hAnsi="Arial"/>
                <w:sz w:val="13"/>
                <w:szCs w:val="13"/>
                <w:b w:val="1"/>
                <w:bCs w:val="1"/>
                <w:color w:val="auto"/>
              </w:rPr>
              <w:t>Expiration</w:t>
            </w:r>
          </w:p>
        </w:tc>
        <w:tc>
          <w:tcPr>
            <w:tcW w:w="2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Industry</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4"/>
                <w:szCs w:val="1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44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Non-Controlled, Affiliated Portfolio Companies—13.3% </w:t>
            </w:r>
            <w:r>
              <w:rPr>
                <w:rFonts w:ascii="Arial" w:cs="Arial" w:eastAsia="Arial" w:hAnsi="Arial"/>
                <w:sz w:val="10"/>
                <w:szCs w:val="10"/>
                <w:b w:val="1"/>
                <w:bCs w:val="1"/>
                <w:color w:val="auto"/>
                <w:w w:val="93"/>
              </w:rPr>
              <w:t>(1), (2)</w:t>
            </w:r>
          </w:p>
        </w:tc>
        <w:tc>
          <w:tcPr>
            <w:tcW w:w="2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Debt—3.2%</w:t>
            </w:r>
          </w:p>
        </w:tc>
        <w:tc>
          <w:tcPr>
            <w:tcW w:w="9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86"/>
              </w:rPr>
              <w:t>04/30/2018</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L+1,050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2"/>
              </w:rPr>
              <w:t>23,514,911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23,285,423</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23,044,613</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Debt—1.3%</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86"/>
              </w:rPr>
              <w:t>12/26/2017</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L+800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9,409,740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9,237,014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EnviroSolutions Real Property Holdings, Inc. </w:t>
            </w:r>
            <w:r>
              <w:rPr>
                <w:rFonts w:ascii="Arial" w:cs="Arial" w:eastAsia="Arial" w:hAnsi="Arial"/>
                <w:sz w:val="10"/>
                <w:szCs w:val="10"/>
                <w:color w:val="auto"/>
              </w:rPr>
              <w:t>(9)</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6"/>
              </w:rPr>
              <w:t>12/31/2015</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758,850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9,237,014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Notes—4.8%</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86"/>
              </w:rPr>
              <w:t>11/05/2019</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2"/>
              </w:rPr>
              <w:t>13,092,070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13,092,071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6,284,194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6"/>
              </w:rPr>
              <w:t>10/02/2017</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1"/>
              </w:rPr>
              <w:t>Auto Sector</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12.50%</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2"/>
              </w:rPr>
              <w:t>28,000,000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27,702,867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27,931,507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40,794,938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34,215,701</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4"/>
              </w:rPr>
              <w:t>Aerospace and Defense</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20,059,340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w w:val="98"/>
              </w:rPr>
              <w:t xml:space="preserve">Common Equity/Partnership Interests/Warrants—3.3% </w:t>
            </w:r>
            <w:r>
              <w:rPr>
                <w:rFonts w:ascii="Arial" w:cs="Arial" w:eastAsia="Arial" w:hAnsi="Arial"/>
                <w:sz w:val="10"/>
                <w:szCs w:val="10"/>
                <w:b w:val="1"/>
                <w:bCs w:val="1"/>
                <w:color w:val="auto"/>
                <w:w w:val="98"/>
              </w:rPr>
              <w:t>(6)</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104,719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21,492,822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6"/>
              </w:rPr>
              <w:t>11/05/2022</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15,486</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143,668</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11,960,702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11,337,381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92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87"/>
              </w:rPr>
              <w:t>Leisure, Amusement,</w:t>
            </w:r>
          </w:p>
        </w:tc>
        <w:tc>
          <w:tcPr>
            <w:tcW w:w="8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375,000</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3,750,000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gridSpan w:val="2"/>
          </w:tcPr>
          <w:p>
            <w:pPr>
              <w:jc w:val="center"/>
              <w:ind w:right="260"/>
              <w:spacing w:after="0"/>
              <w:rPr>
                <w:sz w:val="20"/>
                <w:szCs w:val="20"/>
                <w:color w:val="auto"/>
              </w:rPr>
            </w:pPr>
            <w:r>
              <w:rPr>
                <w:rFonts w:ascii="Arial" w:cs="Arial" w:eastAsia="Arial" w:hAnsi="Arial"/>
                <w:sz w:val="13"/>
                <w:szCs w:val="13"/>
                <w:color w:val="auto"/>
                <w:w w:val="89"/>
              </w:rPr>
              <w:t>Motion Pictures and Entertainment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Service Champ Holdings, Inc.</w:t>
            </w:r>
          </w:p>
        </w:tc>
        <w:tc>
          <w:tcPr>
            <w:tcW w:w="920" w:type="dxa"/>
            <w:vAlign w:val="bottom"/>
            <w:shd w:val="clear" w:color="auto" w:fill="CCEEFF"/>
          </w:tcPr>
          <w:p>
            <w:pPr>
              <w:jc w:val="center"/>
              <w:ind w:right="137"/>
              <w:spacing w:after="0" w:line="136"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6" w:lineRule="exact"/>
              <w:rPr>
                <w:sz w:val="20"/>
                <w:szCs w:val="20"/>
                <w:color w:val="auto"/>
              </w:rPr>
            </w:pPr>
            <w:r>
              <w:rPr>
                <w:rFonts w:ascii="Arial" w:cs="Arial" w:eastAsia="Arial" w:hAnsi="Arial"/>
                <w:sz w:val="13"/>
                <w:szCs w:val="13"/>
                <w:color w:val="auto"/>
                <w:w w:val="91"/>
              </w:rPr>
              <w:t>Auto Sector</w:t>
            </w:r>
          </w:p>
        </w:tc>
        <w:tc>
          <w:tcPr>
            <w:tcW w:w="8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16,800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2,721,600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4,457,055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4"/>
              </w:rPr>
              <w:t>Aerospace and Defense</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53,071</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202,619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6,178,645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491,755</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188,837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1,888,232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40,316,580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23,861,313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6"/>
              </w:rPr>
              <w:t>133,693,295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95,503,104</w:t>
            </w:r>
          </w:p>
        </w:tc>
        <w:tc>
          <w:tcPr>
            <w:tcW w:w="0" w:type="dxa"/>
            <w:vAlign w:val="bottom"/>
          </w:tcPr>
          <w:p>
            <w:pPr>
              <w:spacing w:after="0"/>
              <w:rPr>
                <w:sz w:val="1"/>
                <w:szCs w:val="1"/>
                <w:color w:val="auto"/>
              </w:rPr>
            </w:pPr>
          </w:p>
        </w:tc>
      </w:tr>
      <w:tr>
        <w:trPr>
          <w:trHeight w:val="142"/>
        </w:trPr>
        <w:tc>
          <w:tcPr>
            <w:tcW w:w="44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Investments in Controlled, Affiliated Portfolio Companies—15.0% </w:t>
            </w:r>
            <w:r>
              <w:rPr>
                <w:rFonts w:ascii="Arial" w:cs="Arial" w:eastAsia="Arial" w:hAnsi="Arial"/>
                <w:sz w:val="10"/>
                <w:szCs w:val="10"/>
                <w:b w:val="1"/>
                <w:bCs w:val="1"/>
                <w:color w:val="auto"/>
              </w:rPr>
              <w:t>(1), (2)</w:t>
            </w: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Debt—13.4%</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RAM Energy LLC, Tranche A</w:t>
            </w:r>
          </w:p>
        </w:tc>
        <w:tc>
          <w:tcPr>
            <w:tcW w:w="92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6"/>
              </w:rPr>
              <w:t>07/18/2019</w:t>
            </w:r>
          </w:p>
        </w:tc>
        <w:tc>
          <w:tcPr>
            <w:tcW w:w="2440" w:type="dxa"/>
            <w:vAlign w:val="bottom"/>
            <w:gridSpan w:val="2"/>
          </w:tcPr>
          <w:p>
            <w:pPr>
              <w:jc w:val="center"/>
              <w:ind w:right="260"/>
              <w:spacing w:after="0" w:line="121" w:lineRule="exact"/>
              <w:rPr>
                <w:sz w:val="20"/>
                <w:szCs w:val="20"/>
                <w:color w:val="auto"/>
              </w:rPr>
            </w:pPr>
            <w:r>
              <w:rPr>
                <w:rFonts w:ascii="Arial" w:cs="Arial" w:eastAsia="Arial" w:hAnsi="Arial"/>
                <w:sz w:val="13"/>
                <w:szCs w:val="13"/>
                <w:color w:val="auto"/>
                <w:w w:val="91"/>
              </w:rPr>
              <w:t>Energy and Utilities</w:t>
            </w: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10.00%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L+800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w w:val="92"/>
              </w:rPr>
              <w:t>76,425,000</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75,177,005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72,759,582</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(PIK 10.00%)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Superior Digital Displays, LLC</w:t>
            </w:r>
          </w:p>
        </w:tc>
        <w:tc>
          <w:tcPr>
            <w:tcW w:w="920" w:type="dxa"/>
            <w:vAlign w:val="bottom"/>
            <w:shd w:val="clear" w:color="auto" w:fill="CCEEFF"/>
          </w:tcPr>
          <w:p>
            <w:pPr>
              <w:jc w:val="center"/>
              <w:ind w:right="137"/>
              <w:spacing w:after="0" w:line="122" w:lineRule="exact"/>
              <w:rPr>
                <w:sz w:val="20"/>
                <w:szCs w:val="20"/>
                <w:color w:val="auto"/>
              </w:rPr>
            </w:pPr>
            <w:r>
              <w:rPr>
                <w:rFonts w:ascii="Arial" w:cs="Arial" w:eastAsia="Arial" w:hAnsi="Arial"/>
                <w:sz w:val="13"/>
                <w:szCs w:val="13"/>
                <w:color w:val="auto"/>
                <w:w w:val="86"/>
              </w:rPr>
              <w:t>12/31/2018</w:t>
            </w:r>
          </w:p>
        </w:tc>
        <w:tc>
          <w:tcPr>
            <w:tcW w:w="2440" w:type="dxa"/>
            <w:vAlign w:val="bottom"/>
            <w:gridSpan w:val="2"/>
            <w:shd w:val="clear" w:color="auto" w:fill="CCEEFF"/>
          </w:tcPr>
          <w:p>
            <w:pPr>
              <w:jc w:val="center"/>
              <w:ind w:right="280"/>
              <w:spacing w:after="0" w:line="122" w:lineRule="exact"/>
              <w:rPr>
                <w:sz w:val="20"/>
                <w:szCs w:val="20"/>
                <w:color w:val="auto"/>
              </w:rPr>
            </w:pPr>
            <w:r>
              <w:rPr>
                <w:rFonts w:ascii="Arial" w:cs="Arial" w:eastAsia="Arial" w:hAnsi="Arial"/>
                <w:sz w:val="13"/>
                <w:szCs w:val="13"/>
                <w:color w:val="auto"/>
                <w:w w:val="90"/>
              </w:rPr>
              <w:t>Media</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14.00%</w:t>
            </w: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rPr>
              <w:t>L+1,300</w:t>
            </w: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w w:val="92"/>
              </w:rPr>
              <w:t>23,055,423</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20,951,257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23,055,423</w:t>
            </w: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(PIK 14.00%)</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96,128,262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95,815,005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Debt—0.5%</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2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6"/>
              </w:rPr>
              <w:t>07/01/2019</w:t>
            </w:r>
          </w:p>
        </w:tc>
        <w:tc>
          <w:tcPr>
            <w:tcW w:w="244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16.00%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L+1,500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3,462,417</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3,462,417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(PIK 16.00%)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920" w:type="dxa"/>
            <w:vAlign w:val="bottom"/>
            <w:shd w:val="clear" w:color="auto" w:fill="CCEEFF"/>
          </w:tcPr>
          <w:p>
            <w:pPr>
              <w:jc w:val="center"/>
              <w:ind w:right="137"/>
              <w:spacing w:after="0" w:line="136" w:lineRule="exact"/>
              <w:rPr>
                <w:sz w:val="20"/>
                <w:szCs w:val="20"/>
                <w:color w:val="auto"/>
              </w:rPr>
            </w:pPr>
            <w:r>
              <w:rPr>
                <w:rFonts w:ascii="Arial" w:cs="Arial" w:eastAsia="Arial" w:hAnsi="Arial"/>
                <w:sz w:val="13"/>
                <w:szCs w:val="13"/>
                <w:color w:val="auto"/>
                <w:w w:val="86"/>
              </w:rPr>
              <w:t>07/01/2019</w:t>
            </w:r>
          </w:p>
        </w:tc>
        <w:tc>
          <w:tcPr>
            <w:tcW w:w="2440" w:type="dxa"/>
            <w:vAlign w:val="bottom"/>
            <w:gridSpan w:val="2"/>
            <w:shd w:val="clear" w:color="auto" w:fill="CCEEFF"/>
          </w:tcPr>
          <w:p>
            <w:pPr>
              <w:jc w:val="center"/>
              <w:ind w:right="280"/>
              <w:spacing w:after="0" w:line="136" w:lineRule="exact"/>
              <w:rPr>
                <w:sz w:val="20"/>
                <w:szCs w:val="20"/>
                <w:color w:val="auto"/>
              </w:rPr>
            </w:pPr>
            <w:r>
              <w:rPr>
                <w:rFonts w:ascii="Arial" w:cs="Arial" w:eastAsia="Arial" w:hAnsi="Arial"/>
                <w:sz w:val="13"/>
                <w:szCs w:val="13"/>
                <w:color w:val="auto"/>
                <w:w w:val="90"/>
              </w:rPr>
              <w:t>Media</w:t>
            </w:r>
          </w:p>
        </w:tc>
        <w:tc>
          <w:tcPr>
            <w:tcW w:w="8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2,575,000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Equity—0.1% </w:t>
            </w:r>
            <w:r>
              <w:rPr>
                <w:rFonts w:ascii="Arial" w:cs="Arial" w:eastAsia="Arial" w:hAnsi="Arial"/>
                <w:sz w:val="10"/>
                <w:szCs w:val="10"/>
                <w:b w:val="1"/>
                <w:bCs w:val="1"/>
                <w:color w:val="auto"/>
              </w:rPr>
              <w:t>(6)</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15.00%</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37,046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5,000,000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648,021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Equity—1.0% </w:t>
            </w:r>
            <w:r>
              <w:rPr>
                <w:rFonts w:ascii="Arial" w:cs="Arial" w:eastAsia="Arial" w:hAnsi="Arial"/>
                <w:sz w:val="10"/>
                <w:szCs w:val="10"/>
                <w:b w:val="1"/>
                <w:bCs w:val="1"/>
                <w:color w:val="auto"/>
              </w:rPr>
              <w:t>(6)</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MidOcean JF Holdings Corp.</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5"/>
              </w:rPr>
              <w:t>Distribution</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65,933</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24,761,831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 (f/k/a RAM Energy, LLC)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91"/>
              </w:rPr>
              <w:t>Energy and Utilities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23,141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20,824,388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11,100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2,211,000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47,797,219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w w:val="89"/>
              </w:rPr>
              <w:t>Total Investments in Controlled, Affiliated Portfolio Companies</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152,387,898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106,825,650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Investments—181.3%</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4"/>
              </w:rPr>
              <w:t>1,424,237,162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4"/>
              </w:rPr>
              <w:t>1,299,047,833</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Equivalents—6.9%</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4,564,638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4,564,638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45,072,777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45,054,618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49,637,415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49,619,256</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Equivalents—188.2%</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1,473,874,577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1,348,667,089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Assets—(88.2%)</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1"/>
              </w:rPr>
              <w:t>(632,076,547)</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6"/>
              </w:rPr>
              <w:t>716,590,542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6" w:lineRule="exact"/>
        <w:rPr>
          <w:sz w:val="20"/>
          <w:szCs w:val="20"/>
          <w:color w:val="auto"/>
        </w:rPr>
      </w:pPr>
    </w:p>
    <w:p>
      <w:pPr>
        <w:ind w:left="340" w:hanging="332"/>
        <w:spacing w:after="0" w:line="24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6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20" w:hanging="332"/>
        <w:spacing w:after="0" w:line="237"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00"/>
          </w:cols>
          <w:pgMar w:left="320" w:top="459"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7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under a separate administration agreement. See Note 3.</w:t>
      </w:r>
    </w:p>
    <w:p>
      <w:pPr>
        <w:spacing w:after="0" w:line="7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 Taxable Subsidiaries allow us to hold equity securities of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preparation of our consolidated financial statements, or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22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2" w:lineRule="exact"/>
        <w:rPr>
          <w:sz w:val="20"/>
          <w:szCs w:val="20"/>
          <w:color w:val="auto"/>
        </w:rPr>
      </w:pPr>
    </w:p>
    <w:p>
      <w:pPr>
        <w:ind w:right="32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subject to tax as a RIC.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subject to taxation as a RIC, we typically do not incur any material level of federal income taxes. Although we are not subject to federal income taxes as a RIC, we may elect to retain a portion of our calendar year income, which may result in an excise tax, or we may incur taxes through our Taxable Subsidiaries. For the three and nine months ended June 30, 2016, we accrued taxes of $0.4 million and $2.0 million, respectively. We accrued no taxes for either the three or nine month periods ended June 30, 2015.</w:t>
      </w:r>
    </w:p>
    <w:p>
      <w:pPr>
        <w:spacing w:after="0" w:line="77"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We did not have any uncertain tax positions or any unrecognized tax benefits that met the recognition or measurement criteria of ASC 740-10-25 as of the periods presented herein.</w:t>
      </w:r>
    </w:p>
    <w:p>
      <w:pPr>
        <w:spacing w:after="0" w:line="75"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referred to as Management Fee.</w:t>
      </w:r>
    </w:p>
    <w:p>
      <w:pPr>
        <w:spacing w:after="0" w:line="7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2016 and through December 31, 2016, the Investment Adviser has voluntarily agreed, in consultation with the board of directors, to waive 16% of base management fees, correlated to our 16% energy exposure (oil &amp; gas and energy &amp; utilities industries) at cost as of December 31, 2015. For the three and nine months ended June 30, 2016, the Investment Adviser earned base management fees of $5.2 million (after a waiver of $1.0 million) and $15.8 million (after a waiver of $3.0 million), respectively, from us. For the three and nine months ended June 30, 2015, the Investment Adviser earned base management fees of $6.5 million and $20.1 million, respectively, from us.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fee waivers, if any,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three and nine months ended June 30, 2016 and through December 31, 2016, the Investment Adviser has voluntarily agreed, in consultation with the board of directors, to waive 16% of incentive fees, correlated to our 16% energy exposure (oil &amp; gas and energy &amp; utilities industries) at cost as of December 31, 2015. For the three and nine months ended June 30, 2016, the Investment Adviser earned an incentive fee on net investment income as calculated under the Investment Management Agreement of $3.4 million (after a waiver of $0.6 million) and $10.6 million (after a waiver of $2.0 million), respectively, from us. For the three and nine months ended June 30, 2015, the Investment Adviser earned an incentive fee on net investment income as calculated under the Investment Management Agreement of $5.2 million and $15.6 million, respectively, from us.</w:t>
      </w:r>
    </w:p>
    <w:p>
      <w:pPr>
        <w:spacing w:after="0" w:line="81"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2016 and 2015, the Investment Adviser did not earn an incentive fee on capital gains as calculated under the Investment Management Agreement (as described above).</w:t>
      </w:r>
    </w:p>
    <w:p>
      <w:pPr>
        <w:spacing w:after="0" w:line="67"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nine months ended June 30, 2016 and 2015, the Investment Adviser did not accrue an incentive fee on capital gains as calculated under GAAP.</w:t>
      </w:r>
    </w:p>
    <w:p>
      <w:pPr>
        <w:spacing w:after="0" w:line="78"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2016.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three and nine months ended June 30, 2016, the Investment Adviser was reimbursed $0.4 million and $2.9 million, respectively, from us, including expenses the Investment Adviser incurred on behalf of the Administrator, for the services described above. For the three and nine months ended June 30, 2015, the Investment Adviser was reimbursed $0.7 million and $3.1 million, respectively, from us, including expenses the Investment Adviser incurred on behalf of the Administrator, for the services described above.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2016 totaled $94.7 million and $317.7 million, respectively. For the same periods in the prior year, purchases of investments, including PIK interest, totaled $115.7 million and $352.5 million, respectively. Sales and repayments of investments for the three and nine months ended June 30, 2016 totaled $103.1 million and $304.1 million, respectively. For the same periods in the prior year, sales and repayments of investments totaled $107.0 million and $289.5 million, respectively.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58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ind w:left="42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444,934,975</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421,969,400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404,291,400</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399,237,158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533,717,171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508,613,747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631,936,443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612,552,913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188,834,118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175,408,900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227,915,734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182,467,798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191,976,438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130,589,044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160,093,585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104,789,964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1,359,462,702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1,236,581,091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1,424,237,162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1,299,047,833</w:t>
            </w:r>
          </w:p>
        </w:tc>
        <w:tc>
          <w:tcPr>
            <w:tcW w:w="0" w:type="dxa"/>
            <w:vAlign w:val="bottom"/>
          </w:tcPr>
          <w:p>
            <w:pPr>
              <w:spacing w:after="0"/>
              <w:rPr>
                <w:sz w:val="1"/>
                <w:szCs w:val="1"/>
                <w:color w:val="auto"/>
              </w:rPr>
            </w:pPr>
          </w:p>
        </w:tc>
      </w:tr>
      <w:tr>
        <w:trPr>
          <w:trHeight w:val="163"/>
        </w:trPr>
        <w:tc>
          <w:tcPr>
            <w:tcW w:w="43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38,106,415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37,872,854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49,637,415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1,397,569,117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1,274,453,945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1,473,874,577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1,348,667,089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215"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740" w:type="dxa"/>
            <w:vAlign w:val="bottom"/>
          </w:tcPr>
          <w:p>
            <w:pPr>
              <w:spacing w:after="0"/>
              <w:rPr>
                <w:sz w:val="16"/>
                <w:szCs w:val="16"/>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2016</w:t>
            </w:r>
          </w:p>
        </w:tc>
        <w:tc>
          <w:tcPr>
            <w:tcW w:w="1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740" w:type="dxa"/>
            <w:vAlign w:val="bottom"/>
            <w:vMerge w:val="continue"/>
            <w:shd w:val="clear" w:color="auto" w:fill="CCEEFF"/>
          </w:tcPr>
          <w:p>
            <w:pPr>
              <w:spacing w:after="0"/>
              <w:rPr>
                <w:sz w:val="12"/>
                <w:szCs w:val="12"/>
                <w:color w:val="auto"/>
              </w:rPr>
            </w:pPr>
          </w:p>
        </w:tc>
        <w:tc>
          <w:tcPr>
            <w:tcW w:w="17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14%</w:t>
            </w:r>
          </w:p>
        </w:tc>
        <w:tc>
          <w:tcPr>
            <w:tcW w:w="400" w:type="dxa"/>
            <w:vAlign w:val="bottom"/>
            <w:vMerge w:val="continue"/>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 and Utilities</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Services</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Oil and Gas</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and Publishing</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Buildings and Real Estate</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740" w:type="dxa"/>
            <w:vAlign w:val="bottom"/>
          </w:tcPr>
          <w:p>
            <w:pPr>
              <w:spacing w:after="0"/>
              <w:rPr>
                <w:sz w:val="13"/>
                <w:szCs w:val="13"/>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4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1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color w:val="auto"/>
              </w:rPr>
              <w:t>18</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7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74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2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7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7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2016, our ability to observe valuation inputs resulted in one reclassification of an asset from Level 2 to 1. During the nine months ended June 30, 2015, there was one reclassification from Level 2 to 3 and one reclassification from Level 3 to 2.</w:t>
      </w:r>
    </w:p>
    <w:p>
      <w:pPr>
        <w:spacing w:after="0" w:line="77"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67"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80"/>
          </w:cols>
          <w:pgMar w:left="32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Fair Value at</w:t>
            </w: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June 30, 2016</w:t>
            </w:r>
          </w:p>
        </w:tc>
        <w:tc>
          <w:tcPr>
            <w:tcW w:w="1860" w:type="dxa"/>
            <w:vAlign w:val="bottom"/>
            <w:gridSpan w:val="2"/>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212,767,114</w:t>
            </w:r>
          </w:p>
        </w:tc>
        <w:tc>
          <w:tcPr>
            <w:tcW w:w="5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bids or quotes</w:t>
            </w:r>
          </w:p>
        </w:tc>
        <w:tc>
          <w:tcPr>
            <w:tcW w:w="4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893,224,933</w:t>
            </w: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2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9.3% – 19.8% (13.0%)</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129,763,805</w:t>
            </w:r>
          </w:p>
        </w:tc>
        <w:tc>
          <w:tcPr>
            <w:tcW w:w="18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3"/>
              </w:rPr>
              <w:t>Enterprise Market Value</w:t>
            </w:r>
          </w:p>
        </w:tc>
        <w:tc>
          <w:tcPr>
            <w:tcW w:w="214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4.4x – 21.3x (8.1x)</w:t>
            </w:r>
          </w:p>
        </w:tc>
        <w:tc>
          <w:tcPr>
            <w:tcW w:w="0" w:type="dxa"/>
            <w:vAlign w:val="bottom"/>
          </w:tcPr>
          <w:p>
            <w:pPr>
              <w:spacing w:after="0"/>
              <w:rPr>
                <w:sz w:val="1"/>
                <w:szCs w:val="1"/>
                <w:color w:val="auto"/>
              </w:rPr>
            </w:pPr>
          </w:p>
        </w:tc>
      </w:tr>
      <w:tr>
        <w:trPr>
          <w:trHeight w:val="156"/>
        </w:trPr>
        <w:tc>
          <w:tcPr>
            <w:tcW w:w="372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4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1,235,755,852</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3" w:lineRule="exact"/>
              <w:rPr>
                <w:sz w:val="20"/>
                <w:szCs w:val="20"/>
                <w:color w:val="auto"/>
              </w:rPr>
            </w:pPr>
            <w:r>
              <w:rPr>
                <w:rFonts w:ascii="Arial" w:cs="Arial" w:eastAsia="Arial" w:hAnsi="Arial"/>
                <w:sz w:val="14"/>
                <w:szCs w:val="14"/>
                <w:color w:val="auto"/>
              </w:rPr>
              <w:t>101,067,312</w:t>
            </w:r>
          </w:p>
        </w:tc>
        <w:tc>
          <w:tcPr>
            <w:tcW w:w="1860" w:type="dxa"/>
            <w:vAlign w:val="bottom"/>
            <w:gridSpan w:val="2"/>
            <w:shd w:val="clear" w:color="auto" w:fill="CCEEFF"/>
          </w:tcPr>
          <w:p>
            <w:pPr>
              <w:jc w:val="center"/>
              <w:ind w:right="460"/>
              <w:spacing w:after="0" w:line="143" w:lineRule="exact"/>
              <w:rPr>
                <w:sz w:val="20"/>
                <w:szCs w:val="20"/>
                <w:color w:val="auto"/>
              </w:rPr>
            </w:pPr>
            <w:r>
              <w:rPr>
                <w:rFonts w:ascii="Arial" w:cs="Arial" w:eastAsia="Arial" w:hAnsi="Arial"/>
                <w:sz w:val="14"/>
                <w:szCs w:val="14"/>
                <w:color w:val="auto"/>
                <w:w w:val="94"/>
              </w:rPr>
              <w:t>Market Comparable</w:t>
            </w:r>
          </w:p>
        </w:tc>
        <w:tc>
          <w:tcPr>
            <w:tcW w:w="2140" w:type="dxa"/>
            <w:vAlign w:val="bottom"/>
            <w:gridSpan w:val="2"/>
            <w:shd w:val="clear" w:color="auto" w:fill="CCEEFF"/>
          </w:tcPr>
          <w:p>
            <w:pPr>
              <w:jc w:val="center"/>
              <w:ind w:right="460"/>
              <w:spacing w:after="0" w:line="143" w:lineRule="exact"/>
              <w:rPr>
                <w:sz w:val="20"/>
                <w:szCs w:val="20"/>
                <w:color w:val="auto"/>
              </w:rPr>
            </w:pPr>
            <w:r>
              <w:rPr>
                <w:rFonts w:ascii="Arial" w:cs="Arial" w:eastAsia="Arial" w:hAnsi="Arial"/>
                <w:sz w:val="14"/>
                <w:szCs w:val="14"/>
                <w:color w:val="auto"/>
                <w:w w:val="97"/>
              </w:rPr>
              <w:t>Market Yield</w:t>
            </w:r>
          </w:p>
        </w:tc>
        <w:tc>
          <w:tcPr>
            <w:tcW w:w="13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 at</w:t>
            </w: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860" w:type="dxa"/>
            <w:vAlign w:val="bottom"/>
            <w:gridSpan w:val="2"/>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281,455,418</w:t>
            </w: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bids or quotes</w:t>
            </w:r>
          </w:p>
        </w:tc>
        <w:tc>
          <w:tcPr>
            <w:tcW w:w="4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912,802,451</w:t>
            </w:r>
          </w:p>
        </w:tc>
        <w:tc>
          <w:tcPr>
            <w:tcW w:w="520" w:type="dxa"/>
            <w:vAlign w:val="bottom"/>
          </w:tcPr>
          <w:p>
            <w:pPr>
              <w:spacing w:after="0"/>
              <w:rPr>
                <w:sz w:val="12"/>
                <w:szCs w:val="12"/>
                <w:color w:val="auto"/>
              </w:rPr>
            </w:pP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2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9.6% – 34.7% (14.1%)</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2,715,722</w:t>
            </w:r>
          </w:p>
        </w:tc>
        <w:tc>
          <w:tcPr>
            <w:tcW w:w="5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214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4"/>
              </w:rPr>
              <w:t>Broker/Dealer bids or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100,453,864</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Enterprise Market Value</w:t>
            </w:r>
          </w:p>
        </w:tc>
        <w:tc>
          <w:tcPr>
            <w:tcW w:w="2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3.4x – 22.5x (9.2x)</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1,297,427,455</w:t>
            </w: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4"/>
              </w:rPr>
              <w:t>Market Comparable</w:t>
            </w:r>
          </w:p>
        </w:tc>
        <w:tc>
          <w:tcPr>
            <w:tcW w:w="214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7"/>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0" w:type="dxa"/>
            <w:vAlign w:val="bottom"/>
          </w:tcPr>
          <w:p>
            <w:pPr>
              <w:spacing w:after="0" w:line="20" w:lineRule="exact"/>
              <w:rPr>
                <w:sz w:val="1"/>
                <w:szCs w:val="1"/>
                <w:color w:val="auto"/>
              </w:rPr>
            </w:pPr>
          </w:p>
        </w:tc>
      </w:tr>
      <w:tr>
        <w:trPr>
          <w:trHeight w:val="143"/>
        </w:trPr>
        <w:tc>
          <w:tcPr>
            <w:tcW w:w="41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132,356,860</w:t>
            </w:r>
          </w:p>
        </w:tc>
        <w:tc>
          <w:tcPr>
            <w:tcW w:w="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Fair Value at June 30, 2016</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1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1,105,992,047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1,105,992,047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8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130,589,044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825,239</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129,763,805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1,236,581,091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825,239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1,235,755,852</w:t>
            </w:r>
          </w:p>
        </w:tc>
        <w:tc>
          <w:tcPr>
            <w:tcW w:w="0" w:type="dxa"/>
            <w:vAlign w:val="bottom"/>
          </w:tcPr>
          <w:p>
            <w:pPr>
              <w:spacing w:after="0"/>
              <w:rPr>
                <w:sz w:val="1"/>
                <w:szCs w:val="1"/>
                <w:color w:val="auto"/>
              </w:rPr>
            </w:pPr>
          </w:p>
        </w:tc>
      </w:tr>
      <w:tr>
        <w:trPr>
          <w:trHeight w:val="148"/>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37,872,854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37,872,854</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and cash equivalents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1,274,453,945</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38,698,093</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1,235,755,852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101,067,312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ind w:left="820"/>
              <w:spacing w:after="0" w:line="143"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101,067,312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249,675,000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249,675,000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2025 Notes</w:t>
            </w:r>
          </w:p>
        </w:tc>
        <w:tc>
          <w:tcPr>
            <w:tcW w:w="18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70,566,000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70,566,000</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421,308,312</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70,566,000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249,675,000</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101,067,312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9"/>
              </w:rPr>
              <w:t>Fair Value at September 30, 2015</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1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104,789,964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1,620,378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103,169,586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1,299,047,833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1,620,378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1,297,427,455</w:t>
            </w:r>
          </w:p>
        </w:tc>
        <w:tc>
          <w:tcPr>
            <w:tcW w:w="0" w:type="dxa"/>
            <w:vAlign w:val="bottom"/>
          </w:tcPr>
          <w:p>
            <w:pPr>
              <w:spacing w:after="0"/>
              <w:rPr>
                <w:sz w:val="1"/>
                <w:szCs w:val="1"/>
                <w:color w:val="auto"/>
              </w:rPr>
            </w:pPr>
          </w:p>
        </w:tc>
      </w:tr>
      <w:tr>
        <w:trPr>
          <w:trHeight w:val="149"/>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49,619,256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49,619,256</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and cash equivalents</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1,348,667,089</w:t>
            </w:r>
          </w:p>
        </w:tc>
        <w:tc>
          <w:tcPr>
            <w:tcW w:w="3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49,619,256</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1,620,378</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1,297,427,455</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gridSpan w:val="2"/>
            <w:vMerge w:val="continue"/>
          </w:tcPr>
          <w:p>
            <w:pPr>
              <w:spacing w:after="0"/>
              <w:rPr>
                <w:sz w:val="12"/>
                <w:szCs w:val="12"/>
                <w:color w:val="auto"/>
              </w:rPr>
            </w:pP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ind w:left="820"/>
              <w:spacing w:after="0" w:line="143"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253,102,500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253,102,500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2025 Notes</w:t>
            </w: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71,136,000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71,136,000</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456,595,360</w:t>
            </w:r>
          </w:p>
        </w:tc>
        <w:tc>
          <w:tcPr>
            <w:tcW w:w="3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71,136,000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253,102,500</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132,356,860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20</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9"/>
          </w:tcPr>
          <w:p>
            <w:pPr>
              <w:jc w:val="center"/>
              <w:ind w:right="28"/>
              <w:spacing w:after="0"/>
              <w:rPr>
                <w:sz w:val="20"/>
                <w:szCs w:val="20"/>
                <w:color w:val="auto"/>
              </w:rPr>
            </w:pPr>
            <w:r>
              <w:rPr>
                <w:rFonts w:ascii="Arial" w:cs="Arial" w:eastAsia="Arial" w:hAnsi="Arial"/>
                <w:sz w:val="14"/>
                <w:szCs w:val="14"/>
                <w:b w:val="1"/>
                <w:bCs w:val="1"/>
                <w:color w:val="auto"/>
                <w:w w:val="93"/>
              </w:rPr>
              <w:t>Nine Months Ended June 30,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1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1,194,257,869</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1,297,427,455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(88,191,975)</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6,055,002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(82,136,973)</w:t>
            </w:r>
          </w:p>
        </w:tc>
        <w:tc>
          <w:tcPr>
            <w:tcW w:w="0" w:type="dxa"/>
            <w:vAlign w:val="bottom"/>
          </w:tcPr>
          <w:p>
            <w:pPr>
              <w:spacing w:after="0"/>
              <w:rPr>
                <w:sz w:val="1"/>
                <w:szCs w:val="1"/>
                <w:color w:val="auto"/>
              </w:rPr>
            </w:pPr>
          </w:p>
        </w:tc>
      </w:tr>
      <w:tr>
        <w:trPr>
          <w:trHeight w:val="148"/>
        </w:trPr>
        <w:tc>
          <w:tcPr>
            <w:tcW w:w="74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appreciation (depreciation)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8,391,489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(5,471,142)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2,920,347</w:t>
            </w:r>
          </w:p>
        </w:tc>
        <w:tc>
          <w:tcPr>
            <w:tcW w:w="0" w:type="dxa"/>
            <w:vAlign w:val="bottom"/>
          </w:tcPr>
          <w:p>
            <w:pPr>
              <w:spacing w:after="0"/>
              <w:rPr>
                <w:sz w:val="1"/>
                <w:szCs w:val="1"/>
                <w:color w:val="auto"/>
              </w:rPr>
            </w:pPr>
          </w:p>
        </w:tc>
      </w:tr>
      <w:tr>
        <w:trPr>
          <w:trHeight w:val="149"/>
        </w:trPr>
        <w:tc>
          <w:tcPr>
            <w:tcW w:w="74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275,592,605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46,056,651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321,649,256</w:t>
            </w:r>
          </w:p>
        </w:tc>
        <w:tc>
          <w:tcPr>
            <w:tcW w:w="0" w:type="dxa"/>
            <w:vAlign w:val="bottom"/>
          </w:tcPr>
          <w:p>
            <w:pPr>
              <w:spacing w:after="0"/>
              <w:rPr>
                <w:sz w:val="1"/>
                <w:szCs w:val="1"/>
                <w:color w:val="auto"/>
              </w:rPr>
            </w:pPr>
          </w:p>
        </w:tc>
      </w:tr>
      <w:tr>
        <w:trPr>
          <w:trHeight w:val="148"/>
        </w:trPr>
        <w:tc>
          <w:tcPr>
            <w:tcW w:w="74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(284,057,941)</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(20,046,292)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(304,104,233)</w:t>
            </w:r>
          </w:p>
        </w:tc>
        <w:tc>
          <w:tcPr>
            <w:tcW w:w="0" w:type="dxa"/>
            <w:vAlign w:val="bottom"/>
          </w:tcPr>
          <w:p>
            <w:pPr>
              <w:spacing w:after="0"/>
              <w:rPr>
                <w:sz w:val="1"/>
                <w:szCs w:val="1"/>
                <w:color w:val="auto"/>
              </w:rPr>
            </w:pPr>
          </w:p>
        </w:tc>
      </w:tr>
      <w:tr>
        <w:trPr>
          <w:trHeight w:val="148"/>
        </w:trPr>
        <w:tc>
          <w:tcPr>
            <w:tcW w:w="74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1,105,992,047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129,763,805</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1,235,755,852</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 on investments in our</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420" w:type="dxa"/>
            <w:vAlign w:val="bottom"/>
            <w:gridSpan w:val="2"/>
          </w:tcPr>
          <w:p>
            <w:pPr>
              <w:ind w:left="16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(41,585,936)</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(3,480,364)</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(45,066,300)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28"/>
              <w:spacing w:after="0"/>
              <w:rPr>
                <w:sz w:val="20"/>
                <w:szCs w:val="20"/>
                <w:color w:val="auto"/>
              </w:rPr>
            </w:pPr>
            <w:r>
              <w:rPr>
                <w:rFonts w:ascii="Arial" w:cs="Arial" w:eastAsia="Arial" w:hAnsi="Arial"/>
                <w:sz w:val="14"/>
                <w:szCs w:val="14"/>
                <w:b w:val="1"/>
                <w:bCs w:val="1"/>
                <w:color w:val="auto"/>
                <w:w w:val="93"/>
              </w:rPr>
              <w:t>Nine Months Ended June 30,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1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1,161,475,899</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111,862,237</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1,273,338,136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2,962,343</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28,883,600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31,845,943</w:t>
            </w:r>
          </w:p>
        </w:tc>
        <w:tc>
          <w:tcPr>
            <w:tcW w:w="0" w:type="dxa"/>
            <w:vAlign w:val="bottom"/>
          </w:tcPr>
          <w:p>
            <w:pPr>
              <w:spacing w:after="0"/>
              <w:rPr>
                <w:sz w:val="1"/>
                <w:szCs w:val="1"/>
                <w:color w:val="auto"/>
              </w:rPr>
            </w:pPr>
          </w:p>
        </w:tc>
      </w:tr>
      <w:tr>
        <w:trPr>
          <w:trHeight w:val="148"/>
        </w:trPr>
        <w:tc>
          <w:tcPr>
            <w:tcW w:w="74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(69,360,865)</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(30,048,498)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(99,409,363)</w:t>
            </w:r>
          </w:p>
        </w:tc>
        <w:tc>
          <w:tcPr>
            <w:tcW w:w="0" w:type="dxa"/>
            <w:vAlign w:val="bottom"/>
          </w:tcPr>
          <w:p>
            <w:pPr>
              <w:spacing w:after="0"/>
              <w:rPr>
                <w:sz w:val="1"/>
                <w:szCs w:val="1"/>
                <w:color w:val="auto"/>
              </w:rPr>
            </w:pPr>
          </w:p>
        </w:tc>
      </w:tr>
      <w:tr>
        <w:trPr>
          <w:trHeight w:val="148"/>
        </w:trPr>
        <w:tc>
          <w:tcPr>
            <w:tcW w:w="74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302,313,341</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39,307,424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341,620,765</w:t>
            </w:r>
          </w:p>
        </w:tc>
        <w:tc>
          <w:tcPr>
            <w:tcW w:w="0" w:type="dxa"/>
            <w:vAlign w:val="bottom"/>
          </w:tcPr>
          <w:p>
            <w:pPr>
              <w:spacing w:after="0"/>
              <w:rPr>
                <w:sz w:val="1"/>
                <w:szCs w:val="1"/>
                <w:color w:val="auto"/>
              </w:rPr>
            </w:pPr>
          </w:p>
        </w:tc>
      </w:tr>
      <w:tr>
        <w:trPr>
          <w:trHeight w:val="148"/>
        </w:trPr>
        <w:tc>
          <w:tcPr>
            <w:tcW w:w="74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(248,604,839)</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(40,940,666)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(289,545,505)</w:t>
            </w:r>
          </w:p>
        </w:tc>
        <w:tc>
          <w:tcPr>
            <w:tcW w:w="0" w:type="dxa"/>
            <w:vAlign w:val="bottom"/>
          </w:tcPr>
          <w:p>
            <w:pPr>
              <w:spacing w:after="0"/>
              <w:rPr>
                <w:sz w:val="1"/>
                <w:szCs w:val="1"/>
                <w:color w:val="auto"/>
              </w:rPr>
            </w:pPr>
          </w:p>
        </w:tc>
      </w:tr>
      <w:tr>
        <w:trPr>
          <w:trHeight w:val="148"/>
        </w:trPr>
        <w:tc>
          <w:tcPr>
            <w:tcW w:w="74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29,146,379</w:t>
            </w:r>
          </w:p>
        </w:tc>
        <w:tc>
          <w:tcPr>
            <w:tcW w:w="1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(1,234,984)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27,911,395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1,177,932,258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107,829,113</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1,285,761,371</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 on investments in our</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420" w:type="dxa"/>
            <w:vAlign w:val="bottom"/>
            <w:gridSpan w:val="2"/>
          </w:tcPr>
          <w:p>
            <w:pPr>
              <w:ind w:left="16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(66,210,579)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(16,287,835)</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(82,498,414)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carrying/fair valued liabilities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4760" w:type="dxa"/>
            <w:vAlign w:val="bottom"/>
            <w:gridSpan w:val="2"/>
          </w:tcPr>
          <w:p>
            <w:pPr>
              <w:spacing w:after="0"/>
              <w:rPr>
                <w:sz w:val="12"/>
                <w:szCs w:val="12"/>
                <w:color w:val="auto"/>
              </w:rPr>
            </w:pPr>
          </w:p>
        </w:tc>
        <w:tc>
          <w:tcPr>
            <w:tcW w:w="84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9"/>
              </w:rPr>
              <w:t>Beginning Balance (cost – $106,864,300 and $305,226,300, respectively)</w:t>
            </w:r>
          </w:p>
        </w:tc>
        <w:tc>
          <w:tcPr>
            <w:tcW w:w="4760" w:type="dxa"/>
            <w:vAlign w:val="bottom"/>
            <w:tcBorders>
              <w:top w:val="single" w:sz="8" w:color="CCEEFF"/>
            </w:tcBorders>
            <w:gridSpan w:val="2"/>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$ 102,356,860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$ 304,847,870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57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(11,569,171)</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(2,432,310)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56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242,664,923</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249,000,000</w:t>
            </w:r>
          </w:p>
        </w:tc>
        <w:tc>
          <w:tcPr>
            <w:tcW w:w="0" w:type="dxa"/>
            <w:vAlign w:val="bottom"/>
          </w:tcPr>
          <w:p>
            <w:pPr>
              <w:spacing w:after="0"/>
              <w:rPr>
                <w:sz w:val="1"/>
                <w:szCs w:val="1"/>
                <w:color w:val="auto"/>
              </w:rPr>
            </w:pPr>
          </w:p>
        </w:tc>
      </w:tr>
      <w:tr>
        <w:trPr>
          <w:trHeight w:val="149"/>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57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(232,385,300)</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(228,689,600)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$117,143,923 and $325,536,700, respectively)</w:t>
            </w:r>
          </w:p>
        </w:tc>
        <w:tc>
          <w:tcPr>
            <w:tcW w:w="4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$ 101,067,312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$ 322,725,960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4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26,000,000</w:t>
            </w:r>
          </w:p>
        </w:tc>
        <w:tc>
          <w:tcPr>
            <w:tcW w:w="0" w:type="dxa"/>
            <w:vAlign w:val="bottom"/>
          </w:tcPr>
          <w:p>
            <w:pPr>
              <w:spacing w:after="0"/>
              <w:rPr>
                <w:sz w:val="1"/>
                <w:szCs w:val="1"/>
                <w:color w:val="auto"/>
              </w:rPr>
            </w:pPr>
          </w:p>
        </w:tc>
      </w:tr>
      <w:tr>
        <w:trPr>
          <w:trHeight w:val="155"/>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$117,143,923 and $351,536,700, respectively)</w:t>
            </w:r>
          </w:p>
        </w:tc>
        <w:tc>
          <w:tcPr>
            <w:tcW w:w="47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$ 101,067,312</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$ 348,725,960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ind w:right="320" w:firstLine="562"/>
        <w:spacing w:after="0" w:line="253" w:lineRule="auto"/>
        <w:rPr>
          <w:sz w:val="20"/>
          <w:szCs w:val="20"/>
          <w:color w:val="auto"/>
        </w:rPr>
      </w:pPr>
      <w:r>
        <w:rPr>
          <w:rFonts w:ascii="Arial" w:cs="Arial" w:eastAsia="Arial" w:hAnsi="Arial"/>
          <w:sz w:val="14"/>
          <w:szCs w:val="14"/>
          <w:color w:val="auto"/>
        </w:rPr>
        <w:t>As of June 30, 2016, we had outstanding non-U.S. dollar borrowings on our Credit Facility. Net change in fair value from foreign currency translating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3580" w:type="dxa"/>
            <w:vAlign w:val="bottom"/>
            <w:vMerge w:val="restart"/>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2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Borrowing Cost</w:t>
            </w:r>
          </w:p>
        </w:tc>
        <w:tc>
          <w:tcPr>
            <w:tcW w:w="122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47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2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53,000,000</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84,143,923</w:t>
            </w: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70,556,621</w:t>
            </w:r>
          </w:p>
        </w:tc>
        <w:tc>
          <w:tcPr>
            <w:tcW w:w="3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July 1, 2016</w:t>
            </w: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8"/>
              </w:rPr>
              <w:t>(13,587,302)</w:t>
            </w:r>
          </w:p>
        </w:tc>
        <w:tc>
          <w:tcPr>
            <w:tcW w:w="5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73"/>
        </w:trPr>
        <w:tc>
          <w:tcPr>
            <w:tcW w:w="11240" w:type="dxa"/>
            <w:vAlign w:val="bottom"/>
            <w:gridSpan w:val="17"/>
          </w:tcPr>
          <w:p>
            <w:pPr>
              <w:ind w:left="440"/>
              <w:spacing w:after="0"/>
              <w:rPr>
                <w:sz w:val="20"/>
                <w:szCs w:val="20"/>
                <w:color w:val="auto"/>
              </w:rPr>
            </w:pPr>
            <w:r>
              <w:rPr>
                <w:rFonts w:ascii="Arial" w:cs="Arial" w:eastAsia="Arial" w:hAnsi="Arial"/>
                <w:sz w:val="14"/>
                <w:szCs w:val="14"/>
                <w:color w:val="auto"/>
              </w:rPr>
              <w:t>As of September 30, 2015, we had outstanding non-U.S. dollar borrowings on our Credit Facility. Net change in fair value from foreign currency translating on outstanding</w:t>
            </w:r>
          </w:p>
        </w:tc>
        <w:tc>
          <w:tcPr>
            <w:tcW w:w="0" w:type="dxa"/>
            <w:vAlign w:val="bottom"/>
          </w:tcPr>
          <w:p>
            <w:pPr>
              <w:spacing w:after="0"/>
              <w:rPr>
                <w:sz w:val="1"/>
                <w:szCs w:val="1"/>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4"/>
                <w:szCs w:val="14"/>
                <w:color w:val="auto"/>
              </w:rPr>
              <w:t>borrowings is listed below:</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3580" w:type="dxa"/>
            <w:vAlign w:val="bottom"/>
            <w:vMerge w:val="restart"/>
          </w:tcPr>
          <w:p>
            <w:pPr>
              <w:spacing w:after="0"/>
              <w:rPr>
                <w:sz w:val="24"/>
                <w:szCs w:val="2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26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Borrowing Cost</w:t>
            </w:r>
          </w:p>
        </w:tc>
        <w:tc>
          <w:tcPr>
            <w:tcW w:w="122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47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2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28,000,000</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46,864,300</w:t>
            </w: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42,356,860</w:t>
            </w:r>
          </w:p>
        </w:tc>
        <w:tc>
          <w:tcPr>
            <w:tcW w:w="3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October 1, 2015</w:t>
            </w: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(4,507,440)</w:t>
            </w:r>
          </w:p>
        </w:tc>
        <w:tc>
          <w:tcPr>
            <w:tcW w:w="5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and nine months ended June 30, 2016, our Credit Facility and our Notes had a net change in unrealized (appreciation) depreciation of $(2.4) million and $15.6 million, respectively. For the three and nine months ended June 30, 2015, our Credit Facility and our Notes had a net change in unrealized depreciation of $0.6 million and $2.3 million, respectively. As of June 30, 2016 and September 30, 2015, net unrealized depreciation on our Credit Facility and our Notes totaled $17.1 million and $1.5 million, respectively. We use a nationally recognized independent valuation service to measure the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 at</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Purchases of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 of /</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Net Realized Gains</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September 30, 2015 </w:t>
            </w:r>
            <w:r>
              <w:rPr>
                <w:rFonts w:ascii="Arial" w:cs="Arial" w:eastAsia="Arial" w:hAnsi="Arial"/>
                <w:sz w:val="12"/>
                <w:szCs w:val="12"/>
                <w:b w:val="1"/>
                <w:bCs w:val="1"/>
                <w:color w:val="auto"/>
              </w:rPr>
              <w:t>(1)</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1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Accrued</w:t>
            </w:r>
          </w:p>
        </w:tc>
        <w:tc>
          <w:tcPr>
            <w:tcW w:w="1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June 30, 2016 </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tcPr>
          <w:p>
            <w:pPr>
              <w:ind w:left="160"/>
              <w:spacing w:after="0"/>
              <w:rPr>
                <w:sz w:val="20"/>
                <w:szCs w:val="20"/>
                <w:color w:val="auto"/>
              </w:rPr>
            </w:pPr>
            <w:r>
              <w:rPr>
                <w:rFonts w:ascii="Arial" w:cs="Arial" w:eastAsia="Arial" w:hAnsi="Arial"/>
                <w:sz w:val="14"/>
                <w:szCs w:val="14"/>
                <w:color w:val="auto"/>
              </w:rPr>
              <w:t>(JF Acquisition, LLC)</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4"/>
                <w:szCs w:val="14"/>
                <w:color w:val="auto"/>
              </w:rPr>
              <w:t>6,900,207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14,318,325</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20,911,624</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72,759,582</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6,072,790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6,237,571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68,060,677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80" w:type="dxa"/>
            <w:vAlign w:val="bottom"/>
          </w:tcPr>
          <w:p>
            <w:pPr>
              <w:spacing w:after="0"/>
              <w:rPr>
                <w:sz w:val="12"/>
                <w:szCs w:val="12"/>
                <w:color w:val="auto"/>
              </w:rPr>
            </w:pPr>
          </w:p>
        </w:tc>
        <w:tc>
          <w:tcPr>
            <w:tcW w:w="15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27,165,861</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7,417,561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3,653,132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34,033,916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12"/>
                <w:szCs w:val="12"/>
                <w:color w:val="auto"/>
              </w:rPr>
              <w:t>(3)</w:t>
            </w:r>
          </w:p>
        </w:tc>
        <w:tc>
          <w:tcPr>
            <w:tcW w:w="180" w:type="dxa"/>
            <w:vAlign w:val="bottom"/>
          </w:tcPr>
          <w:p>
            <w:pPr>
              <w:spacing w:after="0"/>
              <w:rPr>
                <w:sz w:val="12"/>
                <w:szCs w:val="12"/>
                <w:color w:val="auto"/>
              </w:rPr>
            </w:pPr>
          </w:p>
        </w:tc>
        <w:tc>
          <w:tcPr>
            <w:tcW w:w="15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341,025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1,568,698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51,554,522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Corfin Industries LLC </w:t>
            </w:r>
            <w:r>
              <w:rPr>
                <w:rFonts w:ascii="Arial" w:cs="Arial" w:eastAsia="Arial" w:hAnsi="Arial"/>
                <w:sz w:val="12"/>
                <w:szCs w:val="12"/>
                <w:color w:val="auto"/>
              </w:rPr>
              <w:t>(3)</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24,351,000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(118,500)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1,650,034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25,492,101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80" w:type="dxa"/>
            <w:vAlign w:val="bottom"/>
          </w:tcPr>
          <w:p>
            <w:pPr>
              <w:spacing w:after="0"/>
              <w:rPr>
                <w:sz w:val="12"/>
                <w:szCs w:val="12"/>
                <w:color w:val="auto"/>
              </w:rPr>
            </w:pPr>
          </w:p>
        </w:tc>
        <w:tc>
          <w:tcPr>
            <w:tcW w:w="15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6,284,194</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(751,537)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3,004,272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20,464,829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693,291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21,274,488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NCP-Performance, L.P.</w:t>
            </w:r>
          </w:p>
        </w:tc>
        <w:tc>
          <w:tcPr>
            <w:tcW w:w="180" w:type="dxa"/>
            <w:vAlign w:val="bottom"/>
          </w:tcPr>
          <w:p>
            <w:pPr>
              <w:spacing w:after="0"/>
              <w:rPr>
                <w:sz w:val="12"/>
                <w:szCs w:val="12"/>
                <w:color w:val="auto"/>
              </w:rPr>
            </w:pPr>
          </w:p>
        </w:tc>
        <w:tc>
          <w:tcPr>
            <w:tcW w:w="15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New Gulf Resources, LLC </w:t>
            </w:r>
            <w:r>
              <w:rPr>
                <w:rFonts w:ascii="Arial" w:cs="Arial" w:eastAsia="Arial" w:hAnsi="Arial"/>
                <w:sz w:val="12"/>
                <w:szCs w:val="12"/>
                <w:color w:val="auto"/>
              </w:rPr>
              <w:t>(4)</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35,079,427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80" w:type="dxa"/>
            <w:vAlign w:val="bottom"/>
          </w:tcPr>
          <w:p>
            <w:pPr>
              <w:spacing w:after="0"/>
              <w:rPr>
                <w:sz w:val="12"/>
                <w:szCs w:val="12"/>
                <w:color w:val="auto"/>
              </w:rPr>
            </w:pPr>
          </w:p>
        </w:tc>
        <w:tc>
          <w:tcPr>
            <w:tcW w:w="15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11,432,674</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2,800,650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(11,132)</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148,801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10,014,228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32,388,562</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2,762,433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33,459,358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180" w:type="dxa"/>
            <w:vAlign w:val="bottom"/>
          </w:tcPr>
          <w:p>
            <w:pPr>
              <w:spacing w:after="0"/>
              <w:rPr>
                <w:sz w:val="12"/>
                <w:szCs w:val="12"/>
                <w:color w:val="auto"/>
              </w:rPr>
            </w:pPr>
          </w:p>
        </w:tc>
        <w:tc>
          <w:tcPr>
            <w:tcW w:w="15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24,932,845</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(12,500,000)</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2,218,391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29,081,376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2920" w:type="dxa"/>
            <w:vAlign w:val="bottom"/>
            <w:tcBorders>
              <w:top w:val="single" w:sz="8" w:color="CCEEFF"/>
            </w:tcBorders>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Controlled and Non-Controlled</w:t>
            </w:r>
          </w:p>
        </w:tc>
        <w:tc>
          <w:tcPr>
            <w:tcW w:w="180" w:type="dxa"/>
            <w:vAlign w:val="bottom"/>
            <w:tcBorders>
              <w:top w:val="single" w:sz="8" w:color="auto"/>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Affiliates</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202,328,754</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69,549,814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(12,629,632)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18,932,351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331,965,989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40" w:hanging="332"/>
        <w:spacing w:after="0" w:line="221"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Includes PIK and PIK adjustments.</w:t>
      </w:r>
    </w:p>
    <w:p>
      <w:pPr>
        <w:ind w:left="340" w:hanging="332"/>
        <w:spacing w:after="0" w:line="221"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2015.</w:t>
      </w: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June 30, 2016.</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2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9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2"/>
              </w:rPr>
              <w:t>Nine Months Ended June 30,</w:t>
            </w:r>
          </w:p>
        </w:tc>
      </w:tr>
      <w:tr>
        <w:trPr>
          <w:trHeight w:val="142"/>
        </w:trPr>
        <w:tc>
          <w:tcPr>
            <w:tcW w:w="69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r>
      <w:tr>
        <w:trPr>
          <w:trHeight w:val="142"/>
        </w:trPr>
        <w:tc>
          <w:tcPr>
            <w:tcW w:w="6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27,832,874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4,935,950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(8,972,672)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(11,631,043)</w:t>
            </w:r>
          </w:p>
        </w:tc>
        <w:tc>
          <w:tcPr>
            <w:tcW w:w="80" w:type="dxa"/>
            <w:vAlign w:val="bottom"/>
            <w:shd w:val="clear" w:color="auto" w:fill="CCEEFF"/>
          </w:tcPr>
          <w:p>
            <w:pPr>
              <w:spacing w:after="0"/>
              <w:rPr>
                <w:sz w:val="12"/>
                <w:szCs w:val="12"/>
                <w:color w:val="auto"/>
              </w:rPr>
            </w:pPr>
          </w:p>
        </w:tc>
      </w:tr>
      <w:tr>
        <w:trPr>
          <w:trHeight w:val="148"/>
        </w:trPr>
        <w:tc>
          <w:tcPr>
            <w:tcW w:w="69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71,060,836</w:t>
            </w:r>
          </w:p>
        </w:tc>
        <w:tc>
          <w:tcPr>
            <w:tcW w:w="14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74,779,503</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71,809,792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74,988,442</w:t>
            </w:r>
          </w:p>
        </w:tc>
      </w:tr>
      <w:tr>
        <w:trPr>
          <w:trHeight w:val="148"/>
        </w:trPr>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resulting from operations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0.39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2016 and September 30, 2015, cash and cash equivalents consisted of $37.9 million and $49.6 million at fair value,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620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5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9.82</w:t>
            </w:r>
          </w:p>
        </w:tc>
        <w:tc>
          <w:tcPr>
            <w:tcW w:w="4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0.77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w:t>
            </w: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(0.89)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decrease in net assets resulting from operations </w:t>
            </w: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(0.12)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2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(0.84)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5640" w:type="dxa"/>
            <w:vAlign w:val="bottom"/>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8.94</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6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220" w:type="dxa"/>
            <w:vAlign w:val="bottom"/>
            <w:tcBorders>
              <w:bottom w:val="single" w:sz="8" w:color="auto"/>
            </w:tcBorders>
            <w:shd w:val="clear" w:color="auto" w:fill="CCEE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6.83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8.78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19.77%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71,060,836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74,259,698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6.71%</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2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2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635,554,512</w:t>
            </w:r>
          </w:p>
        </w:tc>
        <w:tc>
          <w:tcPr>
            <w:tcW w:w="4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745,543,177</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56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631,748,088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577,509,319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8.80</w:t>
            </w:r>
          </w:p>
        </w:tc>
        <w:tc>
          <w:tcPr>
            <w:tcW w:w="4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2,509</w:t>
            </w:r>
          </w:p>
        </w:tc>
        <w:tc>
          <w:tcPr>
            <w:tcW w:w="4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2,772</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32.49%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51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7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spacing w:after="0" w:line="2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460" w:right="220" w:hanging="452"/>
        <w:spacing w:after="0" w:line="25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460" w:right="180" w:hanging="452"/>
        <w:spacing w:after="0" w:line="25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For the nine months ended June 30, 2016, the ratio of operating expenses before the waiver of certain Management Fees to average net assets was 7.72% and the ratio of total expenses before the waiver of certain Management Fees to average net assets was 11.87%.</w:t>
      </w: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Does not annualize non-recurring provisions for taxes.</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2"/>
          <w:szCs w:val="12"/>
          <w:color w:val="auto"/>
        </w:rPr>
      </w:pPr>
    </w:p>
    <w:p>
      <w:pPr>
        <w:jc w:val="both"/>
        <w:ind w:left="460" w:right="300" w:hanging="452"/>
        <w:spacing w:after="0" w:line="264"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our SBIC Funds’ SBA debentures from our asset coverage per unit computation pursuant to an exemptive relief letter provided by the SEC in June 2011.</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00" w:lineRule="exact"/>
        <w:rPr>
          <w:sz w:val="20"/>
          <w:szCs w:val="20"/>
          <w:color w:val="auto"/>
        </w:rPr>
      </w:pPr>
    </w:p>
    <w:p>
      <w:pPr>
        <w:jc w:val="both"/>
        <w:ind w:right="60" w:firstLine="562"/>
        <w:spacing w:after="0" w:line="264" w:lineRule="auto"/>
        <w:rPr>
          <w:sz w:val="20"/>
          <w:szCs w:val="20"/>
          <w:color w:val="auto"/>
        </w:rPr>
      </w:pPr>
      <w:r>
        <w:rPr>
          <w:rFonts w:ascii="Arial" w:cs="Arial" w:eastAsia="Arial" w:hAnsi="Arial"/>
          <w:sz w:val="13"/>
          <w:szCs w:val="13"/>
          <w:color w:val="auto"/>
        </w:rPr>
        <w:t>Our annualized weighted average cost of debt for the nine months ended June 30, 2016 and 2015, inclusive of the fee on the undrawn commitment on the Credit Facility and amortized upfront fees on SBA debentures but excluding debt issuance costs, was 4.36% and 4.55%,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As of June 30, 2016, we have a $545 million multi-currency Credit Facility with certain lenders and SunTrust Bank, acting as administrative agent, and JPMorgan Chase Bank, N.A., acting as syndication agent for the lenders. As of June 30, 2016 and September 30, 2015, there was $117.1 million and $136.9 million (including a temporary draw of $30.0 million), respectively, in outstanding borrowings under the Credit Facility, with a weighted average interest rate at the time of 2.82% and 3.07%, exclusive of the fee on undrawn commitments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2016. We have funded SBIC II with $47.5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per recent regulatory changes, as part of a group of SBICs under common control may borrow a maximum of $350 million in the aggregate.</w:t>
      </w:r>
    </w:p>
    <w:p>
      <w:pPr>
        <w:spacing w:after="0" w:line="72" w:lineRule="exact"/>
        <w:rPr>
          <w:sz w:val="20"/>
          <w:szCs w:val="20"/>
          <w:color w:val="auto"/>
        </w:rPr>
      </w:pPr>
    </w:p>
    <w:p>
      <w:pPr>
        <w:jc w:val="both"/>
        <w:ind w:right="280" w:firstLine="562"/>
        <w:spacing w:after="0" w:line="238" w:lineRule="auto"/>
        <w:rPr>
          <w:sz w:val="20"/>
          <w:szCs w:val="20"/>
          <w:color w:val="auto"/>
        </w:rPr>
      </w:pPr>
      <w:r>
        <w:rPr>
          <w:rFonts w:ascii="Arial" w:cs="Arial" w:eastAsia="Arial" w:hAnsi="Arial"/>
          <w:sz w:val="14"/>
          <w:szCs w:val="14"/>
          <w:color w:val="auto"/>
        </w:rPr>
        <w:t>As of June 30, 2016 and September 30, 2015, our SBIC Funds had $225.0 million in debt commitments, of which $197.5 million and $150.0 million was drawn, respectively. As of June 30, 2016 and September 30, 2015, the unamortized fees on the SBA debentures was $4.4 million and $3.7 million, respectively. The SBA debentures’ upfront fees of 3.43% consist of a commitment fee of 1.00% and an issuance discount of 2.43%, which are being amortized.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were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Issuance Dates</w:t>
            </w:r>
          </w:p>
        </w:tc>
        <w:tc>
          <w:tcPr>
            <w:tcW w:w="640" w:type="dxa"/>
            <w:vAlign w:val="bottom"/>
          </w:tcPr>
          <w:p>
            <w:pPr>
              <w:spacing w:after="0"/>
              <w:rPr>
                <w:sz w:val="14"/>
                <w:szCs w:val="14"/>
                <w:color w:val="auto"/>
              </w:rPr>
            </w:pPr>
          </w:p>
        </w:tc>
        <w:tc>
          <w:tcPr>
            <w:tcW w:w="13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64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Fixed All-in</w:t>
            </w:r>
          </w:p>
        </w:tc>
        <w:tc>
          <w:tcPr>
            <w:tcW w:w="1540" w:type="dxa"/>
            <w:vAlign w:val="bottom"/>
            <w:gridSpan w:val="3"/>
          </w:tcPr>
          <w:p>
            <w:pPr>
              <w:ind w:left="340"/>
              <w:spacing w:after="0"/>
              <w:rPr>
                <w:sz w:val="20"/>
                <w:szCs w:val="20"/>
                <w:color w:val="auto"/>
              </w:rPr>
            </w:pPr>
            <w:r>
              <w:rPr>
                <w:rFonts w:ascii="Arial" w:cs="Arial" w:eastAsia="Arial" w:hAnsi="Arial"/>
                <w:sz w:val="14"/>
                <w:szCs w:val="14"/>
                <w:b w:val="1"/>
                <w:bCs w:val="1"/>
                <w:color w:val="auto"/>
                <w:w w:val="90"/>
              </w:rPr>
              <w:t>As of June 30, 2016</w:t>
            </w:r>
          </w:p>
        </w:tc>
        <w:tc>
          <w:tcPr>
            <w:tcW w:w="2360" w:type="dxa"/>
            <w:vAlign w:val="bottom"/>
            <w:gridSpan w:val="4"/>
          </w:tcPr>
          <w:p>
            <w:pPr>
              <w:ind w:left="720"/>
              <w:spacing w:after="0"/>
              <w:rPr>
                <w:sz w:val="20"/>
                <w:szCs w:val="20"/>
                <w:color w:val="auto"/>
              </w:rPr>
            </w:pPr>
            <w:r>
              <w:rPr>
                <w:rFonts w:ascii="Arial" w:cs="Arial" w:eastAsia="Arial" w:hAnsi="Arial"/>
                <w:sz w:val="14"/>
                <w:szCs w:val="14"/>
                <w:b w:val="1"/>
                <w:bCs w:val="1"/>
                <w:color w:val="auto"/>
                <w:w w:val="95"/>
              </w:rPr>
              <w:t>As of September 30, 2015</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coupon rate</w:t>
            </w:r>
            <w:r>
              <w:rPr>
                <w:rFonts w:ascii="Arial" w:cs="Arial" w:eastAsia="Arial" w:hAnsi="Arial"/>
                <w:sz w:val="12"/>
                <w:szCs w:val="12"/>
                <w:b w:val="1"/>
                <w:bCs w:val="1"/>
                <w:color w:val="auto"/>
                <w:w w:val="96"/>
              </w:rPr>
              <w:t>(1), (2)</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Principal Balance</w:t>
            </w: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Principal Balance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22, 2010</w:t>
            </w:r>
          </w:p>
        </w:tc>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1, 2020</w:t>
            </w:r>
          </w:p>
        </w:tc>
        <w:tc>
          <w:tcPr>
            <w:tcW w:w="6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860"/>
              <w:spacing w:after="0" w:line="142" w:lineRule="exact"/>
              <w:rPr>
                <w:sz w:val="20"/>
                <w:szCs w:val="20"/>
                <w:color w:val="auto"/>
              </w:rPr>
            </w:pPr>
            <w:r>
              <w:rPr>
                <w:rFonts w:ascii="Arial" w:cs="Arial" w:eastAsia="Arial" w:hAnsi="Arial"/>
                <w:sz w:val="14"/>
                <w:szCs w:val="14"/>
                <w:color w:val="auto"/>
              </w:rPr>
              <w:t>3.50%</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March 29, 2011</w:t>
            </w:r>
          </w:p>
        </w:tc>
        <w:tc>
          <w:tcPr>
            <w:tcW w:w="1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March 1, 2021</w:t>
            </w:r>
          </w:p>
        </w:tc>
        <w:tc>
          <w:tcPr>
            <w:tcW w:w="1760" w:type="dxa"/>
            <w:vAlign w:val="bottom"/>
            <w:gridSpan w:val="2"/>
          </w:tcPr>
          <w:p>
            <w:pPr>
              <w:ind w:left="1500"/>
              <w:spacing w:after="0" w:line="149" w:lineRule="exact"/>
              <w:rPr>
                <w:sz w:val="20"/>
                <w:szCs w:val="20"/>
                <w:color w:val="auto"/>
              </w:rPr>
            </w:pPr>
            <w:r>
              <w:rPr>
                <w:rFonts w:ascii="Arial" w:cs="Arial" w:eastAsia="Arial" w:hAnsi="Arial"/>
                <w:sz w:val="14"/>
                <w:szCs w:val="14"/>
                <w:color w:val="auto"/>
                <w:w w:val="87"/>
              </w:rPr>
              <w:t>4.46</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1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September 1, 2021</w:t>
            </w:r>
          </w:p>
        </w:tc>
        <w:tc>
          <w:tcPr>
            <w:tcW w:w="1760" w:type="dxa"/>
            <w:vAlign w:val="bottom"/>
            <w:gridSpan w:val="2"/>
            <w:shd w:val="clear" w:color="auto" w:fill="CCEEFF"/>
          </w:tcPr>
          <w:p>
            <w:pPr>
              <w:ind w:left="1500"/>
              <w:spacing w:after="0" w:line="149" w:lineRule="exact"/>
              <w:rPr>
                <w:sz w:val="20"/>
                <w:szCs w:val="20"/>
                <w:color w:val="auto"/>
              </w:rPr>
            </w:pPr>
            <w:r>
              <w:rPr>
                <w:rFonts w:ascii="Arial" w:cs="Arial" w:eastAsia="Arial" w:hAnsi="Arial"/>
                <w:sz w:val="14"/>
                <w:szCs w:val="14"/>
                <w:color w:val="auto"/>
                <w:w w:val="87"/>
              </w:rPr>
              <w:t>3.38</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line="149" w:lineRule="exact"/>
              <w:rPr>
                <w:sz w:val="20"/>
                <w:szCs w:val="20"/>
                <w:color w:val="auto"/>
              </w:rPr>
            </w:pPr>
            <w:r>
              <w:rPr>
                <w:rFonts w:ascii="Arial" w:cs="Arial" w:eastAsia="Arial" w:hAnsi="Arial"/>
                <w:sz w:val="14"/>
                <w:szCs w:val="14"/>
                <w:color w:val="auto"/>
              </w:rPr>
              <w:t>March 23, 2016</w:t>
            </w:r>
          </w:p>
        </w:tc>
        <w:tc>
          <w:tcPr>
            <w:tcW w:w="1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March 1, 2026</w:t>
            </w:r>
          </w:p>
        </w:tc>
        <w:tc>
          <w:tcPr>
            <w:tcW w:w="1760" w:type="dxa"/>
            <w:vAlign w:val="bottom"/>
            <w:gridSpan w:val="2"/>
          </w:tcPr>
          <w:p>
            <w:pPr>
              <w:ind w:left="1500"/>
              <w:spacing w:after="0" w:line="149" w:lineRule="exact"/>
              <w:rPr>
                <w:sz w:val="20"/>
                <w:szCs w:val="20"/>
                <w:color w:val="auto"/>
              </w:rPr>
            </w:pPr>
            <w:r>
              <w:rPr>
                <w:rFonts w:ascii="Arial" w:cs="Arial" w:eastAsia="Arial" w:hAnsi="Arial"/>
                <w:sz w:val="14"/>
                <w:szCs w:val="14"/>
                <w:color w:val="auto"/>
                <w:w w:val="87"/>
              </w:rPr>
              <w:t>2.86</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September 21, 2016 </w:t>
            </w:r>
            <w:r>
              <w:rPr>
                <w:rFonts w:ascii="Arial" w:cs="Arial" w:eastAsia="Arial" w:hAnsi="Arial"/>
                <w:sz w:val="12"/>
                <w:szCs w:val="12"/>
                <w:color w:val="auto"/>
              </w:rPr>
              <w:t>(3)</w:t>
            </w:r>
          </w:p>
        </w:tc>
        <w:tc>
          <w:tcPr>
            <w:tcW w:w="1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 xml:space="preserve">September 1, 2026 </w:t>
            </w:r>
            <w:r>
              <w:rPr>
                <w:rFonts w:ascii="Arial" w:cs="Arial" w:eastAsia="Arial" w:hAnsi="Arial"/>
                <w:sz w:val="12"/>
                <w:szCs w:val="12"/>
                <w:color w:val="auto"/>
                <w:w w:val="95"/>
              </w:rPr>
              <w:t>(3)</w:t>
            </w:r>
          </w:p>
        </w:tc>
        <w:tc>
          <w:tcPr>
            <w:tcW w:w="6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1.40</w:t>
            </w:r>
            <w:r>
              <w:rPr>
                <w:rFonts w:ascii="Arial" w:cs="Arial" w:eastAsia="Arial" w:hAnsi="Arial"/>
                <w:sz w:val="12"/>
                <w:szCs w:val="12"/>
                <w:color w:val="auto"/>
              </w:rPr>
              <w:t>(4)</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4"/>
                <w:szCs w:val="14"/>
                <w:color w:val="auto"/>
              </w:rPr>
              <w:t>Weighted Average Rate / Total</w:t>
            </w: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20" w:type="dxa"/>
            <w:vAlign w:val="bottom"/>
            <w:gridSpan w:val="2"/>
          </w:tcPr>
          <w:p>
            <w:pPr>
              <w:ind w:left="860"/>
              <w:spacing w:after="0" w:line="142" w:lineRule="exact"/>
              <w:rPr>
                <w:sz w:val="20"/>
                <w:szCs w:val="20"/>
                <w:color w:val="auto"/>
              </w:rPr>
            </w:pPr>
            <w:r>
              <w:rPr>
                <w:rFonts w:ascii="Arial" w:cs="Arial" w:eastAsia="Arial" w:hAnsi="Arial"/>
                <w:sz w:val="14"/>
                <w:szCs w:val="14"/>
                <w:color w:val="auto"/>
              </w:rPr>
              <w:t>3.31%</w:t>
            </w:r>
          </w:p>
        </w:tc>
        <w:tc>
          <w:tcPr>
            <w:tcW w:w="340" w:type="dxa"/>
            <w:vAlign w:val="bottom"/>
            <w:vMerge w:val="continue"/>
          </w:tcPr>
          <w:p>
            <w:pPr>
              <w:spacing w:after="0"/>
              <w:rPr>
                <w:sz w:val="12"/>
                <w:szCs w:val="12"/>
                <w:color w:val="auto"/>
              </w:rPr>
            </w:pPr>
          </w:p>
        </w:tc>
        <w:tc>
          <w:tcPr>
            <w:tcW w:w="2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197,500,000</w:t>
            </w:r>
          </w:p>
        </w:tc>
        <w:tc>
          <w:tcPr>
            <w:tcW w:w="720" w:type="dxa"/>
            <w:vAlign w:val="bottom"/>
            <w:vMerge w:val="continue"/>
          </w:tcPr>
          <w:p>
            <w:pPr>
              <w:spacing w:after="0"/>
              <w:rPr>
                <w:sz w:val="12"/>
                <w:szCs w:val="12"/>
                <w:color w:val="auto"/>
              </w:rPr>
            </w:pP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2"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93980</wp:posOffset>
            </wp:positionV>
            <wp:extent cx="18599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880" w:hanging="319"/>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Excluding 3.43% of upfront fees.</w:t>
      </w:r>
    </w:p>
    <w:p>
      <w:pPr>
        <w:ind w:left="880" w:hanging="319"/>
        <w:spacing w:after="0" w:line="221" w:lineRule="auto"/>
        <w:tabs>
          <w:tab w:leader="none" w:pos="8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As of September 30, 2015, the fixed all-in coupon rate was 3.70%.</w:t>
      </w:r>
    </w:p>
    <w:p>
      <w:pPr>
        <w:ind w:left="880" w:hanging="319"/>
        <w:spacing w:after="0" w:line="221" w:lineRule="auto"/>
        <w:tabs>
          <w:tab w:leader="none" w:pos="8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Represents expected next pooling date and maturity date.</w:t>
      </w:r>
    </w:p>
    <w:p>
      <w:pPr>
        <w:ind w:left="880" w:hanging="319"/>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Represents a temporary financing that will reset to a market-driven rate in September 2016 and remain fixed thereafter for ten years.</w:t>
      </w:r>
    </w:p>
    <w:p>
      <w:pPr>
        <w:spacing w:after="0" w:line="84"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2016, our SBIC Funds were in compliance with their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96" w:lineRule="exact"/>
        <w:rPr>
          <w:sz w:val="20"/>
          <w:szCs w:val="20"/>
          <w:color w:val="auto"/>
        </w:rPr>
      </w:pPr>
    </w:p>
    <w:p>
      <w:pPr>
        <w:ind w:right="140" w:firstLine="562"/>
        <w:spacing w:after="0" w:line="264" w:lineRule="auto"/>
        <w:rPr>
          <w:sz w:val="20"/>
          <w:szCs w:val="20"/>
          <w:color w:val="auto"/>
        </w:rPr>
      </w:pPr>
      <w:r>
        <w:rPr>
          <w:rFonts w:ascii="Arial" w:cs="Arial" w:eastAsia="Arial" w:hAnsi="Arial"/>
          <w:sz w:val="13"/>
          <w:szCs w:val="13"/>
          <w:color w:val="auto"/>
        </w:rPr>
        <w:t>As of June 30, 2016 and September 30, 2015,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of June 30, 2016 and September 30, 2015, we had $71.3 million in aggregate principal amount of 2025 Notes outstanding. Interest on the 2025 Notes is paid quarterly on</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February 1, May 1, August 1 and November 1, at a rate of 6.25% per year. The 2025 Notes mature on February 1, 2025. The 2025 Notes are general, unsecured obligations and rank equal in right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of payment with all of our existing and future senior unsecured indebtedness. The 2025 Notes are structurally subordinated to our SBA debentures and the assets pledged or secured under our</w:t>
      </w:r>
    </w:p>
    <w:p>
      <w:pPr>
        <w:spacing w:after="0"/>
        <w:rPr>
          <w:sz w:val="20"/>
          <w:szCs w:val="20"/>
          <w:color w:val="auto"/>
        </w:rPr>
      </w:pPr>
      <w:r>
        <w:rPr>
          <w:rFonts w:ascii="Arial" w:cs="Arial" w:eastAsia="Arial" w:hAnsi="Arial"/>
          <w:sz w:val="14"/>
          <w:szCs w:val="14"/>
          <w:color w:val="auto"/>
        </w:rPr>
        <w:t>Credit Facility.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2016 and September 30, 2015, we had $3.1 million and $19.7 million, respectively, in commitments to fund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 REPURCHASE PROGRAM</w:t>
      </w:r>
    </w:p>
    <w:p>
      <w:pPr>
        <w:spacing w:after="0" w:line="100" w:lineRule="exact"/>
        <w:rPr>
          <w:sz w:val="20"/>
          <w:szCs w:val="20"/>
          <w:color w:val="auto"/>
        </w:rPr>
      </w:pPr>
    </w:p>
    <w:p>
      <w:pPr>
        <w:jc w:val="both"/>
        <w:ind w:right="200" w:firstLine="562"/>
        <w:spacing w:after="0" w:line="265" w:lineRule="auto"/>
        <w:rPr>
          <w:sz w:val="20"/>
          <w:szCs w:val="20"/>
          <w:color w:val="auto"/>
        </w:rPr>
      </w:pPr>
      <w:r>
        <w:rPr>
          <w:rFonts w:ascii="Arial" w:cs="Arial" w:eastAsia="Arial" w:hAnsi="Arial"/>
          <w:sz w:val="12"/>
          <w:szCs w:val="12"/>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program expired on May 6, 2016. During the three and nine months ended June 30, 2016, we repurchased zero and 1.9 million shares of common stock, respectively, in open market transactions for an aggregate cost (including transaction costs) of zero and $12.2 million, respectively.</w:t>
      </w:r>
    </w:p>
    <w:p>
      <w:pPr>
        <w:jc w:val="both"/>
        <w:ind w:right="200"/>
        <w:spacing w:after="0" w:line="237" w:lineRule="auto"/>
        <w:rPr>
          <w:sz w:val="20"/>
          <w:szCs w:val="20"/>
          <w:color w:val="auto"/>
        </w:rPr>
      </w:pPr>
      <w:r>
        <w:rPr>
          <w:rFonts w:ascii="Arial" w:cs="Arial" w:eastAsia="Arial" w:hAnsi="Arial"/>
          <w:sz w:val="14"/>
          <w:szCs w:val="14"/>
          <w:color w:val="auto"/>
        </w:rPr>
        <w:t>From May 6, 2015 through the program’s expiration, we purchased 4.0 million shares of common stock in open market transactions for an aggregate cost (including transaction costs) of $30.1 million.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Investment Corporation and its Subsidiaries (collectively referred to as the “Company”), including the consolidated schedule of investments, as of June 30, 2016, the consolidated statements of operations for the three and nine months ended June 30, 2016 and 2015, and the consolidated statements of changes in net assets and cash flows for the nine months ended June 30, 2016 and 2015. These consolidated financial statements are the responsibility of the Company’s management.</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2015, and the related consolidated statements of operations, changes in net assets, and cash flows for the year then ended (not presented herein); and in our report dated November 10, 2015, we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8,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European sovereign debt and other world economic issues.</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debt, mezzanine debt and equity investments.</w:t>
      </w:r>
    </w:p>
    <w:p>
      <w:pPr>
        <w:spacing w:after="0" w:line="84"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5"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3"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financing costs on liabilities, which we do not fair value, are capitalized and then accreted or amortized using the effective interest method as interest income or, in the case of deferred financing cost, as interest expense. We record prepayment penalties on loans and debt securities as income. Dividend income, if any, is recognized on an accrual basis on the ex-dividend date to the extent that we expect to collect such amounts.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09"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80" w:firstLine="562"/>
        <w:spacing w:after="0" w:line="229" w:lineRule="auto"/>
        <w:rPr>
          <w:sz w:val="20"/>
          <w:szCs w:val="20"/>
          <w:color w:val="auto"/>
        </w:rPr>
      </w:pPr>
      <w:r>
        <w:rPr>
          <w:rFonts w:ascii="Arial" w:cs="Arial" w:eastAsia="Arial" w:hAnsi="Arial"/>
          <w:sz w:val="14"/>
          <w:szCs w:val="14"/>
          <w:color w:val="auto"/>
        </w:rPr>
        <w:t>As of June 30, 2016, our portfolio totaled $1,236.6 million and consisted of $422.0 million of senior secured debt, $508.6 million of second lien secured debt, $175.4 million of subordinated debt and $130.6 million of preferred and common equity. Our debt portfolio consisted of 81% variable-rate investments (including 77% with a LIBOR or prime floor) and 19% fixed-rate investments. As of June 30, 2016, we had three companies on non-accrual, representing 3.1% and 1.6% of our overall portfolio on a cost and fair value basis, respectively. Overall, the portfolio had net unrealized depreciation of $123.1 million as of June 30, 2016. Our overall portfolio consisted of 59 companies with an average investment size of $21.0 million, had a weighted average yield on interest bearing debt investments of 11.8% and was invested 34% in senior secured debt, 41% in second lien secured debt, 14% in subordinated debt and 11% in preferred and common equity.</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interest bearing debt investments of 12.1% and was invested 31% in senior secured debt, 47% in second lien secured debt, 14% in subordinated debt and 8% in preferred and common equity.</w:t>
      </w:r>
    </w:p>
    <w:p>
      <w:pPr>
        <w:spacing w:after="0" w:line="77" w:lineRule="exact"/>
        <w:rPr>
          <w:sz w:val="20"/>
          <w:szCs w:val="20"/>
          <w:color w:val="auto"/>
        </w:rPr>
      </w:pPr>
    </w:p>
    <w:p>
      <w:pPr>
        <w:jc w:val="both"/>
        <w:ind w:right="340" w:firstLine="562"/>
        <w:spacing w:after="0" w:line="264" w:lineRule="auto"/>
        <w:rPr>
          <w:sz w:val="20"/>
          <w:szCs w:val="20"/>
          <w:color w:val="auto"/>
        </w:rPr>
      </w:pPr>
      <w:r>
        <w:rPr>
          <w:rFonts w:ascii="Arial" w:cs="Arial" w:eastAsia="Arial" w:hAnsi="Arial"/>
          <w:sz w:val="13"/>
          <w:szCs w:val="13"/>
          <w:color w:val="auto"/>
        </w:rPr>
        <w:t>For the three months ended June 30, 2016, we invested $90.5 million in eight existing portfolio companies with a weighted average yield on debt investments of 12.4%. Sales and repayments of investments for the three months ended June 30, 2016 totaled $103.1 million. For the nine months ended June 30, 2016, we invested $307.3 million in six new and 18 existing portfolio companies with a weighted average yield on debt investments of 11.9%. Sales and repayments of investments for the nine months ended June 30, 2016 totaled $304.1 million.</w:t>
      </w:r>
    </w:p>
    <w:p>
      <w:pPr>
        <w:spacing w:after="0" w:line="60" w:lineRule="exact"/>
        <w:rPr>
          <w:sz w:val="20"/>
          <w:szCs w:val="20"/>
          <w:color w:val="auto"/>
        </w:rPr>
      </w:pPr>
    </w:p>
    <w:p>
      <w:pPr>
        <w:jc w:val="both"/>
        <w:ind w:right="120" w:firstLine="562"/>
        <w:spacing w:after="0" w:line="296" w:lineRule="auto"/>
        <w:rPr>
          <w:sz w:val="20"/>
          <w:szCs w:val="20"/>
          <w:color w:val="auto"/>
        </w:rPr>
      </w:pPr>
      <w:r>
        <w:rPr>
          <w:rFonts w:ascii="Arial" w:cs="Arial" w:eastAsia="Arial" w:hAnsi="Arial"/>
          <w:sz w:val="12"/>
          <w:szCs w:val="12"/>
          <w:color w:val="auto"/>
        </w:rPr>
        <w:t>For the three months ended June 30, 2015, we invested $113.3 million in three new and nine existing portfolio companies with a weighted average yield on debt investments of 10.8%. Sales and repayments of investments for the three months ended June 30, 2015 totaled $107.0 million. For the nine months ended June 30, 2015, we invested $344.8 million in eight new and 22 existing portfolio companies with a weighted average yield on debt investments of 12.1%. Sales and repayments of investments for the nine months ended June 30, 2015 totaled $289.5 million.</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80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8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8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and nine months ended June 30, 2016, our Credit Facility and our Notes had a net change in unrealized (appreciation) depreciation of $(2.4) million and $15.6 million, respectively. For the three and nine months ended June 30, 2015, our Credit Facility and our Notes had a net change in unrealized depreciation of $0.6 million and $2.3 million, respectively. As of June 30, 2016 and September 30, 2015, net unrealized depreciation on our Credit Facility and our Notes totaled $17.1 million and $1.5 million, respectively. We use a nationally recognized independent valuation service to measure the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 values,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 w:firstLine="562"/>
        <w:spacing w:after="0" w:line="241"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to our stockholders of an amount generally at least equal to 90% of the sum of our net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the sum of our capital gain net income (i.e. the excess, if any, of our capital gains over capital losses) for the one-year period ending on October 31 of the calendar year plus</w:t>
      </w:r>
    </w:p>
    <w:p>
      <w:pPr>
        <w:spacing w:after="0" w:line="2" w:lineRule="exact"/>
        <w:rPr>
          <w:sz w:val="20"/>
          <w:szCs w:val="20"/>
          <w:color w:val="auto"/>
        </w:rPr>
      </w:pPr>
    </w:p>
    <w:p>
      <w:pPr>
        <w:ind w:right="40" w:firstLine="8"/>
        <w:spacing w:after="0" w:line="229" w:lineRule="auto"/>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subject to tax as a RIC, to provide us with additional liquidity.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and nine months ended June 30, 2016 and 2015.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Investment income for the three and nine months ended June 30, 2016 was $35.5 million and $109.9 million, respectively, and was attributable to $14.3 million and $46.7 million from senior secured loans, $14.9 million and $46.2 million from second lien secured debt and the remainder from subordinated debt, preferred and common equity, respectively. This compares to investment income for the three and nine months ended June 30, 2015, which was $40.6 million and $122.5 million, respectively, and was attributable to $12.3 million and $42.6 million from senior secured loans, $19.5 million and $54.1 million from second lien secured debt, $7.2 million and $23.5 million from subordinated debt and the remainder from preferred and common equity, respectively. The decrease in investment income compared with the same periods in the prior year was primarily due to a lower yielding portfolio.</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180" w:firstLine="562"/>
        <w:spacing w:after="0" w:line="247" w:lineRule="auto"/>
        <w:rPr>
          <w:sz w:val="20"/>
          <w:szCs w:val="20"/>
          <w:color w:val="auto"/>
        </w:rPr>
      </w:pPr>
      <w:r>
        <w:rPr>
          <w:rFonts w:ascii="Arial" w:cs="Arial" w:eastAsia="Arial" w:hAnsi="Arial"/>
          <w:sz w:val="13"/>
          <w:szCs w:val="13"/>
          <w:color w:val="auto"/>
        </w:rPr>
        <w:t>Net expenses for the three and nine months ended June 30, 2016 totaled $17.7 million and $54.5 million, respectively. Base management fee for the same periods totaled $5.2 million (after a base management fee waiver of $1.0 million) and $15.8 million (after a base management fee waiver of $3.0 million), incentive fee totaled $3.4 million (after an incentive fee waiver of $0.6 million) and $10.6 million (after an incentive fee waiver of $2.0 million), debt related interest and expenses totaled $7.0 million and $20.7 million, general and administrative expenses totaled $1.7 million and $5.4 million and provision for taxes totaled $0.4 million and $2.0 million, respectively. This compares to expenses for the three and nine months ended June 30, 2015, which totaled $20.0 million and $60.3 million, respectively. Base management fee for the same periods totaled $6.5 million and $20.1 million, incentive fee totaled $5.2 million and $15.6 million, debt related interest and expenses totaled $6.6 million and $19.7 million and general and administrative expenses totaled $1.7 million and $4.9 million, respectively. The decrease in expenses compared with the same periods in the prior year was primarily due to the Management Fee waiver and lower portfolio size partially offset by a higher provision for taxes.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Net investment income totaled $17.8 million and $55.5 million, or $0.25 and $0.77 per share, for the three and nine months ended June 30, 2016, respectively. Net investment income totaled $20.7 million and $62.2 million, or $0.28 and $0.83 per share, for the three and nine months ended June 30, 2015, respectively. The decrease in net investment income per share compared to the same periods in the prior year was primarily due to the repayments of higher yielding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Sales and repayments of investments for the three and nine months ended June 30, 2016 totaled $103.1 million and $304.1 million, respectively, and realized losses totaled $45.5 million and $82.1 million, respectively. Sales and repayments of investments for the three and nine months ended June 30, 2015 totaled $107.0 million and $289.5 million, respectively, and realized gains totaled $13.8 million and $31.9 million, respectively. The increase in realized losses compared with the same periods in the prior year was primarily due to certain portfolio companies sales or restructurings.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For the three and nine months ended June 30, 2016, we reported a net change in unrealized appreciation on investments of $58.0 million and $2.1 million, respectively. For the three and nine months ended June 30, 2015, we reported a net change in unrealized depreciation on investments of $30.2 million and $108.1 million, respectively. As of June 30, 2016 and September 30, 2015, our net unrealized depreciation on investments totaled $123.1 million and $125.2 million, respectively. The net change in unrealized depreciation on our investments was driven primarily by changes in the capital market conditions, financial performance of certain portfolio companies, and the reversal of unrealized depreciation (appreciation) of investments sold or restructured.</w:t>
      </w:r>
    </w:p>
    <w:p>
      <w:pPr>
        <w:spacing w:after="0" w:line="67"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For the three and nine months ended June 30, 2016, we reported a net change in unrealized (appreciation) depreciation on our Credit Facility and our Notes of $(2.4) million and $15.6 million, respectively. For the three and nine months ended June 30, 2015, we reported a net change in unrealized depreciation on our Credit Facility and our Notes of $0.6 million and $2.3 million, respectively. The change compared with the same periods in the prior year was primarily due to changes in the capital markets.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Net change in net assets resulting from operations totaled $27.8 million and $(9.0) million, or $0.39 and $(0.12) per share, for the three and nine months ended June 30, 2016, respectively. This compares to a net change in net assets resulting from operations of $4.9 million and $(11.6) million, or $0.07 and $(0.16) per share, for the three and nine months ended June 30, 2015, respectively. The increase in the net change in net assets from operations compared with the same periods in the prior year reflects the change in portfolio investment values during the reporting periods.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6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As of June 30, 2016, we had a $545 million multi-currency Credit Facility with certain lenders and SunTrust Bank, acting as administrative agent, and JPMorgan Chase Bank, N.A., acting as syndication agent for the lenders. As of June 30, 2016 and September 30, 2015, there was $117.1 million and $136.9 million (including a temporary draw of $30.0 million), respectively, in outstanding borrowings under the Credit Facility. The Credit Facility had a weighted average interest rate at the time of 2.82% and 3.07%, respectively, exclusive of the fee on undrawn commitments. The annualized weighted average cost of debt for the nine months ended June 30, 2016 and 2015, inclusive of the fee on the undrawn commitment of 0.375% on the Credit Facility and upfront fees on SBA debentures, was 4.36% and 4.55%, respectively. The Credit Facility is a five-year revolving facility with a stated maturity date of June 25, 2019, a one-year term-out period following its fourth year and pricing is set at 225 basis points over LIBOR. As of June 30, 2016 and September 30, 2015, we had $427.9 million and $408.1 million of unused borrowing capacity under our Credit Facility, respectively, subject to the regulatory restrictions. The Credit Facility is secured by substantially all of our assets excluding assets held by our SBIC Funds.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June 30, 2016, we were in compliance with the terms of our Credit Facility.</w:t>
      </w:r>
    </w:p>
    <w:p>
      <w:pPr>
        <w:spacing w:after="0" w:line="6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base indenture filed as Exhibit (d)(8) to our post-effective amendment filed on January 22, 2013, or the Base Indenture, and the supplemental indenture filed as Exhibit (d)(11) to our post-effective amendment filed on September 23, 2014 for more information.</w:t>
      </w:r>
    </w:p>
    <w:p>
      <w:pPr>
        <w:spacing w:after="0" w:line="76"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Please see our Base Indenture and the supplemental indenture filed as Exhibit (d)(9) to our post-effective amendment filed on January 22, 2013 for more information.</w:t>
      </w:r>
    </w:p>
    <w:p>
      <w:pPr>
        <w:spacing w:after="0" w:line="76"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 For each of the nine month periods ended June 30, 2016 and 2015, we did not issue shares of common stock in connection with an equity offering.</w:t>
      </w:r>
    </w:p>
    <w:p>
      <w:pPr>
        <w:spacing w:after="0" w:line="77" w:lineRule="exact"/>
        <w:rPr>
          <w:sz w:val="20"/>
          <w:szCs w:val="20"/>
          <w:color w:val="auto"/>
        </w:rPr>
      </w:pPr>
    </w:p>
    <w:p>
      <w:pPr>
        <w:ind w:right="120"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2016. We have funded SBIC II with $47.5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per recent regulatory changes, as part of a group of SBICs under common control may borrow a maximum of $350.0 million in the aggregate.</w:t>
      </w:r>
    </w:p>
    <w:p>
      <w:pPr>
        <w:spacing w:after="0" w:line="72" w:lineRule="exact"/>
        <w:rPr>
          <w:sz w:val="20"/>
          <w:szCs w:val="20"/>
          <w:color w:val="auto"/>
        </w:rPr>
      </w:pPr>
    </w:p>
    <w:p>
      <w:pPr>
        <w:jc w:val="both"/>
        <w:ind w:right="300" w:firstLine="562"/>
        <w:spacing w:after="0" w:line="238" w:lineRule="auto"/>
        <w:rPr>
          <w:sz w:val="20"/>
          <w:szCs w:val="20"/>
          <w:color w:val="auto"/>
        </w:rPr>
      </w:pPr>
      <w:r>
        <w:rPr>
          <w:rFonts w:ascii="Arial" w:cs="Arial" w:eastAsia="Arial" w:hAnsi="Arial"/>
          <w:sz w:val="14"/>
          <w:szCs w:val="14"/>
          <w:color w:val="auto"/>
        </w:rPr>
        <w:t>As of June 30, 2016 and September 30, 2015, our SBIC Funds had $225.0 million in debt commitments, of which $197.5 million and $150.0 million was drawn, respectively. As of June 30, 2016 and September 30, 2015, the unamortized fees on the SBA debentures was $4.4 million and $3.7 million, respectively. The SBA debentures’ upfront fees of 3.43% consist of a commitment fee of 1.00% and an issuance discount of 2.43%, which are being amortized.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were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Issuance Dates</w:t>
            </w:r>
          </w:p>
        </w:tc>
        <w:tc>
          <w:tcPr>
            <w:tcW w:w="660" w:type="dxa"/>
            <w:vAlign w:val="bottom"/>
          </w:tcPr>
          <w:p>
            <w:pPr>
              <w:spacing w:after="0"/>
              <w:rPr>
                <w:sz w:val="14"/>
                <w:szCs w:val="14"/>
                <w:color w:val="auto"/>
              </w:rPr>
            </w:pPr>
          </w:p>
        </w:tc>
        <w:tc>
          <w:tcPr>
            <w:tcW w:w="12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Maturity</w:t>
            </w:r>
          </w:p>
        </w:tc>
        <w:tc>
          <w:tcPr>
            <w:tcW w:w="640" w:type="dxa"/>
            <w:vAlign w:val="bottom"/>
          </w:tcPr>
          <w:p>
            <w:pPr>
              <w:spacing w:after="0"/>
              <w:rPr>
                <w:sz w:val="14"/>
                <w:szCs w:val="1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Fixed All-in</w:t>
            </w:r>
          </w:p>
        </w:tc>
        <w:tc>
          <w:tcPr>
            <w:tcW w:w="1540" w:type="dxa"/>
            <w:vAlign w:val="bottom"/>
            <w:gridSpan w:val="3"/>
          </w:tcPr>
          <w:p>
            <w:pPr>
              <w:ind w:left="340"/>
              <w:spacing w:after="0"/>
              <w:rPr>
                <w:sz w:val="20"/>
                <w:szCs w:val="20"/>
                <w:color w:val="auto"/>
              </w:rPr>
            </w:pPr>
            <w:r>
              <w:rPr>
                <w:rFonts w:ascii="Arial" w:cs="Arial" w:eastAsia="Arial" w:hAnsi="Arial"/>
                <w:sz w:val="14"/>
                <w:szCs w:val="14"/>
                <w:b w:val="1"/>
                <w:bCs w:val="1"/>
                <w:color w:val="auto"/>
                <w:w w:val="90"/>
              </w:rPr>
              <w:t>As of June 30, 2016</w:t>
            </w:r>
          </w:p>
        </w:tc>
        <w:tc>
          <w:tcPr>
            <w:tcW w:w="2380" w:type="dxa"/>
            <w:vAlign w:val="bottom"/>
            <w:gridSpan w:val="4"/>
          </w:tcPr>
          <w:p>
            <w:pPr>
              <w:ind w:left="740"/>
              <w:spacing w:after="0"/>
              <w:rPr>
                <w:sz w:val="20"/>
                <w:szCs w:val="20"/>
                <w:color w:val="auto"/>
              </w:rPr>
            </w:pPr>
            <w:r>
              <w:rPr>
                <w:rFonts w:ascii="Arial" w:cs="Arial" w:eastAsia="Arial" w:hAnsi="Arial"/>
                <w:sz w:val="14"/>
                <w:szCs w:val="14"/>
                <w:b w:val="1"/>
                <w:bCs w:val="1"/>
                <w:color w:val="auto"/>
                <w:w w:val="95"/>
              </w:rPr>
              <w:t>As of September 30, 2015</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2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2"/>
              </w:rPr>
              <w:t>coupon rate</w:t>
            </w:r>
            <w:r>
              <w:rPr>
                <w:rFonts w:ascii="Arial" w:cs="Arial" w:eastAsia="Arial" w:hAnsi="Arial"/>
                <w:sz w:val="12"/>
                <w:szCs w:val="12"/>
                <w:b w:val="1"/>
                <w:bCs w:val="1"/>
                <w:color w:val="auto"/>
                <w:w w:val="92"/>
              </w:rPr>
              <w:t>(1), (2)</w:t>
            </w:r>
          </w:p>
        </w:tc>
        <w:tc>
          <w:tcPr>
            <w:tcW w:w="3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Principal Balance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 Balance</w:t>
            </w:r>
          </w:p>
        </w:tc>
        <w:tc>
          <w:tcPr>
            <w:tcW w:w="0" w:type="dxa"/>
            <w:vAlign w:val="bottom"/>
          </w:tcPr>
          <w:p>
            <w:pPr>
              <w:spacing w:after="0"/>
              <w:rPr>
                <w:sz w:val="1"/>
                <w:szCs w:val="1"/>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22, 2010</w:t>
            </w:r>
          </w:p>
        </w:tc>
        <w:tc>
          <w:tcPr>
            <w:tcW w:w="660" w:type="dxa"/>
            <w:vAlign w:val="bottom"/>
            <w:vMerge w:val="continue"/>
            <w:shd w:val="clear" w:color="auto" w:fill="CCEEFF"/>
          </w:tcPr>
          <w:p>
            <w:pPr>
              <w:spacing w:after="0"/>
              <w:rPr>
                <w:sz w:val="12"/>
                <w:szCs w:val="12"/>
                <w:color w:val="auto"/>
              </w:rPr>
            </w:pPr>
          </w:p>
        </w:tc>
        <w:tc>
          <w:tcPr>
            <w:tcW w:w="1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1, 2020</w:t>
            </w:r>
          </w:p>
        </w:tc>
        <w:tc>
          <w:tcPr>
            <w:tcW w:w="640" w:type="dxa"/>
            <w:vAlign w:val="bottom"/>
            <w:vMerge w:val="continue"/>
            <w:shd w:val="clear" w:color="auto" w:fill="CCEEFF"/>
          </w:tcPr>
          <w:p>
            <w:pPr>
              <w:spacing w:after="0"/>
              <w:rPr>
                <w:sz w:val="12"/>
                <w:szCs w:val="12"/>
                <w:color w:val="auto"/>
              </w:rPr>
            </w:pPr>
          </w:p>
        </w:tc>
        <w:tc>
          <w:tcPr>
            <w:tcW w:w="1560" w:type="dxa"/>
            <w:vAlign w:val="bottom"/>
            <w:gridSpan w:val="2"/>
            <w:shd w:val="clear" w:color="auto" w:fill="CCEEFF"/>
          </w:tcPr>
          <w:p>
            <w:pPr>
              <w:ind w:left="820"/>
              <w:spacing w:after="0" w:line="142" w:lineRule="exact"/>
              <w:rPr>
                <w:sz w:val="20"/>
                <w:szCs w:val="20"/>
                <w:color w:val="auto"/>
              </w:rPr>
            </w:pPr>
            <w:r>
              <w:rPr>
                <w:rFonts w:ascii="Arial" w:cs="Arial" w:eastAsia="Arial" w:hAnsi="Arial"/>
                <w:sz w:val="14"/>
                <w:szCs w:val="14"/>
                <w:color w:val="auto"/>
              </w:rPr>
              <w:t>3.50%</w:t>
            </w:r>
          </w:p>
        </w:tc>
        <w:tc>
          <w:tcPr>
            <w:tcW w:w="36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Arial" w:cs="Arial" w:eastAsia="Arial" w:hAnsi="Arial"/>
                <w:sz w:val="14"/>
                <w:szCs w:val="14"/>
                <w:color w:val="auto"/>
              </w:rPr>
              <w:t>March 29, 2011</w:t>
            </w:r>
          </w:p>
        </w:tc>
        <w:tc>
          <w:tcPr>
            <w:tcW w:w="1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March 1, 2021</w:t>
            </w:r>
          </w:p>
        </w:tc>
        <w:tc>
          <w:tcPr>
            <w:tcW w:w="1720" w:type="dxa"/>
            <w:vAlign w:val="bottom"/>
            <w:gridSpan w:val="2"/>
          </w:tcPr>
          <w:p>
            <w:pPr>
              <w:ind w:left="1460"/>
              <w:spacing w:after="0" w:line="149" w:lineRule="exact"/>
              <w:rPr>
                <w:sz w:val="20"/>
                <w:szCs w:val="20"/>
                <w:color w:val="auto"/>
              </w:rPr>
            </w:pPr>
            <w:r>
              <w:rPr>
                <w:rFonts w:ascii="Arial" w:cs="Arial" w:eastAsia="Arial" w:hAnsi="Arial"/>
                <w:sz w:val="14"/>
                <w:szCs w:val="14"/>
                <w:color w:val="auto"/>
                <w:w w:val="87"/>
              </w:rPr>
              <w:t>4.46</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1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September 1, 2021</w:t>
            </w:r>
          </w:p>
        </w:tc>
        <w:tc>
          <w:tcPr>
            <w:tcW w:w="172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w w:val="87"/>
              </w:rPr>
              <w:t>3.38</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Arial" w:cs="Arial" w:eastAsia="Arial" w:hAnsi="Arial"/>
                <w:sz w:val="14"/>
                <w:szCs w:val="14"/>
                <w:color w:val="auto"/>
              </w:rPr>
              <w:t>March 23, 2016</w:t>
            </w:r>
          </w:p>
        </w:tc>
        <w:tc>
          <w:tcPr>
            <w:tcW w:w="1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March 1, 2026</w:t>
            </w:r>
          </w:p>
        </w:tc>
        <w:tc>
          <w:tcPr>
            <w:tcW w:w="1720" w:type="dxa"/>
            <w:vAlign w:val="bottom"/>
            <w:gridSpan w:val="2"/>
          </w:tcPr>
          <w:p>
            <w:pPr>
              <w:ind w:left="1460"/>
              <w:spacing w:after="0" w:line="149" w:lineRule="exact"/>
              <w:rPr>
                <w:sz w:val="20"/>
                <w:szCs w:val="20"/>
                <w:color w:val="auto"/>
              </w:rPr>
            </w:pPr>
            <w:r>
              <w:rPr>
                <w:rFonts w:ascii="Arial" w:cs="Arial" w:eastAsia="Arial" w:hAnsi="Arial"/>
                <w:sz w:val="14"/>
                <w:szCs w:val="14"/>
                <w:color w:val="auto"/>
                <w:w w:val="87"/>
              </w:rPr>
              <w:t>2.86</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September 21, 2016 </w:t>
            </w:r>
            <w:r>
              <w:rPr>
                <w:rFonts w:ascii="Arial" w:cs="Arial" w:eastAsia="Arial" w:hAnsi="Arial"/>
                <w:sz w:val="12"/>
                <w:szCs w:val="12"/>
                <w:color w:val="auto"/>
              </w:rPr>
              <w:t>(3)</w:t>
            </w:r>
          </w:p>
        </w:tc>
        <w:tc>
          <w:tcPr>
            <w:tcW w:w="1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w w:val="91"/>
              </w:rPr>
              <w:t xml:space="preserve">September 1, 2026 </w:t>
            </w:r>
            <w:r>
              <w:rPr>
                <w:rFonts w:ascii="Arial" w:cs="Arial" w:eastAsia="Arial" w:hAnsi="Arial"/>
                <w:sz w:val="12"/>
                <w:szCs w:val="12"/>
                <w:color w:val="auto"/>
                <w:w w:val="91"/>
              </w:rPr>
              <w:t>(3)</w:t>
            </w:r>
          </w:p>
        </w:tc>
        <w:tc>
          <w:tcPr>
            <w:tcW w:w="6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rPr>
              <w:t>1.40</w:t>
            </w:r>
            <w:r>
              <w:rPr>
                <w:rFonts w:ascii="Arial" w:cs="Arial" w:eastAsia="Arial" w:hAnsi="Arial"/>
                <w:sz w:val="12"/>
                <w:szCs w:val="12"/>
                <w:color w:val="auto"/>
              </w:rPr>
              <w:t>(4)</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4"/>
                <w:szCs w:val="14"/>
                <w:color w:val="auto"/>
              </w:rPr>
              <w:t>Weighted Average Rate / Total</w:t>
            </w: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560" w:type="dxa"/>
            <w:vAlign w:val="bottom"/>
            <w:gridSpan w:val="2"/>
          </w:tcPr>
          <w:p>
            <w:pPr>
              <w:ind w:left="820"/>
              <w:spacing w:after="0" w:line="155" w:lineRule="exact"/>
              <w:rPr>
                <w:sz w:val="20"/>
                <w:szCs w:val="20"/>
                <w:color w:val="auto"/>
              </w:rPr>
            </w:pPr>
            <w:r>
              <w:rPr>
                <w:rFonts w:ascii="Arial" w:cs="Arial" w:eastAsia="Arial" w:hAnsi="Arial"/>
                <w:sz w:val="14"/>
                <w:szCs w:val="14"/>
                <w:color w:val="auto"/>
              </w:rPr>
              <w:t>3.31%</w:t>
            </w:r>
          </w:p>
        </w:tc>
        <w:tc>
          <w:tcPr>
            <w:tcW w:w="360" w:type="dxa"/>
            <w:vAlign w:val="bottom"/>
            <w:vMerge w:val="continue"/>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197,500,000</w:t>
            </w:r>
          </w:p>
        </w:tc>
        <w:tc>
          <w:tcPr>
            <w:tcW w:w="74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8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Excluding 3.43% of upfront fees.</w:t>
      </w:r>
    </w:p>
    <w:p>
      <w:pPr>
        <w:ind w:left="340" w:hanging="332"/>
        <w:spacing w:after="0" w:line="221"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4"/>
          <w:szCs w:val="14"/>
          <w:color w:val="auto"/>
        </w:rPr>
        <w:t>As of September 30, 2015, the fixed all-in coupon rate was 3.70%.</w:t>
      </w:r>
    </w:p>
    <w:p>
      <w:pPr>
        <w:ind w:left="340" w:hanging="332"/>
        <w:spacing w:after="0" w:line="221"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4"/>
          <w:szCs w:val="14"/>
          <w:color w:val="auto"/>
        </w:rPr>
        <w:t>Represents expected next pooling date and maturity date.</w:t>
      </w: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4"/>
          <w:szCs w:val="14"/>
          <w:color w:val="auto"/>
        </w:rPr>
        <w:t>Represents a temporary financing that will reset to a market-driven rate in September 2016 and remain fixed thereafter for ten years.</w:t>
      </w:r>
    </w:p>
    <w:p>
      <w:pPr>
        <w:spacing w:after="0" w:line="84"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2016, our SBIC Funds were in compliance with their regulatory requirements.</w:t>
      </w:r>
    </w:p>
    <w:p>
      <w:pPr>
        <w:spacing w:after="0" w:line="76"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June 30, 2016 and September 30, 2015,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67"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At June 30, 2016 and September 30, 2015, we had cash and cash equivalents at fair value of $37.9 million and $49.6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480" w:firstLine="562"/>
        <w:spacing w:after="0" w:line="253" w:lineRule="auto"/>
        <w:rPr>
          <w:sz w:val="20"/>
          <w:szCs w:val="20"/>
          <w:color w:val="auto"/>
        </w:rPr>
      </w:pPr>
      <w:r>
        <w:rPr>
          <w:rFonts w:ascii="Arial" w:cs="Arial" w:eastAsia="Arial" w:hAnsi="Arial"/>
          <w:sz w:val="14"/>
          <w:szCs w:val="14"/>
          <w:color w:val="auto"/>
        </w:rPr>
        <w:t>Our operating activities provided cash of $34.2 million for the nine months ended June 30, 2016, and our financing activities used cash of $46.0 million for the same period. Our operating activities provided cash from sales and repayments on our investments and our financing activities used cash primarily for our stock repurchase plan.</w:t>
      </w:r>
    </w:p>
    <w:p>
      <w:pPr>
        <w:spacing w:after="0" w:line="66"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Our operating activities provided cash of $41.4 million for the nine months ended June 30, 2015, primarily for net purchases of investments. Our financing activities used cash of $24.8 million for the same period, primarily to repay certain amounts under our Credit Facility.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at cost as of June 30, 2016, including borrowings under our various debt facilities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4"/>
              </w:rPr>
              <w:t>Payments due by period (in millions)</w:t>
            </w: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Less than 1 year</w:t>
            </w:r>
          </w:p>
        </w:tc>
        <w:tc>
          <w:tcPr>
            <w:tcW w:w="180" w:type="dxa"/>
            <w:vAlign w:val="bottom"/>
          </w:tcPr>
          <w:p>
            <w:pPr>
              <w:spacing w:after="0"/>
              <w:rPr>
                <w:sz w:val="12"/>
                <w:szCs w:val="12"/>
                <w:color w:val="auto"/>
              </w:rPr>
            </w:pPr>
          </w:p>
        </w:tc>
        <w:tc>
          <w:tcPr>
            <w:tcW w:w="136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2"/>
                <w:szCs w:val="12"/>
                <w:color w:val="auto"/>
              </w:rPr>
            </w:pPr>
          </w:p>
        </w:tc>
        <w:tc>
          <w:tcPr>
            <w:tcW w:w="13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8"/>
              </w:rPr>
              <w:t>3-5 years</w:t>
            </w:r>
          </w:p>
        </w:tc>
        <w:tc>
          <w:tcPr>
            <w:tcW w:w="11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More than 5 years</w:t>
            </w:r>
          </w:p>
        </w:tc>
        <w:tc>
          <w:tcPr>
            <w:tcW w:w="80" w:type="dxa"/>
            <w:vAlign w:val="bottom"/>
          </w:tcPr>
          <w:p>
            <w:pPr>
              <w:spacing w:after="0"/>
              <w:rPr>
                <w:sz w:val="12"/>
                <w:szCs w:val="12"/>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780" w:type="dxa"/>
            <w:vAlign w:val="bottom"/>
            <w:tcBorders>
              <w:top w:val="single" w:sz="8" w:color="auto"/>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w:t>
            </w: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ind w:left="940"/>
              <w:spacing w:after="0" w:line="142" w:lineRule="exact"/>
              <w:rPr>
                <w:sz w:val="20"/>
                <w:szCs w:val="20"/>
                <w:color w:val="auto"/>
              </w:rPr>
            </w:pPr>
            <w:r>
              <w:rPr>
                <w:rFonts w:ascii="Arial" w:cs="Arial" w:eastAsia="Arial" w:hAnsi="Arial"/>
                <w:sz w:val="14"/>
                <w:szCs w:val="14"/>
                <w:color w:val="auto"/>
                <w:w w:val="85"/>
              </w:rPr>
              <w:t>—</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w:t>
            </w:r>
          </w:p>
        </w:tc>
        <w:tc>
          <w:tcPr>
            <w:tcW w:w="3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7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197.5</w:t>
            </w:r>
          </w:p>
        </w:tc>
        <w:tc>
          <w:tcPr>
            <w:tcW w:w="80" w:type="dxa"/>
            <w:vAlign w:val="bottom"/>
          </w:tcPr>
          <w:p>
            <w:pPr>
              <w:spacing w:after="0"/>
              <w:rPr>
                <w:sz w:val="12"/>
                <w:szCs w:val="12"/>
                <w:color w:val="auto"/>
              </w:rPr>
            </w:pPr>
          </w:p>
        </w:tc>
        <w:tc>
          <w:tcPr>
            <w:tcW w:w="1460" w:type="dxa"/>
            <w:vAlign w:val="bottom"/>
            <w:gridSpan w:val="2"/>
          </w:tcPr>
          <w:p>
            <w:pPr>
              <w:ind w:left="9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45.0</w:t>
            </w:r>
          </w:p>
        </w:tc>
        <w:tc>
          <w:tcPr>
            <w:tcW w:w="4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152.5</w:t>
            </w: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7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250.0</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7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71.3</w:t>
            </w:r>
          </w:p>
        </w:tc>
        <w:tc>
          <w:tcPr>
            <w:tcW w:w="80" w:type="dxa"/>
            <w:vAlign w:val="bottom"/>
          </w:tcPr>
          <w:p>
            <w:pPr>
              <w:spacing w:after="0"/>
              <w:rPr>
                <w:sz w:val="12"/>
                <w:szCs w:val="12"/>
                <w:color w:val="auto"/>
              </w:rPr>
            </w:pPr>
          </w:p>
        </w:tc>
        <w:tc>
          <w:tcPr>
            <w:tcW w:w="1460" w:type="dxa"/>
            <w:vAlign w:val="bottom"/>
            <w:gridSpan w:val="2"/>
          </w:tcPr>
          <w:p>
            <w:pPr>
              <w:ind w:left="9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27"/>
        </w:trPr>
        <w:tc>
          <w:tcPr>
            <w:tcW w:w="3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7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635.9</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117.1</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295.0</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223.8</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7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1460" w:type="dxa"/>
            <w:vAlign w:val="bottom"/>
            <w:gridSpan w:val="2"/>
          </w:tcPr>
          <w:p>
            <w:pPr>
              <w:ind w:left="9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w:t>
            </w:r>
          </w:p>
        </w:tc>
        <w:tc>
          <w:tcPr>
            <w:tcW w:w="4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r>
      <w:tr>
        <w:trPr>
          <w:trHeight w:val="27"/>
        </w:trPr>
        <w:tc>
          <w:tcPr>
            <w:tcW w:w="3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78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639.0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117.1</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297.0</w:t>
            </w:r>
          </w:p>
        </w:tc>
        <w:tc>
          <w:tcPr>
            <w:tcW w:w="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224.9</w:t>
            </w:r>
          </w:p>
        </w:tc>
      </w:tr>
      <w:tr>
        <w:trPr>
          <w:trHeight w:val="20"/>
        </w:trPr>
        <w:tc>
          <w:tcPr>
            <w:tcW w:w="3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560" w:right="60" w:hanging="552"/>
        <w:spacing w:after="0" w:line="230" w:lineRule="auto"/>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annualized weighted average interest rate as of June 30, 2016, excluding debt issuance costs, was 4.02% exclusive of the fee on the undrawn commitment on the Credit Facility and 3.43% of upfront fees on SBA debentures.</w:t>
      </w:r>
    </w:p>
    <w:p>
      <w:pPr>
        <w:ind w:left="560" w:hanging="552"/>
        <w:spacing w:after="0"/>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2016,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2016,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80" w:firstLine="562"/>
        <w:spacing w:after="0" w:line="244" w:lineRule="auto"/>
        <w:rPr>
          <w:sz w:val="20"/>
          <w:szCs w:val="20"/>
          <w:color w:val="auto"/>
        </w:rPr>
      </w:pPr>
      <w:r>
        <w:rPr>
          <w:rFonts w:ascii="Arial" w:cs="Arial" w:eastAsia="Arial" w:hAnsi="Arial"/>
          <w:sz w:val="13"/>
          <w:szCs w:val="13"/>
          <w:color w:val="auto"/>
        </w:rPr>
        <w:t>In order to be subject to tax as a RIC and to not be subject to corporate-level tax on undistributed income or gains, we are required, under Subchapter M of the Code, to annually distribute dividends to stockholders of an amount generally at least equal to 90% of the sum of our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the sum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subject to tax as a RIC, to provide us with additional liquidity.</w:t>
      </w:r>
    </w:p>
    <w:p>
      <w:pPr>
        <w:spacing w:after="0" w:line="77"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During the three and nine months ended June 30, 2016, we declared distributions of $0.28 and $0.84 per share, respectively, for total distributions of $19.9 million and $59.9 million, respectively. For the same periods in the prior year, we declared distributions of $0.28 and $0.84 per share, respectively, for total distributions of $20.8 million and $62.8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may be deemed to be a return of capital. Tax characteristics of all distributions will be reported to stockholders on Form 1099-DIV after the end of each calendar year and in our periodic reports filed with the SEC.</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 PROGRAM</w:t>
      </w:r>
    </w:p>
    <w:p>
      <w:pPr>
        <w:spacing w:after="0" w:line="100" w:lineRule="exact"/>
        <w:rPr>
          <w:sz w:val="20"/>
          <w:szCs w:val="20"/>
          <w:color w:val="auto"/>
        </w:rPr>
      </w:pPr>
    </w:p>
    <w:p>
      <w:pPr>
        <w:jc w:val="both"/>
        <w:ind w:right="220" w:firstLine="562"/>
        <w:spacing w:after="0" w:line="265" w:lineRule="auto"/>
        <w:rPr>
          <w:sz w:val="20"/>
          <w:szCs w:val="20"/>
          <w:color w:val="auto"/>
        </w:rPr>
      </w:pPr>
      <w:r>
        <w:rPr>
          <w:rFonts w:ascii="Arial" w:cs="Arial" w:eastAsia="Arial" w:hAnsi="Arial"/>
          <w:sz w:val="12"/>
          <w:szCs w:val="12"/>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program expired on May 6, 2016. During the three and nine months ended June 30, 2016, we repurchased zero and 1.9 million shares of common stock, respectively, in open market transactions for an aggregate cost (including transaction costs) of zero and $12.2 million, respectively.</w:t>
      </w:r>
    </w:p>
    <w:p>
      <w:pPr>
        <w:jc w:val="both"/>
        <w:ind w:right="220"/>
        <w:spacing w:after="0" w:line="237" w:lineRule="auto"/>
        <w:rPr>
          <w:sz w:val="20"/>
          <w:szCs w:val="20"/>
          <w:color w:val="auto"/>
        </w:rPr>
      </w:pPr>
      <w:r>
        <w:rPr>
          <w:rFonts w:ascii="Arial" w:cs="Arial" w:eastAsia="Arial" w:hAnsi="Arial"/>
          <w:sz w:val="14"/>
          <w:szCs w:val="14"/>
          <w:color w:val="auto"/>
        </w:rPr>
        <w:t>From May 6, 2015 through the program’s expiration, we purchased 4.0 million shares of common stock in open market transactions for an aggregate cost (including transaction costs) of $30.1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2016, our debt portfolio consisted of 81% variable-rate investments (including 77% with a LIBOR or prime floor) and 19%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60" w:type="dxa"/>
            <w:vAlign w:val="bottom"/>
            <w:gridSpan w:val="3"/>
          </w:tcPr>
          <w:p>
            <w:pPr>
              <w:jc w:val="center"/>
              <w:ind w:right="840"/>
              <w:spacing w:after="0"/>
              <w:rPr>
                <w:sz w:val="20"/>
                <w:szCs w:val="20"/>
                <w:color w:val="auto"/>
              </w:rPr>
            </w:pPr>
            <w:r>
              <w:rPr>
                <w:rFonts w:ascii="Arial" w:cs="Arial" w:eastAsia="Arial" w:hAnsi="Arial"/>
                <w:sz w:val="14"/>
                <w:szCs w:val="14"/>
                <w:color w:val="auto"/>
                <w:w w:val="93"/>
              </w:rPr>
              <w:t>Change In Interest Income,</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2"/>
              </w:rPr>
              <w:t>Net Of Interest Expense</w:t>
            </w: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2180" w:type="dxa"/>
            <w:vAlign w:val="bottom"/>
            <w:gridSpan w:val="2"/>
          </w:tcPr>
          <w:p>
            <w:pPr>
              <w:jc w:val="center"/>
              <w:ind w:left="688"/>
              <w:spacing w:after="0"/>
              <w:rPr>
                <w:sz w:val="20"/>
                <w:szCs w:val="20"/>
                <w:color w:val="auto"/>
              </w:rPr>
            </w:pPr>
            <w:r>
              <w:rPr>
                <w:rFonts w:ascii="Arial" w:cs="Arial" w:eastAsia="Arial" w:hAnsi="Arial"/>
                <w:sz w:val="14"/>
                <w:szCs w:val="14"/>
                <w:color w:val="auto"/>
                <w:w w:val="91"/>
              </w:rPr>
              <w:t>Change In Interest Rates</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2"/>
          </w:tcPr>
          <w:p>
            <w:pPr>
              <w:jc w:val="center"/>
              <w:ind w:right="940"/>
              <w:spacing w:after="0"/>
              <w:rPr>
                <w:sz w:val="20"/>
                <w:szCs w:val="20"/>
                <w:color w:val="auto"/>
              </w:rPr>
            </w:pPr>
            <w:r>
              <w:rPr>
                <w:rFonts w:ascii="Arial" w:cs="Arial" w:eastAsia="Arial" w:hAnsi="Arial"/>
                <w:sz w:val="14"/>
                <w:szCs w:val="14"/>
                <w:color w:val="auto"/>
                <w:w w:val="91"/>
              </w:rPr>
              <w:t>(In Thousands)</w:t>
            </w:r>
          </w:p>
        </w:tc>
        <w:tc>
          <w:tcPr>
            <w:tcW w:w="280" w:type="dxa"/>
            <w:vAlign w:val="bottom"/>
          </w:tcPr>
          <w:p>
            <w:pPr>
              <w:spacing w:after="0"/>
              <w:rPr>
                <w:sz w:val="15"/>
                <w:szCs w:val="15"/>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Per Share</w:t>
            </w:r>
          </w:p>
        </w:tc>
      </w:tr>
      <w:tr>
        <w:trPr>
          <w:trHeight w:val="142"/>
        </w:trPr>
        <w:tc>
          <w:tcPr>
            <w:tcW w:w="7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Up 1%</w:t>
            </w:r>
          </w:p>
        </w:tc>
        <w:tc>
          <w:tcPr>
            <w:tcW w:w="18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1,636</w:t>
            </w:r>
          </w:p>
        </w:tc>
        <w:tc>
          <w:tcPr>
            <w:tcW w:w="8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ind w:left="1020"/>
              <w:spacing w:after="0" w:line="142" w:lineRule="exact"/>
              <w:rPr>
                <w:sz w:val="20"/>
                <w:szCs w:val="20"/>
                <w:color w:val="auto"/>
              </w:rPr>
            </w:pPr>
            <w:r>
              <w:rPr>
                <w:rFonts w:ascii="Arial" w:cs="Arial" w:eastAsia="Arial" w:hAnsi="Arial"/>
                <w:sz w:val="14"/>
                <w:szCs w:val="14"/>
                <w:color w:val="auto"/>
                <w:w w:val="80"/>
              </w:rPr>
              <w:t>0.02</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7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Up 2%</w:t>
            </w:r>
          </w:p>
        </w:tc>
        <w:tc>
          <w:tcPr>
            <w:tcW w:w="1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9,604</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1020"/>
              <w:spacing w:after="0" w:line="149" w:lineRule="exact"/>
              <w:rPr>
                <w:sz w:val="20"/>
                <w:szCs w:val="20"/>
                <w:color w:val="auto"/>
              </w:rPr>
            </w:pPr>
            <w:r>
              <w:rPr>
                <w:rFonts w:ascii="Arial" w:cs="Arial" w:eastAsia="Arial" w:hAnsi="Arial"/>
                <w:sz w:val="14"/>
                <w:szCs w:val="14"/>
                <w:color w:val="auto"/>
              </w:rPr>
              <w:t>0.14</w:t>
            </w:r>
          </w:p>
        </w:tc>
      </w:tr>
      <w:tr>
        <w:trPr>
          <w:trHeight w:val="148"/>
        </w:trPr>
        <w:tc>
          <w:tcPr>
            <w:tcW w:w="7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Up 3%</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17,571</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4"/>
                <w:szCs w:val="14"/>
                <w:color w:val="auto"/>
              </w:rPr>
              <w:t>0.25</w:t>
            </w:r>
          </w:p>
        </w:tc>
      </w:tr>
      <w:tr>
        <w:trPr>
          <w:trHeight w:val="182"/>
        </w:trPr>
        <w:tc>
          <w:tcPr>
            <w:tcW w:w="7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5"/>
              </w:rPr>
              <w:t>Up 4%</w:t>
            </w: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360" w:type="dxa"/>
            <w:vAlign w:val="bottom"/>
            <w:gridSpan w:val="2"/>
          </w:tcPr>
          <w:p>
            <w:pPr>
              <w:jc w:val="right"/>
              <w:ind w:right="840"/>
              <w:spacing w:after="0"/>
              <w:rPr>
                <w:sz w:val="20"/>
                <w:szCs w:val="20"/>
                <w:color w:val="auto"/>
              </w:rPr>
            </w:pPr>
            <w:r>
              <w:rPr>
                <w:rFonts w:ascii="Arial" w:cs="Arial" w:eastAsia="Arial" w:hAnsi="Arial"/>
                <w:sz w:val="14"/>
                <w:szCs w:val="14"/>
                <w:color w:val="auto"/>
              </w:rPr>
              <w:t>25,539</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1020"/>
              <w:spacing w:after="0"/>
              <w:rPr>
                <w:sz w:val="20"/>
                <w:szCs w:val="20"/>
                <w:color w:val="auto"/>
              </w:rPr>
            </w:pPr>
            <w:r>
              <w:rPr>
                <w:rFonts w:ascii="Arial" w:cs="Arial" w:eastAsia="Arial" w:hAnsi="Arial"/>
                <w:sz w:val="14"/>
                <w:szCs w:val="14"/>
                <w:color w:val="auto"/>
              </w:rPr>
              <w:t>0.36</w:t>
            </w:r>
          </w:p>
        </w:tc>
      </w:tr>
    </w:tbl>
    <w:p>
      <w:pPr>
        <w:spacing w:after="0" w:line="5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 or foreign currency hedging activities.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2016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right="20"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2015,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Repurchases of our common stock under our share repurchase plan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Total Number of Shares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0"/>
              </w:rPr>
              <w:t>Average Price per Share</w:t>
            </w:r>
          </w:p>
        </w:tc>
        <w:tc>
          <w:tcPr>
            <w:tcW w:w="2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12"/>
                <w:szCs w:val="12"/>
                <w:b w:val="1"/>
                <w:bCs w:val="1"/>
                <w:color w:val="auto"/>
                <w:w w:val="94"/>
              </w:rPr>
              <w:t>(1)</w:t>
            </w:r>
          </w:p>
        </w:tc>
        <w:tc>
          <w:tcPr>
            <w:tcW w:w="100" w:type="dxa"/>
            <w:vAlign w:val="bottom"/>
          </w:tcPr>
          <w:p>
            <w:pPr>
              <w:spacing w:after="0"/>
              <w:rPr>
                <w:sz w:val="14"/>
                <w:szCs w:val="14"/>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Programs (in millions)</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October 1, 2015 through October 31, 2015</w:t>
            </w:r>
          </w:p>
        </w:tc>
        <w:tc>
          <w:tcPr>
            <w:tcW w:w="3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46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November 1, 2015 through November 30, 2015</w:t>
            </w:r>
          </w:p>
        </w:tc>
        <w:tc>
          <w:tcPr>
            <w:tcW w:w="1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877,933</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6.82</w:t>
            </w:r>
          </w:p>
        </w:tc>
        <w:tc>
          <w:tcPr>
            <w:tcW w:w="2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877,933</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1, 2015 through December 31, 2015</w:t>
            </w:r>
          </w:p>
        </w:tc>
        <w:tc>
          <w:tcPr>
            <w:tcW w:w="1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342,400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7.22</w:t>
            </w:r>
          </w:p>
        </w:tc>
        <w:tc>
          <w:tcPr>
            <w:tcW w:w="2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342,400</w:t>
            </w: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January 1, 2016 through January 31, 2016</w:t>
            </w:r>
          </w:p>
        </w:tc>
        <w:tc>
          <w:tcPr>
            <w:tcW w:w="1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N/A</w:t>
            </w:r>
          </w:p>
        </w:tc>
        <w:tc>
          <w:tcPr>
            <w:tcW w:w="2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February 1, 2016 through February 29, 2016</w:t>
            </w:r>
          </w:p>
        </w:tc>
        <w:tc>
          <w:tcPr>
            <w:tcW w:w="1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578,049</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5.34</w:t>
            </w:r>
          </w:p>
        </w:tc>
        <w:tc>
          <w:tcPr>
            <w:tcW w:w="2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578,049</w:t>
            </w: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March 1, 2016 through March 31, 2016</w:t>
            </w:r>
          </w:p>
        </w:tc>
        <w:tc>
          <w:tcPr>
            <w:tcW w:w="1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106,825</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6.09</w:t>
            </w:r>
          </w:p>
        </w:tc>
        <w:tc>
          <w:tcPr>
            <w:tcW w:w="2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106,825</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1,905,207</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1,905,207</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11"/>
          <w:szCs w:val="11"/>
          <w:color w:val="auto"/>
        </w:rPr>
      </w:pPr>
      <w:r>
        <w:rPr>
          <w:rFonts w:ascii="Arial" w:cs="Arial" w:eastAsia="Arial" w:hAnsi="Arial"/>
          <w:sz w:val="13"/>
          <w:szCs w:val="13"/>
          <w:color w:val="auto"/>
        </w:rPr>
        <w:t>On May 6, 2015, we announced a share repurchase plan which allows us to repurchase up to $35.0 million of our outstanding common stock. The program expired on May 6, 2016.</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jc w:val="center"/>
        <w:ind w:right="922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52"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Articles of Incorporation (Incorporated by reference to Exhibit 99(a) to the Registrant’s Pre-Effective Amendment No. 3 to the Registration Statement on Form N-2/A (File No. 333-</w:t>
      </w:r>
    </w:p>
    <w:p>
      <w:pPr>
        <w:ind w:left="680"/>
        <w:spacing w:after="0"/>
        <w:rPr>
          <w:sz w:val="20"/>
          <w:szCs w:val="20"/>
          <w:color w:val="auto"/>
        </w:rPr>
      </w:pPr>
      <w:r>
        <w:rPr>
          <w:rFonts w:ascii="Arial" w:cs="Arial" w:eastAsia="Arial" w:hAnsi="Arial"/>
          <w:sz w:val="14"/>
          <w:szCs w:val="14"/>
          <w:color w:val="auto"/>
        </w:rPr>
        <w:t>140092), filed on April 5, 2007).</w:t>
      </w:r>
    </w:p>
    <w:p>
      <w:pPr>
        <w:spacing w:after="0" w:line="15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Exhibit 3.1 to the Registrant’s Current Report on Form 8-K (File No. 814-00736), filed on December 2,</w:t>
      </w:r>
    </w:p>
    <w:p>
      <w:pPr>
        <w:ind w:left="680"/>
        <w:spacing w:after="0"/>
        <w:rPr>
          <w:sz w:val="20"/>
          <w:szCs w:val="20"/>
          <w:color w:val="auto"/>
        </w:rPr>
      </w:pPr>
      <w:r>
        <w:rPr>
          <w:rFonts w:ascii="Arial" w:cs="Arial" w:eastAsia="Arial" w:hAnsi="Arial"/>
          <w:sz w:val="14"/>
          <w:szCs w:val="14"/>
          <w:color w:val="auto"/>
        </w:rPr>
        <w:t>2015).</w:t>
      </w:r>
    </w:p>
    <w:p>
      <w:pPr>
        <w:spacing w:after="0" w:line="15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Form of Share Certificate (Incorporated by reference to Exhibit 99(d)(1) to the Registrant’s Registration Statement on Form N-2 (File No. 333-150033), filed on April 2, 2008).</w:t>
      </w:r>
    </w:p>
    <w:p>
      <w:pPr>
        <w:spacing w:after="0" w:line="163" w:lineRule="exact"/>
        <w:rPr>
          <w:sz w:val="20"/>
          <w:szCs w:val="20"/>
          <w:color w:val="auto"/>
        </w:rPr>
      </w:pPr>
    </w:p>
    <w:p>
      <w:pPr>
        <w:ind w:left="680" w:hanging="600"/>
        <w:spacing w:after="0"/>
        <w:tabs>
          <w:tab w:leader="none" w:pos="680" w:val="left"/>
        </w:tabs>
        <w:numPr>
          <w:ilvl w:val="1"/>
          <w:numId w:val="19"/>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rFonts w:ascii="Arial" w:cs="Arial" w:eastAsia="Arial" w:hAnsi="Arial"/>
          <w:sz w:val="14"/>
          <w:szCs w:val="14"/>
          <w:color w:val="auto"/>
        </w:rPr>
      </w:pPr>
    </w:p>
    <w:p>
      <w:pPr>
        <w:ind w:right="340"/>
        <w:spacing w:after="0" w:line="674" w:lineRule="auto"/>
        <w:rPr>
          <w:rFonts w:ascii="Arial" w:cs="Arial" w:eastAsia="Arial" w:hAnsi="Arial"/>
          <w:sz w:val="14"/>
          <w:szCs w:val="14"/>
          <w:color w:val="auto"/>
        </w:rPr>
      </w:pPr>
      <w:r>
        <w:rPr>
          <w:rFonts w:ascii="Arial" w:cs="Arial" w:eastAsia="Arial" w:hAnsi="Arial"/>
          <w:sz w:val="14"/>
          <w:szCs w:val="14"/>
          <w:color w:val="auto"/>
        </w:rPr>
        <w:t>99.1 Privacy Policy of the Registrant (Incorporated by reference to Exhibit 99.1 to the Registrant’s Annual Report on Form 10-K (File No. 814-00736), filed on November 16, 2011).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-201930</wp:posOffset>
            </wp:positionV>
            <wp:extent cx="828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PENNANTPARK INVESTMENT CORPORATION</w:t>
      </w:r>
    </w:p>
    <w:p>
      <w:pPr>
        <w:spacing w:after="0" w:line="38" w:lineRule="exact"/>
        <w:rPr>
          <w:sz w:val="20"/>
          <w:szCs w:val="20"/>
          <w:color w:val="auto"/>
        </w:rPr>
      </w:pPr>
    </w:p>
    <w:p>
      <w:pPr>
        <w:spacing w:after="0"/>
        <w:tabs>
          <w:tab w:leader="none" w:pos="5300" w:val="left"/>
          <w:tab w:leader="none" w:pos="7940" w:val="left"/>
        </w:tabs>
        <w:rPr>
          <w:sz w:val="20"/>
          <w:szCs w:val="20"/>
          <w:color w:val="auto"/>
        </w:rPr>
      </w:pPr>
      <w:r>
        <w:rPr>
          <w:rFonts w:ascii="Arial" w:cs="Arial" w:eastAsia="Arial" w:hAnsi="Arial"/>
          <w:sz w:val="14"/>
          <w:szCs w:val="14"/>
          <w:color w:val="auto"/>
        </w:rPr>
        <w:t>Date: August 8, 2016</w:t>
      </w:r>
      <w:r>
        <w:rPr>
          <w:sz w:val="20"/>
          <w:szCs w:val="20"/>
          <w:color w:val="auto"/>
        </w:rPr>
        <w:tab/>
      </w: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0</wp:posOffset>
            </wp:positionV>
            <wp:extent cx="33172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4"/>
          <w:szCs w:val="14"/>
          <w:b w:val="1"/>
          <w:bCs w:val="1"/>
          <w:color w:val="auto"/>
        </w:rPr>
        <w:t>Arthur H. Penn</w:t>
      </w:r>
    </w:p>
    <w:p>
      <w:pPr>
        <w:jc w:val="center"/>
        <w:ind w:left="6000"/>
        <w:spacing w:after="0" w:line="221" w:lineRule="auto"/>
        <w:rPr>
          <w:sz w:val="20"/>
          <w:szCs w:val="20"/>
          <w:color w:val="auto"/>
        </w:rPr>
      </w:pPr>
      <w:r>
        <w:rPr>
          <w:rFonts w:ascii="Arial" w:cs="Arial" w:eastAsia="Arial" w:hAnsi="Arial"/>
          <w:sz w:val="14"/>
          <w:szCs w:val="14"/>
          <w:b w:val="1"/>
          <w:bCs w:val="1"/>
          <w:color w:val="auto"/>
        </w:rPr>
        <w:t>Chief Executive Officer and Chairman of the Board of Directors</w:t>
      </w:r>
    </w:p>
    <w:p>
      <w:pPr>
        <w:jc w:val="center"/>
        <w:ind w:left="6000"/>
        <w:spacing w:after="0"/>
        <w:rPr>
          <w:sz w:val="20"/>
          <w:szCs w:val="20"/>
          <w:color w:val="auto"/>
        </w:rPr>
      </w:pPr>
      <w:r>
        <w:rPr>
          <w:rFonts w:ascii="Arial" w:cs="Arial" w:eastAsia="Arial" w:hAnsi="Arial"/>
          <w:sz w:val="14"/>
          <w:szCs w:val="14"/>
          <w:b w:val="1"/>
          <w:bCs w:val="1"/>
          <w:color w:val="auto"/>
        </w:rPr>
        <w:t>(Principal Executive Officer)</w:t>
      </w:r>
    </w:p>
    <w:p>
      <w:pPr>
        <w:spacing w:after="0" w:line="40" w:lineRule="exact"/>
        <w:rPr>
          <w:sz w:val="20"/>
          <w:szCs w:val="20"/>
          <w:color w:val="auto"/>
        </w:rPr>
      </w:pPr>
    </w:p>
    <w:p>
      <w:pPr>
        <w:spacing w:after="0"/>
        <w:tabs>
          <w:tab w:leader="none" w:pos="5300" w:val="left"/>
          <w:tab w:leader="none" w:pos="8080" w:val="left"/>
        </w:tabs>
        <w:rPr>
          <w:sz w:val="20"/>
          <w:szCs w:val="20"/>
          <w:color w:val="auto"/>
        </w:rPr>
      </w:pPr>
      <w:r>
        <w:rPr>
          <w:rFonts w:ascii="Arial" w:cs="Arial" w:eastAsia="Arial" w:hAnsi="Arial"/>
          <w:sz w:val="14"/>
          <w:szCs w:val="14"/>
          <w:color w:val="auto"/>
        </w:rPr>
        <w:t>Date: August 8, 2016</w:t>
      </w:r>
      <w:r>
        <w:rPr>
          <w:sz w:val="20"/>
          <w:szCs w:val="20"/>
          <w:color w:val="auto"/>
        </w:rPr>
        <w:tab/>
      </w: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0</wp:posOffset>
            </wp:positionV>
            <wp:extent cx="3317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4"/>
          <w:szCs w:val="14"/>
          <w:b w:val="1"/>
          <w:bCs w:val="1"/>
          <w:color w:val="auto"/>
        </w:rPr>
        <w:t>Aviv Efrat</w:t>
      </w:r>
    </w:p>
    <w:p>
      <w:pPr>
        <w:spacing w:after="0" w:line="39"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040"/>
          </w:cols>
          <w:pgMar w:left="320" w:top="459" w:right="539" w:bottom="1440" w:gutter="0" w:footer="0" w:header="0"/>
        </w:sectPr>
      </w:pPr>
    </w:p>
    <w:bookmarkStart w:id="36" w:name="page37"/>
    <w:bookmarkEnd w:id="36"/>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August 8,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40"/>
          </w:cols>
          <w:pgMar w:left="320" w:top="118" w:right="339" w:bottom="1440" w:gutter="0" w:footer="0" w:header="0"/>
        </w:sectPr>
      </w:pPr>
    </w:p>
    <w:bookmarkStart w:id="37" w:name="page38"/>
    <w:bookmarkEnd w:id="37"/>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August 8, 2016</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32.1</w:t>
      </w:r>
    </w:p>
    <w:p>
      <w:pPr>
        <w:spacing w:after="0" w:line="219" w:lineRule="exact"/>
        <w:rPr>
          <w:sz w:val="20"/>
          <w:szCs w:val="20"/>
          <w:color w:val="auto"/>
        </w:rPr>
      </w:pPr>
    </w:p>
    <w:p>
      <w:pPr>
        <w:ind w:left="120" w:right="26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2016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line="221" w:lineRule="auto"/>
        <w:rPr>
          <w:sz w:val="20"/>
          <w:szCs w:val="20"/>
          <w:color w:val="auto"/>
        </w:rPr>
      </w:pPr>
      <w:r>
        <w:rPr>
          <w:rFonts w:ascii="Arial" w:cs="Arial" w:eastAsia="Arial" w:hAnsi="Arial"/>
          <w:sz w:val="14"/>
          <w:szCs w:val="14"/>
          <w:color w:val="auto"/>
        </w:rPr>
        <w:t>Title: Chief Executive Officer</w:t>
      </w:r>
    </w:p>
    <w:p>
      <w:pPr>
        <w:spacing w:after="0"/>
        <w:rPr>
          <w:sz w:val="20"/>
          <w:szCs w:val="20"/>
          <w:color w:val="auto"/>
        </w:rPr>
      </w:pPr>
      <w:r>
        <w:rPr>
          <w:rFonts w:ascii="Arial" w:cs="Arial" w:eastAsia="Arial" w:hAnsi="Arial"/>
          <w:sz w:val="14"/>
          <w:szCs w:val="14"/>
          <w:color w:val="auto"/>
        </w:rPr>
        <w:t>Date: August 8, 2016</w:t>
      </w:r>
    </w:p>
    <w:p>
      <w:pPr>
        <w:sectPr>
          <w:pgSz w:w="11900" w:h="16838" w:orient="portrait"/>
          <w:cols w:equalWidth="0" w:num="1">
            <w:col w:w="11240"/>
          </w:cols>
          <w:pgMar w:left="320" w:top="11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32.2</w:t>
      </w:r>
    </w:p>
    <w:p>
      <w:pPr>
        <w:spacing w:after="0" w:line="219" w:lineRule="exact"/>
        <w:rPr>
          <w:sz w:val="20"/>
          <w:szCs w:val="20"/>
          <w:color w:val="auto"/>
        </w:rPr>
      </w:pPr>
    </w:p>
    <w:p>
      <w:pPr>
        <w:ind w:left="120" w:right="26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2016 (the “Report”) of PennantPark Investment Corporation (the “Registrant”), as filed with the Securities and Exchange Commission on the date hereof, I, Aviv Efrat, Chief Financial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line="221" w:lineRule="auto"/>
        <w:rPr>
          <w:sz w:val="20"/>
          <w:szCs w:val="20"/>
          <w:color w:val="auto"/>
        </w:rPr>
      </w:pPr>
      <w:r>
        <w:rPr>
          <w:rFonts w:ascii="Arial" w:cs="Arial" w:eastAsia="Arial" w:hAnsi="Arial"/>
          <w:sz w:val="14"/>
          <w:szCs w:val="14"/>
          <w:color w:val="auto"/>
        </w:rPr>
        <w:t>Title: Chief Financial Officer</w:t>
      </w:r>
    </w:p>
    <w:p>
      <w:pPr>
        <w:spacing w:after="0"/>
        <w:rPr>
          <w:sz w:val="20"/>
          <w:szCs w:val="20"/>
          <w:color w:val="auto"/>
        </w:rPr>
      </w:pPr>
      <w:r>
        <w:rPr>
          <w:rFonts w:ascii="Arial" w:cs="Arial" w:eastAsia="Arial" w:hAnsi="Arial"/>
          <w:sz w:val="14"/>
          <w:szCs w:val="14"/>
          <w:color w:val="auto"/>
        </w:rPr>
        <w:t>Date: August 8, 2016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lvl w:ilvl="1">
      <w:lvlJc w:val="left"/>
      <w:lvlText w:val="%2"/>
      <w:numFmt w:val="decimal"/>
      <w:start w:val="1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2020-05-05T15:11:38Z</dcterms:created>
  <dcterms:modified xsi:type="dcterms:W3CDTF">2020-05-05T15:11:38Z</dcterms:modified>
</cp:coreProperties>
</file>