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960" w:right="18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519"/>
        <w:spacing w:after="0"/>
        <w:rPr>
          <w:sz w:val="20"/>
          <w:szCs w:val="20"/>
          <w:color w:val="auto"/>
        </w:rPr>
      </w:pPr>
      <w:r>
        <w:rPr>
          <w:rFonts w:ascii="Arial" w:cs="Arial" w:eastAsia="Arial" w:hAnsi="Arial"/>
          <w:sz w:val="40"/>
          <w:szCs w:val="40"/>
          <w:b w:val="1"/>
          <w:bCs w:val="1"/>
          <w:color w:val="auto"/>
        </w:rPr>
        <w:t>PENNANTPARK INVESTMENT CORPORATION</w:t>
      </w:r>
    </w:p>
    <w:p>
      <w:pPr>
        <w:spacing w:after="0" w:line="35"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3360" w:type="dxa"/>
            <w:vAlign w:val="bottom"/>
            <w:gridSpan w:val="2"/>
          </w:tcPr>
          <w:p>
            <w:pPr>
              <w:jc w:val="center"/>
              <w:ind w:right="2135"/>
              <w:spacing w:after="0"/>
              <w:rPr>
                <w:sz w:val="20"/>
                <w:szCs w:val="20"/>
                <w:color w:val="auto"/>
              </w:rPr>
            </w:pPr>
            <w:r>
              <w:rPr>
                <w:rFonts w:ascii="Arial" w:cs="Arial" w:eastAsia="Arial" w:hAnsi="Arial"/>
                <w:sz w:val="18"/>
                <w:szCs w:val="18"/>
                <w:b w:val="1"/>
                <w:bCs w:val="1"/>
                <w:color w:val="auto"/>
                <w:w w:val="98"/>
              </w:rPr>
              <w:t>Maryland</w:t>
            </w:r>
          </w:p>
        </w:tc>
        <w:tc>
          <w:tcPr>
            <w:tcW w:w="364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20-8250744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20" w:type="dxa"/>
            <w:vAlign w:val="bottom"/>
            <w:gridSpan w:val="3"/>
          </w:tcPr>
          <w:p>
            <w:pPr>
              <w:jc w:val="center"/>
              <w:ind w:right="1475"/>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4000" w:type="dxa"/>
            <w:vAlign w:val="bottom"/>
            <w:gridSpan w:val="3"/>
          </w:tcPr>
          <w:p>
            <w:pPr>
              <w:jc w:val="center"/>
              <w:ind w:left="1459"/>
              <w:spacing w:after="0"/>
              <w:rPr>
                <w:sz w:val="20"/>
                <w:szCs w:val="20"/>
                <w:color w:val="auto"/>
              </w:rPr>
            </w:pPr>
            <w:r>
              <w:rPr>
                <w:rFonts w:ascii="Arial" w:cs="Arial" w:eastAsia="Arial" w:hAnsi="Arial"/>
                <w:sz w:val="14"/>
                <w:szCs w:val="14"/>
                <w:b w:val="1"/>
                <w:bCs w:val="1"/>
                <w:color w:val="auto"/>
                <w:w w:val="96"/>
              </w:rPr>
              <w:t>(I.R.S. Employer or Identification No.)</w:t>
            </w:r>
          </w:p>
        </w:tc>
        <w:tc>
          <w:tcPr>
            <w:tcW w:w="0" w:type="dxa"/>
            <w:vAlign w:val="bottom"/>
          </w:tcPr>
          <w:p>
            <w:pPr>
              <w:spacing w:after="0"/>
              <w:rPr>
                <w:sz w:val="1"/>
                <w:szCs w:val="1"/>
                <w:color w:val="auto"/>
              </w:rPr>
            </w:pPr>
          </w:p>
        </w:tc>
      </w:tr>
      <w:tr>
        <w:trPr>
          <w:trHeight w:val="399"/>
        </w:trPr>
        <w:tc>
          <w:tcPr>
            <w:tcW w:w="4020" w:type="dxa"/>
            <w:vAlign w:val="bottom"/>
            <w:gridSpan w:val="3"/>
          </w:tcPr>
          <w:p>
            <w:pPr>
              <w:jc w:val="center"/>
              <w:ind w:right="1475"/>
              <w:spacing w:after="0"/>
              <w:rPr>
                <w:sz w:val="20"/>
                <w:szCs w:val="20"/>
                <w:color w:val="auto"/>
              </w:rPr>
            </w:pPr>
            <w:r>
              <w:rPr>
                <w:rFonts w:ascii="Arial" w:cs="Arial" w:eastAsia="Arial" w:hAnsi="Arial"/>
                <w:sz w:val="18"/>
                <w:szCs w:val="18"/>
                <w:b w:val="1"/>
                <w:bCs w:val="1"/>
                <w:color w:val="auto"/>
                <w:w w:val="90"/>
              </w:rPr>
              <w:t>590 Madison Avenue, 15</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Floor</w:t>
            </w: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20" w:type="dxa"/>
            <w:vAlign w:val="bottom"/>
            <w:gridSpan w:val="3"/>
          </w:tcPr>
          <w:p>
            <w:pPr>
              <w:jc w:val="center"/>
              <w:ind w:right="1475"/>
              <w:spacing w:after="0"/>
              <w:rPr>
                <w:sz w:val="20"/>
                <w:szCs w:val="20"/>
                <w:color w:val="auto"/>
              </w:rPr>
            </w:pPr>
            <w:r>
              <w:rPr>
                <w:rFonts w:ascii="Arial" w:cs="Arial" w:eastAsia="Arial" w:hAnsi="Arial"/>
                <w:sz w:val="18"/>
                <w:szCs w:val="18"/>
                <w:b w:val="1"/>
                <w:bCs w:val="1"/>
                <w:color w:val="auto"/>
                <w:w w:val="93"/>
              </w:rPr>
              <w:t>New York, New York</w:t>
            </w:r>
          </w:p>
        </w:tc>
        <w:tc>
          <w:tcPr>
            <w:tcW w:w="364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10022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020" w:type="dxa"/>
            <w:vAlign w:val="bottom"/>
            <w:gridSpan w:val="3"/>
          </w:tcPr>
          <w:p>
            <w:pPr>
              <w:jc w:val="center"/>
              <w:ind w:right="147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2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17"/>
        </w:trPr>
        <w:tc>
          <w:tcPr>
            <w:tcW w:w="660" w:type="dxa"/>
            <w:vAlign w:val="bottom"/>
          </w:tcPr>
          <w:p>
            <w:pPr>
              <w:spacing w:after="0"/>
              <w:rPr>
                <w:sz w:val="24"/>
                <w:szCs w:val="24"/>
                <w:color w:val="auto"/>
              </w:rPr>
            </w:pPr>
          </w:p>
        </w:tc>
        <w:tc>
          <w:tcPr>
            <w:tcW w:w="736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369"/>
        </w:trPr>
        <w:tc>
          <w:tcPr>
            <w:tcW w:w="660" w:type="dxa"/>
            <w:vAlign w:val="bottom"/>
          </w:tcPr>
          <w:p>
            <w:pPr>
              <w:spacing w:after="0"/>
              <w:rPr>
                <w:sz w:val="24"/>
                <w:szCs w:val="24"/>
                <w:color w:val="auto"/>
              </w:rPr>
            </w:pPr>
          </w:p>
        </w:tc>
        <w:tc>
          <w:tcPr>
            <w:tcW w:w="3360" w:type="dxa"/>
            <w:vAlign w:val="bottom"/>
            <w:gridSpan w:val="2"/>
          </w:tcPr>
          <w:p>
            <w:pPr>
              <w:jc w:val="center"/>
              <w:ind w:right="2155"/>
              <w:spacing w:after="0"/>
              <w:rPr>
                <w:sz w:val="20"/>
                <w:szCs w:val="20"/>
                <w:color w:val="auto"/>
              </w:rPr>
            </w:pPr>
            <w:r>
              <w:rPr>
                <w:rFonts w:ascii="Arial" w:cs="Arial" w:eastAsia="Arial" w:hAnsi="Arial"/>
                <w:sz w:val="14"/>
                <w:szCs w:val="14"/>
                <w:b w:val="1"/>
                <w:bCs w:val="1"/>
                <w:color w:val="auto"/>
                <w:w w:val="89"/>
              </w:rPr>
              <w:t>Title of each class</w:t>
            </w:r>
          </w:p>
        </w:tc>
        <w:tc>
          <w:tcPr>
            <w:tcW w:w="4000" w:type="dxa"/>
            <w:vAlign w:val="bottom"/>
            <w:gridSpan w:val="3"/>
          </w:tcPr>
          <w:p>
            <w:pPr>
              <w:jc w:val="center"/>
              <w:ind w:left="1459"/>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360" w:type="dxa"/>
            <w:vAlign w:val="bottom"/>
            <w:gridSpan w:val="2"/>
          </w:tcPr>
          <w:p>
            <w:pPr>
              <w:jc w:val="center"/>
              <w:ind w:right="2135"/>
              <w:spacing w:after="0"/>
              <w:rPr>
                <w:sz w:val="20"/>
                <w:szCs w:val="20"/>
                <w:color w:val="auto"/>
              </w:rPr>
            </w:pPr>
            <w:r>
              <w:rPr>
                <w:rFonts w:ascii="Arial" w:cs="Arial" w:eastAsia="Arial" w:hAnsi="Arial"/>
                <w:sz w:val="14"/>
                <w:szCs w:val="14"/>
                <w:b w:val="1"/>
                <w:bCs w:val="1"/>
                <w:color w:val="auto"/>
                <w:w w:val="87"/>
              </w:rPr>
              <w:t>to be so registered</w:t>
            </w:r>
          </w:p>
        </w:tc>
        <w:tc>
          <w:tcPr>
            <w:tcW w:w="4000" w:type="dxa"/>
            <w:vAlign w:val="bottom"/>
            <w:gridSpan w:val="3"/>
          </w:tcPr>
          <w:p>
            <w:pPr>
              <w:jc w:val="center"/>
              <w:ind w:left="1459"/>
              <w:spacing w:after="0"/>
              <w:rPr>
                <w:sz w:val="20"/>
                <w:szCs w:val="20"/>
                <w:color w:val="auto"/>
              </w:rPr>
            </w:pPr>
            <w:r>
              <w:rPr>
                <w:rFonts w:ascii="Arial" w:cs="Arial" w:eastAsia="Arial" w:hAnsi="Arial"/>
                <w:sz w:val="14"/>
                <w:szCs w:val="14"/>
                <w:b w:val="1"/>
                <w:bCs w:val="1"/>
                <w:color w:val="auto"/>
                <w:w w:val="87"/>
              </w:rPr>
              <w:t>each class is to be registered</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40" w:type="dxa"/>
            <w:vAlign w:val="bottom"/>
            <w:vMerge w:val="restart"/>
          </w:tcPr>
          <w:p>
            <w:pPr>
              <w:jc w:val="right"/>
              <w:ind w:right="1855"/>
              <w:spacing w:after="0"/>
              <w:rPr>
                <w:sz w:val="20"/>
                <w:szCs w:val="20"/>
                <w:color w:val="auto"/>
              </w:rPr>
            </w:pPr>
            <w:r>
              <w:rPr>
                <w:rFonts w:ascii="Arial" w:cs="Arial" w:eastAsia="Arial" w:hAnsi="Arial"/>
                <w:sz w:val="17"/>
                <w:szCs w:val="17"/>
                <w:b w:val="1"/>
                <w:bCs w:val="1"/>
                <w:color w:val="auto"/>
                <w:w w:val="73"/>
              </w:rPr>
              <w:t>2024</w:t>
            </w:r>
          </w:p>
        </w:tc>
        <w:tc>
          <w:tcPr>
            <w:tcW w:w="19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780" w:type="dxa"/>
            <w:vAlign w:val="bottom"/>
            <w:gridSpan w:val="2"/>
          </w:tcPr>
          <w:p>
            <w:pPr>
              <w:ind w:left="380"/>
              <w:spacing w:after="0"/>
              <w:rPr>
                <w:sz w:val="20"/>
                <w:szCs w:val="20"/>
                <w:color w:val="auto"/>
              </w:rPr>
            </w:pPr>
            <w:r>
              <w:rPr>
                <w:rFonts w:ascii="Arial" w:cs="Arial" w:eastAsia="Arial" w:hAnsi="Arial"/>
                <w:sz w:val="18"/>
                <w:szCs w:val="18"/>
                <w:b w:val="1"/>
                <w:bCs w:val="1"/>
                <w:color w:val="auto"/>
                <w:w w:val="96"/>
              </w:rPr>
              <w:t>5.50% Notes due</w:t>
            </w:r>
          </w:p>
        </w:tc>
        <w:tc>
          <w:tcPr>
            <w:tcW w:w="2240" w:type="dxa"/>
            <w:vAlign w:val="bottom"/>
            <w:vMerge w:val="continue"/>
          </w:tcPr>
          <w:p>
            <w:pPr>
              <w:spacing w:after="0"/>
              <w:rPr>
                <w:sz w:val="19"/>
                <w:szCs w:val="19"/>
                <w:color w:val="auto"/>
              </w:rPr>
            </w:pPr>
          </w:p>
        </w:tc>
        <w:tc>
          <w:tcPr>
            <w:tcW w:w="4000" w:type="dxa"/>
            <w:vAlign w:val="bottom"/>
            <w:gridSpan w:val="3"/>
          </w:tcPr>
          <w:p>
            <w:pPr>
              <w:jc w:val="center"/>
              <w:ind w:left="1479"/>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219710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upon filing pursuant to General Instruction A.(c),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to become effective General Instruction A.(d),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333-230014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00"/>
          </w:cols>
          <w:pgMar w:left="440" w:top="368" w:right="959" w:bottom="1440" w:gutter="0" w:footer="0" w:header="0"/>
        </w:sectPr>
      </w:pPr>
    </w:p>
    <w:bookmarkStart w:id="1" w:name="page2"/>
    <w:bookmarkEnd w:id="1"/>
    <w:p>
      <w:pPr>
        <w:ind w:left="2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Description of Registrant’s Securities to be Registered.</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securities to be registered hereby are 5.50% Notes due October 15, 2024 (the “</w:t>
      </w:r>
      <w:r>
        <w:rPr>
          <w:rFonts w:ascii="Arial" w:cs="Arial" w:eastAsia="Arial" w:hAnsi="Arial"/>
          <w:sz w:val="16"/>
          <w:szCs w:val="16"/>
          <w:u w:val="single" w:color="auto"/>
          <w:color w:val="auto"/>
        </w:rPr>
        <w:t>Notes</w:t>
      </w:r>
      <w:r>
        <w:rPr>
          <w:rFonts w:ascii="Arial" w:cs="Arial" w:eastAsia="Arial" w:hAnsi="Arial"/>
          <w:sz w:val="16"/>
          <w:szCs w:val="16"/>
          <w:color w:val="auto"/>
        </w:rPr>
        <w:t>”) of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Notes are expected to be listed on the Nasdaq Global Select Market and to trade thereon within 30 days of the original issue date under the trading symbol “PNNTG”. As of September 27, 2019, the Company has issued and sold $75,000,000 in aggregate principal amount of the Notes and granted an option to the underwriters to purchase up to an additional $11,250,000 in aggregate principal amount of the Notes.</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a description of the Notes, reference is made to (i) the information under the heading “Description of Our Debt Securities” in the Company’s prospectus dated April 29, 2019 (the “</w:t>
      </w:r>
      <w:r>
        <w:rPr>
          <w:rFonts w:ascii="Arial" w:cs="Arial" w:eastAsia="Arial" w:hAnsi="Arial"/>
          <w:sz w:val="18"/>
          <w:szCs w:val="18"/>
          <w:u w:val="single" w:color="auto"/>
          <w:color w:val="auto"/>
        </w:rPr>
        <w:t>Prospectus</w:t>
      </w:r>
      <w:r>
        <w:rPr>
          <w:rFonts w:ascii="Arial" w:cs="Arial" w:eastAsia="Arial" w:hAnsi="Arial"/>
          <w:sz w:val="18"/>
          <w:szCs w:val="18"/>
          <w:color w:val="auto"/>
        </w:rPr>
        <w:t>”) included in the Registration Statement on Form N-2 (File No. 333-230014) (as amended from time to time,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as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(ii) the information under the heading “Specific Terms of the Notes and the Offering” in the Company’s prospectus supplement dated September 24, 2019 (the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as filed with the Commission on September 25, 2019 pursuant to Rule 497 under the Securities Act. The Prospectus and the Prospectus Supplement are incorporated herein by reference. Any form of prospectus or prospectus supplement to the Registration Statement that includes such descriptions and that are subsequently filed are hereby also incorporated by reference herein.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Exhibits.</w:t>
      </w:r>
    </w:p>
    <w:p>
      <w:pPr>
        <w:spacing w:after="0" w:line="247" w:lineRule="exact"/>
        <w:rPr>
          <w:sz w:val="20"/>
          <w:szCs w:val="20"/>
          <w:color w:val="auto"/>
        </w:rPr>
      </w:pPr>
    </w:p>
    <w:p>
      <w:pPr>
        <w:jc w:val="center"/>
        <w:ind w:right="10540"/>
        <w:spacing w:after="0"/>
        <w:rPr>
          <w:sz w:val="20"/>
          <w:szCs w:val="20"/>
          <w:color w:val="auto"/>
        </w:rPr>
      </w:pPr>
      <w:r>
        <w:rPr>
          <w:rFonts w:ascii="Arial" w:cs="Arial" w:eastAsia="Arial" w:hAnsi="Arial"/>
          <w:sz w:val="14"/>
          <w:szCs w:val="14"/>
          <w:color w:val="auto"/>
        </w:rPr>
        <w:t>Exhibit</w:t>
      </w:r>
    </w:p>
    <w:p>
      <w:pPr>
        <w:jc w:val="center"/>
        <w:ind w:right="1054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4.1</w:t>
            </w: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Articles of Amendment and Restatement of the Company (Incorporated by reference to Exhibit 99(a) to the Company’s Pre-Effective</w:t>
            </w:r>
          </w:p>
        </w:tc>
      </w:tr>
      <w:tr>
        <w:trPr>
          <w:trHeight w:val="230"/>
        </w:trPr>
        <w:tc>
          <w:tcPr>
            <w:tcW w:w="60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Amendment No. 3 to the Registration Statement on Form N-2/A (File No. 333-140092), filed on April 5, 2007).</w:t>
            </w:r>
          </w:p>
        </w:tc>
      </w:tr>
      <w:tr>
        <w:trPr>
          <w:trHeight w:val="310"/>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4.2</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Amended and Restated Bylaws of the Company (Incorporated by reference to Exhibit 3.1 to the Company’s Current Report on Form 8-K</w:t>
            </w:r>
          </w:p>
        </w:tc>
      </w:tr>
      <w:tr>
        <w:trPr>
          <w:trHeight w:val="230"/>
        </w:trPr>
        <w:tc>
          <w:tcPr>
            <w:tcW w:w="60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(File No. 814-00736), filed on December 2, 2015).</w:t>
            </w:r>
          </w:p>
        </w:tc>
      </w:tr>
      <w:tr>
        <w:trPr>
          <w:trHeight w:val="310"/>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4.3</w:t>
            </w: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Base Indenture, dated as of January 22, 2013, between the Company and American Stock Transfer &amp; Trust Company, LLC, as trustee</w:t>
            </w:r>
          </w:p>
        </w:tc>
      </w:tr>
      <w:tr>
        <w:trPr>
          <w:trHeight w:val="216"/>
        </w:trPr>
        <w:tc>
          <w:tcPr>
            <w:tcW w:w="60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3"/>
              </w:rPr>
              <w:t>(Incorporated by reference to Exhibit (d)(8) to the Company’s Post-Effective Amendment No. 4 to the Registration Statement on Form</w:t>
            </w:r>
          </w:p>
        </w:tc>
      </w:tr>
      <w:tr>
        <w:trPr>
          <w:trHeight w:val="230"/>
        </w:trPr>
        <w:tc>
          <w:tcPr>
            <w:tcW w:w="60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N-2/A (File No. 333-172524), filed on January 22, 2013).</w:t>
            </w:r>
          </w:p>
        </w:tc>
      </w:tr>
      <w:tr>
        <w:trPr>
          <w:trHeight w:val="310"/>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4.4</w:t>
            </w:r>
          </w:p>
        </w:tc>
        <w:tc>
          <w:tcPr>
            <w:tcW w:w="10340" w:type="dxa"/>
            <w:vAlign w:val="bottom"/>
          </w:tcPr>
          <w:p>
            <w:pPr>
              <w:ind w:left="360"/>
              <w:spacing w:after="0"/>
              <w:rPr>
                <w:sz w:val="20"/>
                <w:szCs w:val="20"/>
                <w:color w:val="auto"/>
              </w:rPr>
            </w:pPr>
            <w:r>
              <w:rPr>
                <w:rFonts w:ascii="Arial" w:cs="Arial" w:eastAsia="Arial" w:hAnsi="Arial"/>
                <w:sz w:val="18"/>
                <w:szCs w:val="18"/>
                <w:color w:val="auto"/>
                <w:w w:val="92"/>
              </w:rPr>
              <w:t>Third Supplemental Indenture, dated as of September 27, 2019, between the Company and American Stock Transfer &amp; Trust Company,</w:t>
            </w:r>
          </w:p>
        </w:tc>
      </w:tr>
      <w:tr>
        <w:trPr>
          <w:trHeight w:val="216"/>
        </w:trPr>
        <w:tc>
          <w:tcPr>
            <w:tcW w:w="60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LLC, as trustee (Incorporated by reference to Exhibit 4.1 to the Current Report on Form 8-K (File No. 814-00736), filed on September 27,</w:t>
            </w:r>
          </w:p>
        </w:tc>
      </w:tr>
      <w:tr>
        <w:trPr>
          <w:trHeight w:val="230"/>
        </w:trPr>
        <w:tc>
          <w:tcPr>
            <w:tcW w:w="60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2019).</w:t>
            </w:r>
          </w:p>
        </w:tc>
      </w:tr>
      <w:tr>
        <w:trPr>
          <w:trHeight w:val="324"/>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4.5</w:t>
            </w:r>
          </w:p>
        </w:tc>
        <w:tc>
          <w:tcPr>
            <w:tcW w:w="10340" w:type="dxa"/>
            <w:vAlign w:val="bottom"/>
          </w:tcPr>
          <w:p>
            <w:pPr>
              <w:ind w:left="360"/>
              <w:spacing w:after="0"/>
              <w:rPr>
                <w:sz w:val="20"/>
                <w:szCs w:val="20"/>
                <w:color w:val="auto"/>
              </w:rPr>
            </w:pPr>
            <w:r>
              <w:rPr>
                <w:rFonts w:ascii="Arial" w:cs="Arial" w:eastAsia="Arial" w:hAnsi="Arial"/>
                <w:sz w:val="18"/>
                <w:szCs w:val="18"/>
                <w:color w:val="auto"/>
              </w:rPr>
              <w:t>Form of 5.50% Note due 2024 (included as part of Exhibit 4.4).</w:t>
            </w:r>
          </w:p>
        </w:tc>
      </w:tr>
    </w:tbl>
    <w:p>
      <w:pPr>
        <w:sectPr>
          <w:pgSz w:w="11900" w:h="16838" w:orient="portrait"/>
          <w:cols w:equalWidth="0" w:num="1">
            <w:col w:w="10980"/>
          </w:cols>
          <w:pgMar w:left="440" w:top="270" w:right="47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500" w:val="left"/>
          <w:tab w:leader="none" w:pos="6160" w:val="left"/>
        </w:tabs>
        <w:rPr>
          <w:sz w:val="20"/>
          <w:szCs w:val="20"/>
          <w:color w:val="auto"/>
        </w:rPr>
      </w:pPr>
      <w:r>
        <w:rPr>
          <w:rFonts w:ascii="Arial" w:cs="Arial" w:eastAsia="Arial" w:hAnsi="Arial"/>
          <w:sz w:val="18"/>
          <w:szCs w:val="18"/>
          <w:color w:val="auto"/>
        </w:rPr>
        <w:t>Dated: September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Aviv Efrat</w:t>
      </w:r>
    </w:p>
    <w:p>
      <w:pPr>
        <w:spacing w:after="0" w:line="2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18"/>
          <w:szCs w:val="18"/>
          <w:color w:val="auto"/>
        </w:rPr>
        <w:t>Title:</w:t>
        <w:tab/>
        <w:t>Chief Financial Officer &amp; Treasurer</w:t>
      </w:r>
    </w:p>
    <w:sectPr>
      <w:pgSz w:w="11900" w:h="16838" w:orient="portrait"/>
      <w:cols w:equalWidth="0" w:num="1">
        <w:col w:w="10540"/>
      </w:cols>
      <w:pgMar w:left="4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2019-12-15T15:08:43Z</dcterms:created>
  <dcterms:modified xsi:type="dcterms:W3CDTF">2019-12-15T15:08:43Z</dcterms:modified>
</cp:coreProperties>
</file>