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184150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203835</wp:posOffset>
            </wp:positionV>
            <wp:extent cx="14916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60" w:right="60" w:hanging="552"/>
        <w:spacing w:after="0" w:line="236" w:lineRule="auto"/>
        <w:tabs>
          <w:tab w:leader="none" w:pos="5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-290195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20"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FOR THE QUARTER ENDED MARCH 31, 2008</w:t>
      </w:r>
    </w:p>
    <w:p>
      <w:pPr>
        <w:spacing w:after="0" w:line="17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560" w:right="60" w:hanging="552"/>
        <w:spacing w:after="0" w:line="256" w:lineRule="auto"/>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01" w:lineRule="exact"/>
        <w:rPr>
          <w:sz w:val="24"/>
          <w:szCs w:val="24"/>
          <w:color w:val="auto"/>
        </w:rPr>
      </w:pPr>
    </w:p>
    <w:p>
      <w:pPr>
        <w:ind w:left="560"/>
        <w:spacing w:after="0"/>
        <w:tabs>
          <w:tab w:leader="none" w:pos="4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2451100</wp:posOffset>
            </wp:positionH>
            <wp:positionV relativeFrom="paragraph">
              <wp:posOffset>-10160</wp:posOffset>
            </wp:positionV>
            <wp:extent cx="8832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3285" cy="8255"/>
                    </a:xfrm>
                    <a:prstGeom prst="rect">
                      <a:avLst/>
                    </a:prstGeom>
                    <a:noFill/>
                  </pic:spPr>
                </pic:pic>
              </a:graphicData>
            </a:graphic>
          </wp:anchor>
        </w:drawing>
      </w:r>
    </w:p>
    <w:p>
      <w:pPr>
        <w:spacing w:after="0" w:line="15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194945</wp:posOffset>
            </wp:positionV>
            <wp:extent cx="1491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800"/>
        <w:spacing w:after="0"/>
        <w:rPr>
          <w:sz w:val="20"/>
          <w:szCs w:val="20"/>
          <w:color w:val="auto"/>
        </w:rPr>
      </w:pPr>
      <w:r>
        <w:rPr>
          <w:rFonts w:ascii="Arial" w:cs="Arial" w:eastAsia="Arial" w:hAnsi="Arial"/>
          <w:sz w:val="43"/>
          <w:szCs w:val="43"/>
          <w:b w:val="1"/>
          <w:bCs w:val="1"/>
          <w:color w:val="auto"/>
        </w:rPr>
        <w:t>PENNANTPARK INVESTMENT CORPORATION</w:t>
      </w:r>
    </w:p>
    <w:p>
      <w:pPr>
        <w:spacing w:after="0" w:line="50" w:lineRule="exact"/>
        <w:rPr>
          <w:sz w:val="24"/>
          <w:szCs w:val="24"/>
          <w:color w:val="auto"/>
        </w:rPr>
      </w:pPr>
    </w:p>
    <w:tbl>
      <w:tblPr>
        <w:tblLayout w:type="fixed"/>
        <w:tblInd w:w="1640" w:type="dxa"/>
        <w:tblCellMar>
          <w:top w:w="0" w:type="dxa"/>
          <w:left w:w="0" w:type="dxa"/>
          <w:bottom w:w="0" w:type="dxa"/>
          <w:right w:w="0" w:type="dxa"/>
        </w:tblCellMar>
      </w:tblPr>
      <w:tr>
        <w:trPr>
          <w:trHeight w:val="174"/>
        </w:trPr>
        <w:tc>
          <w:tcPr>
            <w:tcW w:w="2380" w:type="dxa"/>
            <w:vAlign w:val="bottom"/>
          </w:tcPr>
          <w:p>
            <w:pPr>
              <w:spacing w:after="0"/>
              <w:rPr>
                <w:sz w:val="15"/>
                <w:szCs w:val="15"/>
                <w:color w:val="auto"/>
              </w:rPr>
            </w:pPr>
          </w:p>
        </w:tc>
        <w:tc>
          <w:tcPr>
            <w:tcW w:w="5060" w:type="dxa"/>
            <w:vAlign w:val="bottom"/>
            <w:gridSpan w:val="3"/>
          </w:tcPr>
          <w:p>
            <w:pPr>
              <w:jc w:val="center"/>
              <w:ind w:right="1773"/>
              <w:spacing w:after="0"/>
              <w:rPr>
                <w:sz w:val="20"/>
                <w:szCs w:val="20"/>
                <w:color w:val="auto"/>
              </w:rPr>
            </w:pPr>
            <w:r>
              <w:rPr>
                <w:rFonts w:ascii="Arial" w:cs="Arial" w:eastAsia="Arial" w:hAnsi="Arial"/>
                <w:sz w:val="13"/>
                <w:szCs w:val="13"/>
                <w:b w:val="1"/>
                <w:bCs w:val="1"/>
                <w:color w:val="auto"/>
                <w:w w:val="93"/>
              </w:rPr>
              <w:t>(Exact name of registrant as specified in its charter)</w:t>
            </w:r>
          </w:p>
        </w:tc>
      </w:tr>
      <w:tr>
        <w:trPr>
          <w:trHeight w:val="270"/>
        </w:trPr>
        <w:tc>
          <w:tcPr>
            <w:tcW w:w="2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360" w:type="dxa"/>
            <w:vAlign w:val="bottom"/>
            <w:tcBorders>
              <w:bottom w:val="single" w:sz="8" w:color="auto"/>
            </w:tcBorders>
          </w:tcPr>
          <w:p>
            <w:pPr>
              <w:spacing w:after="0"/>
              <w:rPr>
                <w:sz w:val="23"/>
                <w:szCs w:val="23"/>
                <w:color w:val="auto"/>
              </w:rPr>
            </w:pPr>
          </w:p>
        </w:tc>
        <w:tc>
          <w:tcPr>
            <w:tcW w:w="2280" w:type="dxa"/>
            <w:vAlign w:val="bottom"/>
          </w:tcPr>
          <w:p>
            <w:pPr>
              <w:spacing w:after="0"/>
              <w:rPr>
                <w:sz w:val="23"/>
                <w:szCs w:val="23"/>
                <w:color w:val="auto"/>
              </w:rPr>
            </w:pPr>
          </w:p>
        </w:tc>
      </w:tr>
      <w:tr>
        <w:trPr>
          <w:trHeight w:val="426"/>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rPr>
              <w:t>MARYLAND</w:t>
            </w:r>
          </w:p>
        </w:tc>
        <w:tc>
          <w:tcPr>
            <w:tcW w:w="5060" w:type="dxa"/>
            <w:vAlign w:val="bottom"/>
            <w:gridSpan w:val="3"/>
          </w:tcPr>
          <w:p>
            <w:pPr>
              <w:jc w:val="right"/>
              <w:ind w:right="33"/>
              <w:spacing w:after="0"/>
              <w:rPr>
                <w:sz w:val="20"/>
                <w:szCs w:val="20"/>
                <w:color w:val="auto"/>
              </w:rPr>
            </w:pPr>
            <w:r>
              <w:rPr>
                <w:rFonts w:ascii="Arial" w:cs="Arial" w:eastAsia="Arial" w:hAnsi="Arial"/>
                <w:sz w:val="18"/>
                <w:szCs w:val="18"/>
                <w:b w:val="1"/>
                <w:bCs w:val="1"/>
                <w:color w:val="auto"/>
              </w:rPr>
              <w:t>20-8250744</w:t>
            </w:r>
          </w:p>
        </w:tc>
      </w:tr>
      <w:tr>
        <w:trPr>
          <w:trHeight w:val="148"/>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4"/>
              </w:rPr>
              <w:t>(State or other jurisdiction of</w:t>
            </w:r>
          </w:p>
        </w:tc>
        <w:tc>
          <w:tcPr>
            <w:tcW w:w="4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280" w:type="dxa"/>
            <w:vAlign w:val="bottom"/>
          </w:tcPr>
          <w:p>
            <w:pPr>
              <w:jc w:val="center"/>
              <w:ind w:left="1153"/>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4"/>
              </w:rPr>
              <w:t>incorporation or organization)</w:t>
            </w:r>
          </w:p>
        </w:tc>
        <w:tc>
          <w:tcPr>
            <w:tcW w:w="4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280" w:type="dxa"/>
            <w:vAlign w:val="bottom"/>
          </w:tcPr>
          <w:p>
            <w:pPr>
              <w:jc w:val="center"/>
              <w:ind w:left="1153"/>
              <w:spacing w:after="0"/>
              <w:rPr>
                <w:sz w:val="20"/>
                <w:szCs w:val="20"/>
                <w:color w:val="auto"/>
              </w:rPr>
            </w:pPr>
            <w:r>
              <w:rPr>
                <w:rFonts w:ascii="Arial" w:cs="Arial" w:eastAsia="Arial" w:hAnsi="Arial"/>
                <w:sz w:val="13"/>
                <w:szCs w:val="13"/>
                <w:b w:val="1"/>
                <w:bCs w:val="1"/>
                <w:color w:val="auto"/>
                <w:w w:val="96"/>
              </w:rPr>
              <w:t>Identification No.)</w:t>
            </w:r>
          </w:p>
        </w:tc>
      </w:tr>
      <w:tr>
        <w:trPr>
          <w:trHeight w:val="405"/>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6"/>
              </w:rPr>
              <w:t>590 Madison Avenue, 15</w:t>
            </w:r>
            <w:r>
              <w:rPr>
                <w:rFonts w:ascii="Arial" w:cs="Arial" w:eastAsia="Arial" w:hAnsi="Arial"/>
                <w:sz w:val="22"/>
                <w:szCs w:val="22"/>
                <w:b w:val="1"/>
                <w:bCs w:val="1"/>
                <w:color w:val="auto"/>
                <w:w w:val="86"/>
                <w:vertAlign w:val="superscript"/>
              </w:rPr>
              <w:t>th</w:t>
            </w:r>
            <w:r>
              <w:rPr>
                <w:rFonts w:ascii="Arial" w:cs="Arial" w:eastAsia="Arial" w:hAnsi="Arial"/>
                <w:sz w:val="18"/>
                <w:szCs w:val="18"/>
                <w:b w:val="1"/>
                <w:bCs w:val="1"/>
                <w:color w:val="auto"/>
                <w:w w:val="86"/>
              </w:rPr>
              <w:t xml:space="preserve"> Floor</w:t>
            </w:r>
          </w:p>
        </w:tc>
        <w:tc>
          <w:tcPr>
            <w:tcW w:w="4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1"/>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1"/>
              </w:rPr>
              <w:t>New York, N.Y.</w:t>
            </w:r>
          </w:p>
        </w:tc>
        <w:tc>
          <w:tcPr>
            <w:tcW w:w="5060" w:type="dxa"/>
            <w:vAlign w:val="bottom"/>
            <w:gridSpan w:val="3"/>
          </w:tcPr>
          <w:p>
            <w:pPr>
              <w:jc w:val="right"/>
              <w:ind w:right="253"/>
              <w:spacing w:after="0"/>
              <w:rPr>
                <w:sz w:val="20"/>
                <w:szCs w:val="20"/>
                <w:color w:val="auto"/>
              </w:rPr>
            </w:pPr>
            <w:r>
              <w:rPr>
                <w:rFonts w:ascii="Arial" w:cs="Arial" w:eastAsia="Arial" w:hAnsi="Arial"/>
                <w:sz w:val="18"/>
                <w:szCs w:val="18"/>
                <w:b w:val="1"/>
                <w:bCs w:val="1"/>
                <w:color w:val="auto"/>
              </w:rPr>
              <w:t>10022</w:t>
            </w:r>
          </w:p>
        </w:tc>
      </w:tr>
      <w:tr>
        <w:trPr>
          <w:trHeight w:val="174"/>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4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280" w:type="dxa"/>
            <w:vAlign w:val="bottom"/>
          </w:tcPr>
          <w:p>
            <w:pPr>
              <w:jc w:val="center"/>
              <w:ind w:left="1153"/>
              <w:spacing w:after="0"/>
              <w:rPr>
                <w:sz w:val="20"/>
                <w:szCs w:val="20"/>
                <w:color w:val="auto"/>
              </w:rPr>
            </w:pPr>
            <w:r>
              <w:rPr>
                <w:rFonts w:ascii="Arial" w:cs="Arial" w:eastAsia="Arial" w:hAnsi="Arial"/>
                <w:sz w:val="13"/>
                <w:szCs w:val="13"/>
                <w:b w:val="1"/>
                <w:bCs w:val="1"/>
                <w:color w:val="auto"/>
                <w:w w:val="96"/>
              </w:rPr>
              <w:t>(Zip Code)</w:t>
            </w:r>
          </w:p>
        </w:tc>
      </w:tr>
      <w:tr>
        <w:trPr>
          <w:trHeight w:val="352"/>
        </w:trPr>
        <w:tc>
          <w:tcPr>
            <w:tcW w:w="2380" w:type="dxa"/>
            <w:vAlign w:val="bottom"/>
          </w:tcPr>
          <w:p>
            <w:pPr>
              <w:spacing w:after="0"/>
              <w:rPr>
                <w:sz w:val="24"/>
                <w:szCs w:val="24"/>
                <w:color w:val="auto"/>
              </w:rPr>
            </w:pPr>
          </w:p>
        </w:tc>
        <w:tc>
          <w:tcPr>
            <w:tcW w:w="2780" w:type="dxa"/>
            <w:vAlign w:val="bottom"/>
            <w:gridSpan w:val="2"/>
          </w:tcPr>
          <w:p>
            <w:pPr>
              <w:jc w:val="center"/>
              <w:ind w:left="340"/>
              <w:spacing w:after="0"/>
              <w:rPr>
                <w:sz w:val="20"/>
                <w:szCs w:val="20"/>
                <w:color w:val="auto"/>
              </w:rPr>
            </w:pPr>
            <w:r>
              <w:rPr>
                <w:rFonts w:ascii="Arial" w:cs="Arial" w:eastAsia="Arial" w:hAnsi="Arial"/>
                <w:sz w:val="18"/>
                <w:szCs w:val="18"/>
                <w:b w:val="1"/>
                <w:bCs w:val="1"/>
                <w:color w:val="auto"/>
                <w:w w:val="90"/>
              </w:rPr>
              <w:t>(212)-905-1000</w:t>
            </w:r>
          </w:p>
        </w:tc>
        <w:tc>
          <w:tcPr>
            <w:tcW w:w="2280" w:type="dxa"/>
            <w:vAlign w:val="bottom"/>
          </w:tcPr>
          <w:p>
            <w:pPr>
              <w:spacing w:after="0"/>
              <w:rPr>
                <w:sz w:val="24"/>
                <w:szCs w:val="24"/>
                <w:color w:val="auto"/>
              </w:rPr>
            </w:pPr>
          </w:p>
        </w:tc>
      </w:tr>
      <w:tr>
        <w:trPr>
          <w:trHeight w:val="174"/>
        </w:trPr>
        <w:tc>
          <w:tcPr>
            <w:tcW w:w="2380" w:type="dxa"/>
            <w:vAlign w:val="bottom"/>
          </w:tcPr>
          <w:p>
            <w:pPr>
              <w:spacing w:after="0"/>
              <w:rPr>
                <w:sz w:val="15"/>
                <w:szCs w:val="15"/>
                <w:color w:val="auto"/>
              </w:rPr>
            </w:pPr>
          </w:p>
        </w:tc>
        <w:tc>
          <w:tcPr>
            <w:tcW w:w="5060" w:type="dxa"/>
            <w:vAlign w:val="bottom"/>
            <w:gridSpan w:val="3"/>
          </w:tcPr>
          <w:p>
            <w:pPr>
              <w:jc w:val="center"/>
              <w:ind w:right="1773"/>
              <w:spacing w:after="0"/>
              <w:rPr>
                <w:sz w:val="20"/>
                <w:szCs w:val="20"/>
                <w:color w:val="auto"/>
              </w:rPr>
            </w:pPr>
            <w:r>
              <w:rPr>
                <w:rFonts w:ascii="Arial" w:cs="Arial" w:eastAsia="Arial" w:hAnsi="Arial"/>
                <w:sz w:val="13"/>
                <w:szCs w:val="13"/>
                <w:b w:val="1"/>
                <w:bCs w:val="1"/>
                <w:color w:val="auto"/>
                <w:w w:val="93"/>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171450</wp:posOffset>
            </wp:positionV>
            <wp:extent cx="14916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firstLine="449"/>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7" w:lineRule="exact"/>
        <w:rPr>
          <w:sz w:val="24"/>
          <w:szCs w:val="24"/>
          <w:color w:val="auto"/>
        </w:rPr>
      </w:pPr>
    </w:p>
    <w:p>
      <w:pPr>
        <w:ind w:right="180" w:firstLine="449"/>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4"/>
          <w:szCs w:val="24"/>
          <w:color w:val="auto"/>
        </w:rPr>
      </w:pPr>
    </w:p>
    <w:p>
      <w:pPr>
        <w:ind w:left="2960"/>
        <w:spacing w:after="0" w:line="207" w:lineRule="exact"/>
        <w:tabs>
          <w:tab w:leader="none" w:pos="4940" w:val="left"/>
          <w:tab w:leader="none" w:pos="65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ind w:left="460"/>
        <w:spacing w:after="0" w:line="207" w:lineRule="exact"/>
        <w:tabs>
          <w:tab w:leader="none" w:pos="8560" w:val="left"/>
          <w:tab w:leader="none" w:pos="92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number of shares of the issuer’s common stock, $0.001 par value, outstanding as of May 5, 2008 was 21,068,772.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230" w:right="4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40" w:type="dxa"/>
            <w:vAlign w:val="bottom"/>
            <w:gridSpan w:val="3"/>
            <w:vMerge w:val="restart"/>
          </w:tcPr>
          <w:p>
            <w:pPr>
              <w:jc w:val="center"/>
              <w:ind w:right="244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3"/>
              </w:rPr>
              <w:t>Page</w:t>
            </w:r>
          </w:p>
        </w:tc>
        <w:tc>
          <w:tcPr>
            <w:tcW w:w="0" w:type="dxa"/>
            <w:vAlign w:val="bottom"/>
          </w:tcPr>
          <w:p>
            <w:pPr>
              <w:spacing w:after="0"/>
              <w:rPr>
                <w:sz w:val="1"/>
                <w:szCs w:val="1"/>
                <w:color w:val="auto"/>
              </w:rPr>
            </w:pPr>
          </w:p>
        </w:tc>
      </w:tr>
      <w:tr>
        <w:trPr>
          <w:trHeight w:val="207"/>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4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0960" w:type="dxa"/>
            <w:vAlign w:val="bottom"/>
            <w:gridSpan w:val="7"/>
          </w:tcPr>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Item 1.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10520" w:type="dxa"/>
            <w:vAlign w:val="bottom"/>
            <w:gridSpan w:val="6"/>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Statement of Assets and Liabilities as of March 31, 2008 (unaudited) and September 30, 2007</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1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Statement of Operations (unaudited) for the three and six months ended March 31, 2008 and for the period January 11, 2007 (inception) through</w:t>
              </w:r>
            </w:hyperlink>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March 31, 2007</w:t>
              </w:r>
            </w:hyperlink>
          </w:p>
        </w:tc>
        <w:tc>
          <w:tcPr>
            <w:tcW w:w="918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520" w:type="dxa"/>
            <w:vAlign w:val="bottom"/>
            <w:gridSpan w:val="6"/>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Statement of Changes in Net Assets for the six months ended March 31, 2008 (unaudited) and for the period January 11, 2007 (inception)</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w:anchor="page7">
              <w:r>
                <w:rPr>
                  <w:rFonts w:ascii="Arial" w:cs="Arial" w:eastAsia="Arial" w:hAnsi="Arial"/>
                  <w:sz w:val="18"/>
                  <w:szCs w:val="18"/>
                  <w:color w:val="0000EE"/>
                  <w:w w:val="86"/>
                </w:rPr>
                <w:t>through September 30, 2007)</w:t>
              </w:r>
            </w:hyperlink>
          </w:p>
        </w:tc>
        <w:tc>
          <w:tcPr>
            <w:tcW w:w="7380" w:type="dxa"/>
            <w:vAlign w:val="bottom"/>
            <w:tcBorders>
              <w:top w:val="single" w:sz="8" w:color="0000EE"/>
            </w:tcBorders>
          </w:tcPr>
          <w:p>
            <w:pPr>
              <w:spacing w:after="0"/>
              <w:rPr>
                <w:sz w:val="17"/>
                <w:szCs w:val="17"/>
                <w:color w:val="auto"/>
              </w:rPr>
            </w:pPr>
          </w:p>
        </w:tc>
        <w:tc>
          <w:tcPr>
            <w:tcW w:w="86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36"/>
        </w:trPr>
        <w:tc>
          <w:tcPr>
            <w:tcW w:w="440" w:type="dxa"/>
            <w:vAlign w:val="bottom"/>
          </w:tcPr>
          <w:p>
            <w:pPr>
              <w:spacing w:after="0"/>
              <w:rPr>
                <w:sz w:val="24"/>
                <w:szCs w:val="24"/>
                <w:color w:val="auto"/>
              </w:rPr>
            </w:pPr>
          </w:p>
        </w:tc>
        <w:tc>
          <w:tcPr>
            <w:tcW w:w="10520" w:type="dxa"/>
            <w:vAlign w:val="bottom"/>
            <w:gridSpan w:val="6"/>
          </w:tcPr>
          <w:p>
            <w:pPr>
              <w:spacing w:after="0"/>
              <w:rPr>
                <w:rFonts w:ascii="Arial" w:cs="Arial" w:eastAsia="Arial" w:hAnsi="Arial"/>
                <w:sz w:val="18"/>
                <w:szCs w:val="18"/>
                <w:color w:val="0000EE"/>
                <w:w w:val="97"/>
              </w:rPr>
            </w:pPr>
            <w:hyperlink w:anchor="page8">
              <w:r>
                <w:rPr>
                  <w:rFonts w:ascii="Arial" w:cs="Arial" w:eastAsia="Arial" w:hAnsi="Arial"/>
                  <w:sz w:val="18"/>
                  <w:szCs w:val="18"/>
                  <w:u w:val="single" w:color="auto"/>
                  <w:color w:val="0000EE"/>
                  <w:w w:val="97"/>
                </w:rPr>
                <w:t>Statement of Cash Flows (unaudited) for the six months ended March 31, 2008</w:t>
              </w:r>
              <w:r>
                <w:rPr>
                  <w:rFonts w:ascii="Arial" w:cs="Arial" w:eastAsia="Arial" w:hAnsi="Arial"/>
                  <w:sz w:val="18"/>
                  <w:szCs w:val="18"/>
                  <w:color w:val="0000EE"/>
                  <w:w w:val="97"/>
                </w:rPr>
                <w:t xml:space="preserve"> </w:t>
              </w:r>
            </w:hyperlink>
            <w:r>
              <w:rPr>
                <w:rFonts w:ascii="Arial" w:cs="Arial" w:eastAsia="Arial" w:hAnsi="Arial"/>
                <w:sz w:val="18"/>
                <w:szCs w:val="18"/>
                <w:color w:val="000000"/>
                <w:w w:val="97"/>
              </w:rPr>
              <w:t>and</w:t>
            </w:r>
            <w:r>
              <w:rPr>
                <w:rFonts w:ascii="Arial" w:cs="Arial" w:eastAsia="Arial" w:hAnsi="Arial"/>
                <w:sz w:val="18"/>
                <w:szCs w:val="18"/>
                <w:color w:val="0000EE"/>
                <w:w w:val="97"/>
              </w:rPr>
              <w:t xml:space="preserve"> </w:t>
            </w:r>
            <w:r>
              <w:rPr>
                <w:rFonts w:ascii="Arial" w:cs="Arial" w:eastAsia="Arial" w:hAnsi="Arial"/>
                <w:sz w:val="18"/>
                <w:szCs w:val="18"/>
                <w:color w:val="000000"/>
                <w:w w:val="97"/>
              </w:rPr>
              <w:t>for the period January 11, 2007 (inception) through</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300" w:type="dxa"/>
            <w:vAlign w:val="bottom"/>
            <w:gridSpan w:val="5"/>
          </w:tcPr>
          <w:p>
            <w:pPr>
              <w:spacing w:after="0"/>
              <w:rPr>
                <w:sz w:val="20"/>
                <w:szCs w:val="20"/>
                <w:color w:val="auto"/>
              </w:rPr>
            </w:pPr>
            <w:r>
              <w:rPr>
                <w:rFonts w:ascii="Arial" w:cs="Arial" w:eastAsia="Arial" w:hAnsi="Arial"/>
                <w:sz w:val="18"/>
                <w:szCs w:val="18"/>
                <w:color w:val="auto"/>
              </w:rPr>
              <w:t>March 31, 2007</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10520" w:type="dxa"/>
            <w:vAlign w:val="bottom"/>
            <w:gridSpan w:val="6"/>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Schedule of Investments as of March 31, 2008 (unaudited) and September 30, 2007</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10520" w:type="dxa"/>
            <w:vAlign w:val="bottom"/>
            <w:gridSpan w:val="6"/>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Notes to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10520" w:type="dxa"/>
            <w:vAlign w:val="bottom"/>
            <w:gridSpan w:val="6"/>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Report of Independent Registered Public Accounting Firm</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24"/>
        </w:trPr>
        <w:tc>
          <w:tcPr>
            <w:tcW w:w="10960" w:type="dxa"/>
            <w:vAlign w:val="bottom"/>
            <w:gridSpan w:val="7"/>
          </w:tcPr>
          <w:p>
            <w:pPr>
              <w:spacing w:after="0"/>
              <w:rPr>
                <w:rFonts w:ascii="Arial" w:cs="Arial" w:eastAsia="Arial" w:hAnsi="Arial"/>
                <w:sz w:val="18"/>
                <w:szCs w:val="18"/>
                <w:b w:val="1"/>
                <w:bCs w:val="1"/>
                <w:u w:val="single" w:color="auto"/>
                <w:color w:val="0000EE"/>
              </w:rPr>
            </w:pPr>
            <w:hyperlink w:anchor="page26">
              <w:r>
                <w:rPr>
                  <w:rFonts w:ascii="Arial" w:cs="Arial" w:eastAsia="Arial" w:hAnsi="Arial"/>
                  <w:sz w:val="18"/>
                  <w:szCs w:val="18"/>
                  <w:b w:val="1"/>
                  <w:bCs w:val="1"/>
                  <w:u w:val="single" w:color="auto"/>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10520" w:type="dxa"/>
            <w:vAlign w:val="bottom"/>
            <w:gridSpan w:val="6"/>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Forward-Looking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10520" w:type="dxa"/>
            <w:vAlign w:val="bottom"/>
            <w:gridSpan w:val="6"/>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Overview</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00" w:type="dxa"/>
            <w:vAlign w:val="bottom"/>
            <w:gridSpan w:val="5"/>
          </w:tcPr>
          <w:p>
            <w:pPr>
              <w:ind w:left="2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Investments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00" w:type="dxa"/>
            <w:vAlign w:val="bottom"/>
            <w:gridSpan w:val="5"/>
          </w:tcPr>
          <w:p>
            <w:pPr>
              <w:ind w:left="2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Revenues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00" w:type="dxa"/>
            <w:vAlign w:val="bottom"/>
            <w:gridSpan w:val="5"/>
          </w:tcPr>
          <w:p>
            <w:pPr>
              <w:ind w:left="2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Expenses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10520" w:type="dxa"/>
            <w:vAlign w:val="bottom"/>
            <w:gridSpan w:val="6"/>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Portfolio and Investment Activity</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10520" w:type="dxa"/>
            <w:vAlign w:val="bottom"/>
            <w:gridSpan w:val="6"/>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Critical Accounting Policies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10520" w:type="dxa"/>
            <w:vAlign w:val="bottom"/>
            <w:gridSpan w:val="6"/>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10520" w:type="dxa"/>
            <w:vAlign w:val="bottom"/>
            <w:gridSpan w:val="6"/>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Liquidity and Capital Resources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00" w:type="dxa"/>
            <w:vAlign w:val="bottom"/>
            <w:gridSpan w:val="5"/>
          </w:tcPr>
          <w:p>
            <w:pPr>
              <w:ind w:left="2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Contractual Obligations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00" w:type="dxa"/>
            <w:vAlign w:val="bottom"/>
            <w:gridSpan w:val="5"/>
          </w:tcPr>
          <w:p>
            <w:pPr>
              <w:ind w:left="2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Off-Balance Sheet Arrangements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00" w:type="dxa"/>
            <w:vAlign w:val="bottom"/>
            <w:gridSpan w:val="5"/>
          </w:tcPr>
          <w:p>
            <w:pPr>
              <w:ind w:left="2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Distributions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24"/>
        </w:trPr>
        <w:tc>
          <w:tcPr>
            <w:tcW w:w="10960" w:type="dxa"/>
            <w:vAlign w:val="bottom"/>
            <w:gridSpan w:val="7"/>
          </w:tcPr>
          <w:p>
            <w:pPr>
              <w:spacing w:after="0"/>
              <w:rPr>
                <w:rFonts w:ascii="Arial" w:cs="Arial" w:eastAsia="Arial" w:hAnsi="Arial"/>
                <w:sz w:val="18"/>
                <w:szCs w:val="18"/>
                <w:b w:val="1"/>
                <w:bCs w:val="1"/>
                <w:u w:val="single" w:color="auto"/>
                <w:color w:val="0000EE"/>
              </w:rPr>
            </w:pPr>
            <w:hyperlink w:anchor="page33">
              <w:r>
                <w:rPr>
                  <w:rFonts w:ascii="Arial" w:cs="Arial" w:eastAsia="Arial" w:hAnsi="Arial"/>
                  <w:sz w:val="18"/>
                  <w:szCs w:val="18"/>
                  <w:b w:val="1"/>
                  <w:bCs w:val="1"/>
                  <w:u w:val="single" w:color="auto"/>
                  <w:color w:val="0000EE"/>
                </w:rPr>
                <w:t>Item 3. Quantitative And Qualitative Disclosures About Market Risk</w:t>
              </w:r>
            </w:hyperlink>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324"/>
        </w:trPr>
        <w:tc>
          <w:tcPr>
            <w:tcW w:w="10960" w:type="dxa"/>
            <w:vAlign w:val="bottom"/>
            <w:gridSpan w:val="7"/>
          </w:tcPr>
          <w:p>
            <w:pPr>
              <w:spacing w:after="0"/>
              <w:rPr>
                <w:rFonts w:ascii="Arial" w:cs="Arial" w:eastAsia="Arial" w:hAnsi="Arial"/>
                <w:sz w:val="18"/>
                <w:szCs w:val="18"/>
                <w:b w:val="1"/>
                <w:bCs w:val="1"/>
                <w:u w:val="single" w:color="auto"/>
                <w:color w:val="0000EE"/>
              </w:rPr>
            </w:pPr>
            <w:hyperlink w:anchor="page33">
              <w:r>
                <w:rPr>
                  <w:rFonts w:ascii="Arial" w:cs="Arial" w:eastAsia="Arial" w:hAnsi="Arial"/>
                  <w:sz w:val="18"/>
                  <w:szCs w:val="18"/>
                  <w:b w:val="1"/>
                  <w:bCs w:val="1"/>
                  <w:u w:val="single" w:color="auto"/>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40" w:type="dxa"/>
            <w:vAlign w:val="bottom"/>
            <w:gridSpan w:val="3"/>
          </w:tcPr>
          <w:p>
            <w:pPr>
              <w:jc w:val="center"/>
              <w:ind w:right="2420"/>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PART II. OTHER INFORMATION</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960" w:type="dxa"/>
            <w:vAlign w:val="bottom"/>
            <w:gridSpan w:val="7"/>
          </w:tcPr>
          <w:p>
            <w:pPr>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324"/>
        </w:trPr>
        <w:tc>
          <w:tcPr>
            <w:tcW w:w="10960" w:type="dxa"/>
            <w:vAlign w:val="bottom"/>
            <w:gridSpan w:val="7"/>
          </w:tcPr>
          <w:p>
            <w:pPr>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Item 1A. Risk Factors</w:t>
              </w:r>
            </w:hyperlink>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324"/>
        </w:trPr>
        <w:tc>
          <w:tcPr>
            <w:tcW w:w="10960" w:type="dxa"/>
            <w:vAlign w:val="bottom"/>
            <w:gridSpan w:val="7"/>
          </w:tcPr>
          <w:p>
            <w:pPr>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324"/>
        </w:trPr>
        <w:tc>
          <w:tcPr>
            <w:tcW w:w="10960" w:type="dxa"/>
            <w:vAlign w:val="bottom"/>
            <w:gridSpan w:val="7"/>
          </w:tcPr>
          <w:p>
            <w:pPr>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Item 3. Defaults Upon Senior Securities</w:t>
              </w:r>
            </w:hyperlink>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0" w:type="dxa"/>
            <w:vAlign w:val="bottom"/>
          </w:tcPr>
          <w:p>
            <w:pPr>
              <w:spacing w:after="0"/>
              <w:rPr>
                <w:rFonts w:ascii="Arial" w:cs="Arial" w:eastAsia="Arial" w:hAnsi="Arial"/>
                <w:sz w:val="18"/>
                <w:szCs w:val="18"/>
                <w:b w:val="1"/>
                <w:bCs w:val="1"/>
                <w:u w:val="single" w:color="auto"/>
                <w:color w:val="0000EE"/>
                <w:w w:val="94"/>
              </w:rPr>
            </w:pPr>
            <w:hyperlink w:anchor="page34">
              <w:r>
                <w:rPr>
                  <w:rFonts w:ascii="Arial" w:cs="Arial" w:eastAsia="Arial" w:hAnsi="Arial"/>
                  <w:sz w:val="18"/>
                  <w:szCs w:val="18"/>
                  <w:b w:val="1"/>
                  <w:bCs w:val="1"/>
                  <w:u w:val="single" w:color="auto"/>
                  <w:color w:val="0000EE"/>
                  <w:w w:val="94"/>
                </w:rPr>
                <w:t>Item 4.</w:t>
              </w:r>
            </w:hyperlink>
          </w:p>
        </w:tc>
        <w:tc>
          <w:tcPr>
            <w:tcW w:w="7200" w:type="dxa"/>
            <w:vAlign w:val="bottom"/>
          </w:tcPr>
          <w:p>
            <w:pPr>
              <w:ind w:left="20"/>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Submission of Matters to a Vote of Security Holders</w:t>
              </w:r>
            </w:hyperlink>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324"/>
        </w:trPr>
        <w:tc>
          <w:tcPr>
            <w:tcW w:w="560" w:type="dxa"/>
            <w:vAlign w:val="bottom"/>
          </w:tcPr>
          <w:p>
            <w:pPr>
              <w:spacing w:after="0"/>
              <w:rPr>
                <w:rFonts w:ascii="Arial" w:cs="Arial" w:eastAsia="Arial" w:hAnsi="Arial"/>
                <w:sz w:val="18"/>
                <w:szCs w:val="18"/>
                <w:b w:val="1"/>
                <w:bCs w:val="1"/>
                <w:u w:val="single" w:color="auto"/>
                <w:color w:val="0000EE"/>
                <w:w w:val="94"/>
              </w:rPr>
            </w:pPr>
            <w:hyperlink w:anchor="page34">
              <w:r>
                <w:rPr>
                  <w:rFonts w:ascii="Arial" w:cs="Arial" w:eastAsia="Arial" w:hAnsi="Arial"/>
                  <w:sz w:val="18"/>
                  <w:szCs w:val="18"/>
                  <w:b w:val="1"/>
                  <w:bCs w:val="1"/>
                  <w:u w:val="single" w:color="auto"/>
                  <w:color w:val="0000EE"/>
                  <w:w w:val="94"/>
                </w:rPr>
                <w:t>Item 5.</w:t>
              </w:r>
            </w:hyperlink>
          </w:p>
        </w:tc>
        <w:tc>
          <w:tcPr>
            <w:tcW w:w="7200" w:type="dxa"/>
            <w:vAlign w:val="bottom"/>
          </w:tcPr>
          <w:p>
            <w:pPr>
              <w:ind w:left="20"/>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Other Information</w:t>
              </w:r>
            </w:hyperlink>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324"/>
        </w:trPr>
        <w:tc>
          <w:tcPr>
            <w:tcW w:w="560" w:type="dxa"/>
            <w:vAlign w:val="bottom"/>
          </w:tcPr>
          <w:p>
            <w:pPr>
              <w:spacing w:after="0"/>
              <w:rPr>
                <w:rFonts w:ascii="Arial" w:cs="Arial" w:eastAsia="Arial" w:hAnsi="Arial"/>
                <w:sz w:val="18"/>
                <w:szCs w:val="18"/>
                <w:b w:val="1"/>
                <w:bCs w:val="1"/>
                <w:u w:val="single" w:color="auto"/>
                <w:color w:val="0000EE"/>
                <w:w w:val="94"/>
              </w:rPr>
            </w:pPr>
            <w:hyperlink w:anchor="page35">
              <w:r>
                <w:rPr>
                  <w:rFonts w:ascii="Arial" w:cs="Arial" w:eastAsia="Arial" w:hAnsi="Arial"/>
                  <w:sz w:val="18"/>
                  <w:szCs w:val="18"/>
                  <w:b w:val="1"/>
                  <w:bCs w:val="1"/>
                  <w:u w:val="single" w:color="auto"/>
                  <w:color w:val="0000EE"/>
                  <w:w w:val="94"/>
                </w:rPr>
                <w:t>Item 6.</w:t>
              </w:r>
            </w:hyperlink>
          </w:p>
        </w:tc>
        <w:tc>
          <w:tcPr>
            <w:tcW w:w="7200" w:type="dxa"/>
            <w:vAlign w:val="bottom"/>
          </w:tcPr>
          <w:p>
            <w:pPr>
              <w:ind w:left="20"/>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Exhibits</w:t>
              </w:r>
            </w:hyperlink>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32</w:t>
            </w:r>
          </w:p>
        </w:tc>
      </w:tr>
      <w:tr>
        <w:trPr>
          <w:trHeight w:val="324"/>
        </w:trPr>
        <w:tc>
          <w:tcPr>
            <w:tcW w:w="7760" w:type="dxa"/>
            <w:vAlign w:val="bottom"/>
            <w:gridSpan w:val="2"/>
          </w:tcPr>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SIGNATURES</w:t>
              </w:r>
            </w:hyperlink>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bl>
    <w:p>
      <w:pPr>
        <w:sectPr>
          <w:pgSz w:w="11900" w:h="16838" w:orient="portrait"/>
          <w:cols w:equalWidth="0" w:num="1">
            <w:col w:w="11240"/>
          </w:cols>
          <w:pgMar w:left="32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I—FINANCIAL INFORMATION</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are filing this Report in compliance with Rule 13a-13 promulgated by the SEC. In this Report, “PennantPark Investment”, “we”, “our” and “us” refer to PennantPark Investment Corporation unless the context otherwise requires.</w:t>
      </w:r>
    </w:p>
    <w:p>
      <w:pPr>
        <w:spacing w:after="0" w:line="1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320" w:top="459" w:right="6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040" w:type="dxa"/>
            <w:vAlign w:val="bottom"/>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66"/>
        </w:trPr>
        <w:tc>
          <w:tcPr>
            <w:tcW w:w="900" w:type="dxa"/>
            <w:vAlign w:val="bottom"/>
          </w:tcPr>
          <w:p>
            <w:pPr>
              <w:spacing w:after="0"/>
              <w:rPr>
                <w:sz w:val="24"/>
                <w:szCs w:val="24"/>
                <w:color w:val="auto"/>
              </w:rPr>
            </w:pPr>
          </w:p>
        </w:tc>
        <w:tc>
          <w:tcPr>
            <w:tcW w:w="8040" w:type="dxa"/>
            <w:vAlign w:val="bottom"/>
          </w:tcPr>
          <w:p>
            <w:pPr>
              <w:jc w:val="center"/>
              <w:ind w:left="1312"/>
              <w:spacing w:after="0"/>
              <w:rPr>
                <w:sz w:val="20"/>
                <w:szCs w:val="20"/>
                <w:color w:val="auto"/>
              </w:rPr>
            </w:pPr>
            <w:r>
              <w:rPr>
                <w:rFonts w:ascii="Arial" w:cs="Arial" w:eastAsia="Arial" w:hAnsi="Arial"/>
                <w:sz w:val="18"/>
                <w:szCs w:val="18"/>
                <w:b w:val="1"/>
                <w:bCs w:val="1"/>
                <w:color w:val="auto"/>
                <w:w w:val="98"/>
              </w:rPr>
              <w:t>PENNANTPARK INVESTMENT CORPORATION</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900" w:type="dxa"/>
            <w:vAlign w:val="bottom"/>
          </w:tcPr>
          <w:p>
            <w:pPr>
              <w:spacing w:after="0"/>
              <w:rPr>
                <w:sz w:val="19"/>
                <w:szCs w:val="19"/>
                <w:color w:val="auto"/>
              </w:rPr>
            </w:pPr>
          </w:p>
        </w:tc>
        <w:tc>
          <w:tcPr>
            <w:tcW w:w="8040" w:type="dxa"/>
            <w:vAlign w:val="bottom"/>
          </w:tcPr>
          <w:p>
            <w:pPr>
              <w:jc w:val="center"/>
              <w:ind w:left="1312"/>
              <w:spacing w:after="0"/>
              <w:rPr>
                <w:sz w:val="20"/>
                <w:szCs w:val="20"/>
                <w:color w:val="auto"/>
              </w:rPr>
            </w:pPr>
            <w:r>
              <w:rPr>
                <w:rFonts w:ascii="Arial" w:cs="Arial" w:eastAsia="Arial" w:hAnsi="Arial"/>
                <w:sz w:val="18"/>
                <w:szCs w:val="18"/>
                <w:b w:val="1"/>
                <w:bCs w:val="1"/>
                <w:color w:val="auto"/>
                <w:w w:val="97"/>
              </w:rPr>
              <w:t>STATEMENTS OF ASSETS AND LIABILITIES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40"/>
        </w:trPr>
        <w:tc>
          <w:tcPr>
            <w:tcW w:w="90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March 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9"/>
        </w:trPr>
        <w:tc>
          <w:tcPr>
            <w:tcW w:w="90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3"/>
                <w:szCs w:val="13"/>
                <w:b w:val="1"/>
                <w:bCs w:val="1"/>
                <w:color w:val="auto"/>
                <w:w w:val="89"/>
              </w:rPr>
              <w:t>2008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8"/>
              </w:rPr>
              <w:t>September 30,</w:t>
            </w:r>
          </w:p>
        </w:tc>
      </w:tr>
      <w:tr>
        <w:trPr>
          <w:trHeight w:val="161"/>
        </w:trPr>
        <w:tc>
          <w:tcPr>
            <w:tcW w:w="90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(Unaudited)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273"/>
              <w:spacing w:after="0"/>
              <w:rPr>
                <w:sz w:val="20"/>
                <w:szCs w:val="20"/>
                <w:color w:val="auto"/>
              </w:rPr>
            </w:pPr>
            <w:r>
              <w:rPr>
                <w:rFonts w:ascii="Arial" w:cs="Arial" w:eastAsia="Arial" w:hAnsi="Arial"/>
                <w:sz w:val="13"/>
                <w:szCs w:val="13"/>
                <w:b w:val="1"/>
                <w:bCs w:val="1"/>
                <w:color w:val="auto"/>
              </w:rPr>
              <w:t>2007</w:t>
            </w:r>
          </w:p>
        </w:tc>
        <w:tc>
          <w:tcPr>
            <w:tcW w:w="60" w:type="dxa"/>
            <w:vAlign w:val="bottom"/>
          </w:tcPr>
          <w:p>
            <w:pPr>
              <w:spacing w:after="0"/>
              <w:rPr>
                <w:sz w:val="14"/>
                <w:szCs w:val="14"/>
                <w:color w:val="auto"/>
              </w:rPr>
            </w:pPr>
          </w:p>
        </w:tc>
      </w:tr>
      <w:tr>
        <w:trPr>
          <w:trHeight w:val="210"/>
        </w:trPr>
        <w:tc>
          <w:tcPr>
            <w:tcW w:w="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940" w:type="dxa"/>
            <w:vAlign w:val="bottom"/>
            <w:gridSpan w:val="2"/>
          </w:tcPr>
          <w:p>
            <w:pPr>
              <w:spacing w:after="0" w:line="216" w:lineRule="exact"/>
              <w:rPr>
                <w:sz w:val="20"/>
                <w:szCs w:val="20"/>
                <w:color w:val="auto"/>
              </w:rPr>
            </w:pPr>
            <w:r>
              <w:rPr>
                <w:rFonts w:ascii="Arial" w:cs="Arial" w:eastAsia="Arial" w:hAnsi="Arial"/>
                <w:sz w:val="18"/>
                <w:szCs w:val="18"/>
                <w:color w:val="auto"/>
              </w:rPr>
              <w:t>Investments, at fair value (cost—$413,632,567 and $314,881,870 respectively)</w:t>
            </w:r>
            <w:r>
              <w:rPr>
                <w:rFonts w:ascii="Arial" w:cs="Arial" w:eastAsia="Arial" w:hAnsi="Arial"/>
                <w:sz w:val="22"/>
                <w:szCs w:val="22"/>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335,883,881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291,016,608</w:t>
            </w:r>
          </w:p>
        </w:tc>
        <w:tc>
          <w:tcPr>
            <w:tcW w:w="60" w:type="dxa"/>
            <w:vAlign w:val="bottom"/>
          </w:tcPr>
          <w:p>
            <w:pPr>
              <w:spacing w:after="0"/>
              <w:rPr>
                <w:sz w:val="18"/>
                <w:szCs w:val="18"/>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 (cost—$81,249,903 and $258,016,351 respectively)</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81,249,903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257,959,635</w:t>
            </w:r>
          </w:p>
        </w:tc>
        <w:tc>
          <w:tcPr>
            <w:tcW w:w="60" w:type="dxa"/>
            <w:vAlign w:val="bottom"/>
            <w:shd w:val="clear" w:color="auto" w:fill="CCEEFF"/>
          </w:tcPr>
          <w:p>
            <w:pPr>
              <w:spacing w:after="0"/>
              <w:rPr>
                <w:sz w:val="18"/>
                <w:szCs w:val="18"/>
                <w:color w:val="auto"/>
              </w:rPr>
            </w:pP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5,070,891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4,517,850</w:t>
            </w:r>
          </w:p>
        </w:tc>
        <w:tc>
          <w:tcPr>
            <w:tcW w:w="60" w:type="dxa"/>
            <w:vAlign w:val="bottom"/>
          </w:tcPr>
          <w:p>
            <w:pPr>
              <w:spacing w:after="0"/>
              <w:rPr>
                <w:sz w:val="18"/>
                <w:szCs w:val="18"/>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1,494,991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1,513,583</w:t>
            </w:r>
          </w:p>
        </w:tc>
        <w:tc>
          <w:tcPr>
            <w:tcW w:w="60" w:type="dxa"/>
            <w:vAlign w:val="bottom"/>
            <w:shd w:val="clear" w:color="auto" w:fill="CCEEFF"/>
          </w:tcPr>
          <w:p>
            <w:pPr>
              <w:spacing w:after="0"/>
              <w:rPr>
                <w:sz w:val="18"/>
                <w:szCs w:val="18"/>
                <w:color w:val="auto"/>
              </w:rPr>
            </w:pPr>
          </w:p>
        </w:tc>
      </w:tr>
      <w:tr>
        <w:trPr>
          <w:trHeight w:val="230"/>
        </w:trPr>
        <w:tc>
          <w:tcPr>
            <w:tcW w:w="894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423,699,666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555,007,676</w:t>
            </w:r>
          </w:p>
        </w:tc>
        <w:tc>
          <w:tcPr>
            <w:tcW w:w="60" w:type="dxa"/>
            <w:vAlign w:val="bottom"/>
          </w:tcPr>
          <w:p>
            <w:pPr>
              <w:spacing w:after="0"/>
              <w:rPr>
                <w:sz w:val="20"/>
                <w:szCs w:val="20"/>
                <w:color w:val="auto"/>
              </w:rPr>
            </w:pP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Payable for cash equivalents purchased</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252,759,931</w:t>
            </w:r>
          </w:p>
        </w:tc>
        <w:tc>
          <w:tcPr>
            <w:tcW w:w="60" w:type="dxa"/>
            <w:vAlign w:val="bottom"/>
          </w:tcPr>
          <w:p>
            <w:pPr>
              <w:spacing w:after="0"/>
              <w:rPr>
                <w:sz w:val="18"/>
                <w:szCs w:val="18"/>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8,620,000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16,583,921</w:t>
            </w:r>
          </w:p>
        </w:tc>
        <w:tc>
          <w:tcPr>
            <w:tcW w:w="60" w:type="dxa"/>
            <w:vAlign w:val="bottom"/>
            <w:shd w:val="clear" w:color="auto" w:fill="CCEEFF"/>
          </w:tcPr>
          <w:p>
            <w:pPr>
              <w:spacing w:after="0"/>
              <w:rPr>
                <w:sz w:val="18"/>
                <w:szCs w:val="18"/>
                <w:color w:val="auto"/>
              </w:rPr>
            </w:pP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Unfunded investments</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2,607,264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3,989,948</w:t>
            </w:r>
          </w:p>
        </w:tc>
        <w:tc>
          <w:tcPr>
            <w:tcW w:w="60" w:type="dxa"/>
            <w:vAlign w:val="bottom"/>
          </w:tcPr>
          <w:p>
            <w:pPr>
              <w:spacing w:after="0"/>
              <w:rPr>
                <w:sz w:val="18"/>
                <w:szCs w:val="18"/>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facility payable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194,500,000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10,000,000</w:t>
            </w:r>
          </w:p>
        </w:tc>
        <w:tc>
          <w:tcPr>
            <w:tcW w:w="60" w:type="dxa"/>
            <w:vAlign w:val="bottom"/>
            <w:shd w:val="clear" w:color="auto" w:fill="CCEEFF"/>
          </w:tcPr>
          <w:p>
            <w:pPr>
              <w:spacing w:after="0"/>
              <w:rPr>
                <w:sz w:val="18"/>
                <w:szCs w:val="18"/>
                <w:color w:val="auto"/>
              </w:rPr>
            </w:pP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765,233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170,989</w:t>
            </w:r>
          </w:p>
        </w:tc>
        <w:tc>
          <w:tcPr>
            <w:tcW w:w="60" w:type="dxa"/>
            <w:vAlign w:val="bottom"/>
          </w:tcPr>
          <w:p>
            <w:pPr>
              <w:spacing w:after="0"/>
              <w:rPr>
                <w:sz w:val="18"/>
                <w:szCs w:val="18"/>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949,664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1,109,793</w:t>
            </w:r>
          </w:p>
        </w:tc>
        <w:tc>
          <w:tcPr>
            <w:tcW w:w="60" w:type="dxa"/>
            <w:vAlign w:val="bottom"/>
            <w:shd w:val="clear" w:color="auto" w:fill="CCEEFF"/>
          </w:tcPr>
          <w:p>
            <w:pPr>
              <w:spacing w:after="0"/>
              <w:rPr>
                <w:sz w:val="18"/>
                <w:szCs w:val="18"/>
                <w:color w:val="auto"/>
              </w:rPr>
            </w:pPr>
          </w:p>
        </w:tc>
      </w:tr>
      <w:tr>
        <w:trPr>
          <w:trHeight w:val="230"/>
        </w:trPr>
        <w:tc>
          <w:tcPr>
            <w:tcW w:w="894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207,442,161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284,614,582</w:t>
            </w:r>
          </w:p>
        </w:tc>
        <w:tc>
          <w:tcPr>
            <w:tcW w:w="60" w:type="dxa"/>
            <w:vAlign w:val="bottom"/>
          </w:tcPr>
          <w:p>
            <w:pPr>
              <w:spacing w:after="0"/>
              <w:rPr>
                <w:sz w:val="20"/>
                <w:szCs w:val="20"/>
                <w:color w:val="auto"/>
              </w:rPr>
            </w:pP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Net Assets</w:t>
            </w:r>
          </w:p>
        </w:tc>
        <w:tc>
          <w:tcPr>
            <w:tcW w:w="80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w w:val="91"/>
              </w:rPr>
              <w:t>Common stock, par value $.001 per share, 100,000,000 shares authorized and 21,068,772 shares issued and outstanding</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21,069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21,069</w:t>
            </w:r>
          </w:p>
        </w:tc>
        <w:tc>
          <w:tcPr>
            <w:tcW w:w="60" w:type="dxa"/>
            <w:vAlign w:val="bottom"/>
          </w:tcPr>
          <w:p>
            <w:pPr>
              <w:spacing w:after="0"/>
              <w:rPr>
                <w:sz w:val="18"/>
                <w:szCs w:val="18"/>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294,586,604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294,586,604</w:t>
            </w:r>
          </w:p>
        </w:tc>
        <w:tc>
          <w:tcPr>
            <w:tcW w:w="60" w:type="dxa"/>
            <w:vAlign w:val="bottom"/>
            <w:shd w:val="clear" w:color="auto" w:fill="CCEEFF"/>
          </w:tcPr>
          <w:p>
            <w:pPr>
              <w:spacing w:after="0"/>
              <w:rPr>
                <w:sz w:val="18"/>
                <w:szCs w:val="18"/>
                <w:color w:val="auto"/>
              </w:rPr>
            </w:pP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Distributions in excess of net investment income</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(286,276)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(196,769)</w:t>
            </w: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net realized loss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(315,206)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(95,832)</w:t>
            </w:r>
          </w:p>
        </w:tc>
      </w:tr>
      <w:tr>
        <w:trPr>
          <w:trHeight w:val="223"/>
        </w:trPr>
        <w:tc>
          <w:tcPr>
            <w:tcW w:w="8940" w:type="dxa"/>
            <w:vAlign w:val="bottom"/>
            <w:gridSpan w:val="2"/>
          </w:tcPr>
          <w:p>
            <w:pPr>
              <w:spacing w:after="0"/>
              <w:rPr>
                <w:sz w:val="20"/>
                <w:szCs w:val="20"/>
                <w:color w:val="auto"/>
              </w:rPr>
            </w:pPr>
            <w:r>
              <w:rPr>
                <w:rFonts w:ascii="Arial" w:cs="Arial" w:eastAsia="Arial" w:hAnsi="Arial"/>
                <w:sz w:val="18"/>
                <w:szCs w:val="18"/>
                <w:color w:val="auto"/>
              </w:rPr>
              <w:t>Net unrealized depreciation on investments and cash equivalents</w:t>
            </w: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(77,748,686)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0"/>
              </w:rPr>
              <w:t>(23,921,978)</w:t>
            </w:r>
          </w:p>
        </w:tc>
      </w:tr>
      <w:tr>
        <w:trPr>
          <w:trHeight w:val="216"/>
        </w:trPr>
        <w:tc>
          <w:tcPr>
            <w:tcW w:w="89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216,257,505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270,393,094</w:t>
            </w:r>
          </w:p>
        </w:tc>
        <w:tc>
          <w:tcPr>
            <w:tcW w:w="60" w:type="dxa"/>
            <w:vAlign w:val="bottom"/>
            <w:shd w:val="clear" w:color="auto" w:fill="CCEEFF"/>
          </w:tcPr>
          <w:p>
            <w:pPr>
              <w:spacing w:after="0"/>
              <w:rPr>
                <w:sz w:val="18"/>
                <w:szCs w:val="18"/>
                <w:color w:val="auto"/>
              </w:rPr>
            </w:pPr>
          </w:p>
        </w:tc>
      </w:tr>
      <w:tr>
        <w:trPr>
          <w:trHeight w:val="230"/>
        </w:trPr>
        <w:tc>
          <w:tcPr>
            <w:tcW w:w="894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423,699,666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555,007,676</w:t>
            </w:r>
          </w:p>
        </w:tc>
        <w:tc>
          <w:tcPr>
            <w:tcW w:w="60" w:type="dxa"/>
            <w:vAlign w:val="bottom"/>
          </w:tcPr>
          <w:p>
            <w:pPr>
              <w:spacing w:after="0"/>
              <w:rPr>
                <w:sz w:val="20"/>
                <w:szCs w:val="20"/>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60" w:type="dxa"/>
            <w:vAlign w:val="bottom"/>
            <w:shd w:val="clear" w:color="auto" w:fill="CCEEFF"/>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12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07" w:lineRule="exact"/>
        <w:rPr>
          <w:sz w:val="20"/>
          <w:szCs w:val="20"/>
          <w:color w:val="auto"/>
        </w:rPr>
      </w:pPr>
    </w:p>
    <w:p>
      <w:pPr>
        <w:ind w:left="460" w:right="40" w:hanging="452"/>
        <w:spacing w:after="0" w:line="252" w:lineRule="auto"/>
        <w:tabs>
          <w:tab w:leader="none" w:pos="460" w:val="left"/>
        </w:tabs>
        <w:numPr>
          <w:ilvl w:val="0"/>
          <w:numId w:val="3"/>
        </w:numPr>
        <w:rPr>
          <w:rFonts w:ascii="Arial" w:cs="Arial" w:eastAsia="Arial" w:hAnsi="Arial"/>
          <w:sz w:val="11"/>
          <w:szCs w:val="11"/>
          <w:color w:val="auto"/>
        </w:rPr>
      </w:pPr>
      <w:r>
        <w:rPr>
          <w:rFonts w:ascii="Arial" w:cs="Arial" w:eastAsia="Arial" w:hAnsi="Arial"/>
          <w:sz w:val="18"/>
          <w:szCs w:val="18"/>
          <w:color w:val="auto"/>
        </w:rPr>
        <w:t>None of our portfolio companies are controlled by, or affiliated with, PennantPark Investment Corporation as defined by the Investment Company Act of 1940, as amended.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Period from</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January 11,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6"/>
              </w:rPr>
              <w:t>2007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5"/>
              </w:rPr>
              <w:t>Three</w:t>
            </w:r>
          </w:p>
        </w:tc>
        <w:tc>
          <w:tcPr>
            <w:tcW w:w="100" w:type="dxa"/>
            <w:vAlign w:val="bottom"/>
          </w:tcPr>
          <w:p>
            <w:pPr>
              <w:spacing w:after="0"/>
              <w:rPr>
                <w:sz w:val="12"/>
                <w:szCs w:val="12"/>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(inception)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Six</w:t>
            </w:r>
          </w:p>
        </w:tc>
        <w:tc>
          <w:tcPr>
            <w:tcW w:w="0" w:type="dxa"/>
            <w:vAlign w:val="bottom"/>
          </w:tcPr>
          <w:p>
            <w:pPr>
              <w:spacing w:after="0"/>
              <w:rPr>
                <w:sz w:val="1"/>
                <w:szCs w:val="1"/>
                <w:color w:val="auto"/>
              </w:rPr>
            </w:pPr>
          </w:p>
        </w:tc>
      </w:tr>
      <w:tr>
        <w:trPr>
          <w:trHeight w:val="148"/>
        </w:trPr>
        <w:tc>
          <w:tcPr>
            <w:tcW w:w="7620" w:type="dxa"/>
            <w:vAlign w:val="bottom"/>
          </w:tcPr>
          <w:p>
            <w:pPr>
              <w:spacing w:after="0"/>
              <w:rPr>
                <w:sz w:val="12"/>
                <w:szCs w:val="12"/>
                <w:color w:val="auto"/>
              </w:rPr>
            </w:pPr>
          </w:p>
        </w:tc>
        <w:tc>
          <w:tcPr>
            <w:tcW w:w="132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89"/>
              </w:rPr>
              <w:t>months ended</w:t>
            </w:r>
          </w:p>
        </w:tc>
        <w:tc>
          <w:tcPr>
            <w:tcW w:w="100" w:type="dxa"/>
            <w:vAlign w:val="bottom"/>
          </w:tcPr>
          <w:p>
            <w:pPr>
              <w:spacing w:after="0"/>
              <w:rPr>
                <w:sz w:val="12"/>
                <w:szCs w:val="12"/>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through</w:t>
            </w:r>
          </w:p>
        </w:tc>
        <w:tc>
          <w:tcPr>
            <w:tcW w:w="160" w:type="dxa"/>
            <w:vAlign w:val="bottom"/>
          </w:tcPr>
          <w:p>
            <w:pPr>
              <w:spacing w:after="0"/>
              <w:rPr>
                <w:sz w:val="12"/>
                <w:szCs w:val="12"/>
                <w:color w:val="auto"/>
              </w:rPr>
            </w:pPr>
          </w:p>
        </w:tc>
        <w:tc>
          <w:tcPr>
            <w:tcW w:w="102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9"/>
              </w:rPr>
              <w:t>months ended</w:t>
            </w:r>
          </w:p>
        </w:tc>
        <w:tc>
          <w:tcPr>
            <w:tcW w:w="0" w:type="dxa"/>
            <w:vAlign w:val="bottom"/>
          </w:tcPr>
          <w:p>
            <w:pPr>
              <w:spacing w:after="0"/>
              <w:rPr>
                <w:sz w:val="1"/>
                <w:szCs w:val="1"/>
                <w:color w:val="auto"/>
              </w:rPr>
            </w:pPr>
          </w:p>
        </w:tc>
      </w:tr>
      <w:tr>
        <w:trPr>
          <w:trHeight w:val="161"/>
        </w:trPr>
        <w:tc>
          <w:tcPr>
            <w:tcW w:w="7620" w:type="dxa"/>
            <w:vAlign w:val="bottom"/>
          </w:tcPr>
          <w:p>
            <w:pPr>
              <w:spacing w:after="0"/>
              <w:rPr>
                <w:sz w:val="14"/>
                <w:szCs w:val="14"/>
                <w:color w:val="auto"/>
              </w:rPr>
            </w:pPr>
          </w:p>
        </w:tc>
        <w:tc>
          <w:tcPr>
            <w:tcW w:w="132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97"/>
              </w:rPr>
              <w:t>March 31, 2008</w:t>
            </w:r>
          </w:p>
        </w:tc>
        <w:tc>
          <w:tcPr>
            <w:tcW w:w="1120" w:type="dxa"/>
            <w:vAlign w:val="bottom"/>
            <w:gridSpan w:val="3"/>
          </w:tcPr>
          <w:p>
            <w:pPr>
              <w:ind w:left="20"/>
              <w:spacing w:after="0"/>
              <w:rPr>
                <w:sz w:val="20"/>
                <w:szCs w:val="20"/>
                <w:color w:val="auto"/>
              </w:rPr>
            </w:pPr>
            <w:r>
              <w:rPr>
                <w:rFonts w:ascii="Arial" w:cs="Arial" w:eastAsia="Arial" w:hAnsi="Arial"/>
                <w:sz w:val="13"/>
                <w:szCs w:val="13"/>
                <w:b w:val="1"/>
                <w:bCs w:val="1"/>
                <w:color w:val="auto"/>
              </w:rPr>
              <w:t>March 31, 2007</w:t>
            </w:r>
          </w:p>
        </w:tc>
        <w:tc>
          <w:tcPr>
            <w:tcW w:w="160" w:type="dxa"/>
            <w:vAlign w:val="bottom"/>
          </w:tcPr>
          <w:p>
            <w:pPr>
              <w:spacing w:after="0"/>
              <w:rPr>
                <w:sz w:val="14"/>
                <w:szCs w:val="14"/>
                <w:color w:val="auto"/>
              </w:rPr>
            </w:pPr>
          </w:p>
        </w:tc>
        <w:tc>
          <w:tcPr>
            <w:tcW w:w="102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5"/>
              </w:rPr>
              <w:t>March 31, 2008</w:t>
            </w:r>
          </w:p>
        </w:tc>
        <w:tc>
          <w:tcPr>
            <w:tcW w:w="0" w:type="dxa"/>
            <w:vAlign w:val="bottom"/>
          </w:tcPr>
          <w:p>
            <w:pPr>
              <w:spacing w:after="0"/>
              <w:rPr>
                <w:sz w:val="1"/>
                <w:szCs w:val="1"/>
                <w:color w:val="auto"/>
              </w:rPr>
            </w:pPr>
          </w:p>
        </w:tc>
      </w:tr>
      <w:tr>
        <w:trPr>
          <w:trHeight w:val="209"/>
        </w:trPr>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440"/>
              <w:spacing w:after="0"/>
              <w:rPr>
                <w:sz w:val="20"/>
                <w:szCs w:val="20"/>
                <w:color w:val="auto"/>
              </w:rPr>
            </w:pPr>
            <w:r>
              <w:rPr>
                <w:rFonts w:ascii="Arial" w:cs="Arial" w:eastAsia="Arial" w:hAnsi="Arial"/>
                <w:sz w:val="18"/>
                <w:szCs w:val="18"/>
                <w:color w:val="auto"/>
              </w:rPr>
              <w:t>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9,678,012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772,983</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18,661,648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35,910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9,713,922</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772,983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18,717,530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440"/>
              <w:spacing w:after="0"/>
              <w:rPr>
                <w:sz w:val="20"/>
                <w:szCs w:val="20"/>
                <w:color w:val="auto"/>
              </w:rPr>
            </w:pPr>
            <w:r>
              <w:rPr>
                <w:rFonts w:ascii="Arial" w:cs="Arial" w:eastAsia="Arial" w:hAnsi="Arial"/>
                <w:sz w:val="18"/>
                <w:szCs w:val="18"/>
                <w:color w:val="auto"/>
              </w:rPr>
              <w:t>Base management fee</w:t>
            </w: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1,725,466</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3,365,841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Performance-based incentive fee (see note 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1,000,725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1,448,107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440"/>
              <w:spacing w:after="0"/>
              <w:rPr>
                <w:sz w:val="20"/>
                <w:szCs w:val="20"/>
                <w:color w:val="auto"/>
              </w:rPr>
            </w:pPr>
            <w:r>
              <w:rPr>
                <w:rFonts w:ascii="Arial" w:cs="Arial" w:eastAsia="Arial" w:hAnsi="Arial"/>
                <w:sz w:val="18"/>
                <w:szCs w:val="18"/>
                <w:color w:val="auto"/>
              </w:rPr>
              <w:t>Interest and other credit facility expenses</w:t>
            </w: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1,669,296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740,975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2,766,403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Administrative services expenses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548,631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1,212,321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440"/>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227,571</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522,411</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Directors’ fees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116,257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440"/>
              <w:spacing w:after="0"/>
              <w:rPr>
                <w:sz w:val="20"/>
                <w:szCs w:val="20"/>
                <w:color w:val="auto"/>
              </w:rPr>
            </w:pPr>
            <w:r>
              <w:rPr>
                <w:rFonts w:ascii="Arial" w:cs="Arial" w:eastAsia="Arial" w:hAnsi="Arial"/>
                <w:sz w:val="18"/>
                <w:szCs w:val="18"/>
                <w:color w:val="auto"/>
              </w:rPr>
              <w:t>Organizational expenses</w:t>
            </w: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283,228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Insurance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89,813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44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102,973</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189,817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2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Expenses before base management fee waiver</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5,480,732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1,024,203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9,957,508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ind w:left="440"/>
              <w:spacing w:after="0"/>
              <w:rPr>
                <w:sz w:val="20"/>
                <w:szCs w:val="20"/>
                <w:color w:val="auto"/>
              </w:rPr>
            </w:pPr>
            <w:r>
              <w:rPr>
                <w:rFonts w:ascii="Arial" w:cs="Arial" w:eastAsia="Arial" w:hAnsi="Arial"/>
                <w:sz w:val="18"/>
                <w:szCs w:val="18"/>
                <w:color w:val="auto"/>
              </w:rPr>
              <w:t>Base management fee waiver</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(215,684)</w:t>
            </w:r>
          </w:p>
        </w:tc>
        <w:tc>
          <w:tcPr>
            <w:tcW w:w="1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(420,731)</w:t>
            </w:r>
          </w:p>
        </w:tc>
        <w:tc>
          <w:tcPr>
            <w:tcW w:w="0" w:type="dxa"/>
            <w:vAlign w:val="bottom"/>
          </w:tcPr>
          <w:p>
            <w:pPr>
              <w:spacing w:after="0"/>
              <w:rPr>
                <w:sz w:val="1"/>
                <w:szCs w:val="1"/>
                <w:color w:val="auto"/>
              </w:rPr>
            </w:pPr>
          </w:p>
        </w:tc>
      </w:tr>
      <w:tr>
        <w:trPr>
          <w:trHeight w:val="28"/>
        </w:trPr>
        <w:tc>
          <w:tcPr>
            <w:tcW w:w="7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2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expenses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5,265,048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1,024,203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9,536,777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Net investment income (loss)</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4,448,874</w:t>
            </w: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(251,220)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9,180,753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loss on investments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440"/>
              <w:spacing w:after="0"/>
              <w:rPr>
                <w:sz w:val="20"/>
                <w:szCs w:val="20"/>
                <w:color w:val="auto"/>
              </w:rPr>
            </w:pPr>
            <w:r>
              <w:rPr>
                <w:rFonts w:ascii="Arial" w:cs="Arial" w:eastAsia="Arial" w:hAnsi="Arial"/>
                <w:sz w:val="18"/>
                <w:szCs w:val="18"/>
                <w:color w:val="auto"/>
              </w:rPr>
              <w:t>Net realized loss on investments and cash equivalents</w:t>
            </w: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(8,483)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19,375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(219,374)</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net unrealized depreciation on investments and cash equivalents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(37,769,064)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(53,826,708)</w:t>
            </w:r>
          </w:p>
        </w:tc>
        <w:tc>
          <w:tcPr>
            <w:tcW w:w="0" w:type="dxa"/>
            <w:vAlign w:val="bottom"/>
          </w:tcPr>
          <w:p>
            <w:pPr>
              <w:spacing w:after="0"/>
              <w:rPr>
                <w:sz w:val="1"/>
                <w:szCs w:val="1"/>
                <w:color w:val="auto"/>
              </w:rPr>
            </w:pPr>
          </w:p>
        </w:tc>
      </w:tr>
      <w:tr>
        <w:trPr>
          <w:trHeight w:val="20"/>
        </w:trPr>
        <w:tc>
          <w:tcPr>
            <w:tcW w:w="762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Net realized and unrealized loss from investments and cash equivalents</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(37,777,547)</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17,764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8"/>
              </w:rPr>
              <w:t>(54,046,082)</w:t>
            </w:r>
          </w:p>
        </w:tc>
        <w:tc>
          <w:tcPr>
            <w:tcW w:w="0" w:type="dxa"/>
            <w:vAlign w:val="bottom"/>
          </w:tcPr>
          <w:p>
            <w:pPr>
              <w:spacing w:after="0"/>
              <w:rPr>
                <w:sz w:val="1"/>
                <w:szCs w:val="1"/>
                <w:color w:val="auto"/>
              </w:rPr>
            </w:pPr>
          </w:p>
        </w:tc>
      </w:tr>
      <w:tr>
        <w:trPr>
          <w:trHeight w:val="28"/>
        </w:trPr>
        <w:tc>
          <w:tcPr>
            <w:tcW w:w="7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(33,328,673)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(233,546)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(44,865,329)</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8"/>
                <w:szCs w:val="18"/>
                <w:b w:val="1"/>
                <w:bCs w:val="1"/>
                <w:color w:val="auto"/>
              </w:rPr>
              <w:t>Loss per common share (see note 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NET ASSETS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Period from</w:t>
            </w:r>
          </w:p>
        </w:tc>
      </w:tr>
      <w:tr>
        <w:trPr>
          <w:trHeight w:val="148"/>
        </w:trPr>
        <w:tc>
          <w:tcPr>
            <w:tcW w:w="8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January 11,</w:t>
            </w:r>
          </w:p>
        </w:tc>
      </w:tr>
      <w:tr>
        <w:trPr>
          <w:trHeight w:val="148"/>
        </w:trPr>
        <w:tc>
          <w:tcPr>
            <w:tcW w:w="8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8"/>
              <w:spacing w:after="0"/>
              <w:rPr>
                <w:sz w:val="20"/>
                <w:szCs w:val="20"/>
                <w:color w:val="auto"/>
              </w:rPr>
            </w:pPr>
            <w:r>
              <w:rPr>
                <w:rFonts w:ascii="Arial" w:cs="Arial" w:eastAsia="Arial" w:hAnsi="Arial"/>
                <w:sz w:val="13"/>
                <w:szCs w:val="13"/>
                <w:b w:val="1"/>
                <w:bCs w:val="1"/>
                <w:color w:val="auto"/>
                <w:w w:val="89"/>
              </w:rPr>
              <w:t>2007</w:t>
            </w:r>
          </w:p>
        </w:tc>
        <w:tc>
          <w:tcPr>
            <w:tcW w:w="60" w:type="dxa"/>
            <w:vAlign w:val="bottom"/>
          </w:tcPr>
          <w:p>
            <w:pPr>
              <w:spacing w:after="0"/>
              <w:rPr>
                <w:sz w:val="12"/>
                <w:szCs w:val="12"/>
                <w:color w:val="auto"/>
              </w:rPr>
            </w:pPr>
          </w:p>
        </w:tc>
      </w:tr>
      <w:tr>
        <w:trPr>
          <w:trHeight w:val="148"/>
        </w:trPr>
        <w:tc>
          <w:tcPr>
            <w:tcW w:w="8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Six</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(inception)</w:t>
            </w:r>
          </w:p>
        </w:tc>
      </w:tr>
      <w:tr>
        <w:trPr>
          <w:trHeight w:val="149"/>
        </w:trPr>
        <w:tc>
          <w:tcPr>
            <w:tcW w:w="8940" w:type="dxa"/>
            <w:vAlign w:val="bottom"/>
          </w:tcPr>
          <w:p>
            <w:pPr>
              <w:spacing w:after="0"/>
              <w:rPr>
                <w:sz w:val="12"/>
                <w:szCs w:val="12"/>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w w:val="98"/>
              </w:rPr>
              <w:t>months 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through</w:t>
            </w:r>
          </w:p>
        </w:tc>
      </w:tr>
      <w:tr>
        <w:trPr>
          <w:trHeight w:val="148"/>
        </w:trPr>
        <w:tc>
          <w:tcPr>
            <w:tcW w:w="8940" w:type="dxa"/>
            <w:vAlign w:val="bottom"/>
          </w:tcPr>
          <w:p>
            <w:pPr>
              <w:spacing w:after="0"/>
              <w:rPr>
                <w:sz w:val="12"/>
                <w:szCs w:val="12"/>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7"/>
              </w:rPr>
              <w:t>March 31, 2008</w:t>
            </w:r>
          </w:p>
        </w:tc>
        <w:tc>
          <w:tcPr>
            <w:tcW w:w="120" w:type="dxa"/>
            <w:vAlign w:val="bottom"/>
          </w:tcPr>
          <w:p>
            <w:pPr>
              <w:spacing w:after="0"/>
              <w:rPr>
                <w:sz w:val="12"/>
                <w:szCs w:val="12"/>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2"/>
              </w:rPr>
              <w:t>September 30,</w:t>
            </w:r>
          </w:p>
        </w:tc>
      </w:tr>
      <w:tr>
        <w:trPr>
          <w:trHeight w:val="161"/>
        </w:trPr>
        <w:tc>
          <w:tcPr>
            <w:tcW w:w="8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(unaudited)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8"/>
              <w:spacing w:after="0"/>
              <w:rPr>
                <w:sz w:val="20"/>
                <w:szCs w:val="20"/>
                <w:color w:val="auto"/>
              </w:rPr>
            </w:pPr>
            <w:r>
              <w:rPr>
                <w:rFonts w:ascii="Arial" w:cs="Arial" w:eastAsia="Arial" w:hAnsi="Arial"/>
                <w:sz w:val="13"/>
                <w:szCs w:val="13"/>
                <w:b w:val="1"/>
                <w:bCs w:val="1"/>
                <w:color w:val="auto"/>
                <w:w w:val="89"/>
              </w:rPr>
              <w:t>2007</w:t>
            </w:r>
          </w:p>
        </w:tc>
        <w:tc>
          <w:tcPr>
            <w:tcW w:w="60" w:type="dxa"/>
            <w:vAlign w:val="bottom"/>
          </w:tcPr>
          <w:p>
            <w:pPr>
              <w:spacing w:after="0"/>
              <w:rPr>
                <w:sz w:val="14"/>
                <w:szCs w:val="14"/>
                <w:color w:val="auto"/>
              </w:rPr>
            </w:pPr>
          </w:p>
        </w:tc>
      </w:tr>
      <w:tr>
        <w:trPr>
          <w:trHeight w:val="209"/>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Decrease in net assets from operations:</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9,180,753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7,304,496</w:t>
            </w:r>
          </w:p>
        </w:tc>
        <w:tc>
          <w:tcPr>
            <w:tcW w:w="60" w:type="dxa"/>
            <w:vAlign w:val="bottom"/>
          </w:tcPr>
          <w:p>
            <w:pPr>
              <w:spacing w:after="0"/>
              <w:rPr>
                <w:sz w:val="18"/>
                <w:szCs w:val="18"/>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realized loss on investments and cash equivalents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(219,374)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(81,769)</w:t>
            </w: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Net change in unrealized depreciation on investments and cash equivalents</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(53,826,708)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0"/>
              </w:rPr>
              <w:t>(23,921,978)</w:t>
            </w:r>
          </w:p>
        </w:tc>
      </w:tr>
      <w:tr>
        <w:trPr>
          <w:trHeight w:val="27"/>
        </w:trPr>
        <w:tc>
          <w:tcPr>
            <w:tcW w:w="8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(44,865,329)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(16,699,251)</w:t>
            </w:r>
          </w:p>
        </w:tc>
      </w:tr>
      <w:tr>
        <w:trPr>
          <w:trHeight w:val="222"/>
        </w:trPr>
        <w:tc>
          <w:tcPr>
            <w:tcW w:w="8940" w:type="dxa"/>
            <w:vAlign w:val="bottom"/>
          </w:tcPr>
          <w:p>
            <w:pPr>
              <w:spacing w:after="0"/>
              <w:rPr>
                <w:sz w:val="20"/>
                <w:szCs w:val="20"/>
                <w:color w:val="auto"/>
              </w:rPr>
            </w:pPr>
            <w:r>
              <w:rPr>
                <w:rFonts w:ascii="Arial" w:cs="Arial" w:eastAsia="Arial" w:hAnsi="Arial"/>
                <w:sz w:val="18"/>
                <w:szCs w:val="18"/>
                <w:b w:val="1"/>
                <w:bCs w:val="1"/>
                <w:color w:val="auto"/>
              </w:rPr>
              <w:t>Dividends and distributions to Stockholders: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Dividends from net investment income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(9,270,260)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(7,545,458)</w:t>
            </w: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Return of capital</w:t>
            </w:r>
          </w:p>
        </w:tc>
        <w:tc>
          <w:tcPr>
            <w:tcW w:w="100" w:type="dxa"/>
            <w:vAlign w:val="bottom"/>
          </w:tcPr>
          <w:p>
            <w:pPr>
              <w:spacing w:after="0"/>
              <w:rPr>
                <w:sz w:val="18"/>
                <w:szCs w:val="18"/>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(28,356)</w:t>
            </w:r>
          </w:p>
        </w:tc>
      </w:tr>
      <w:tr>
        <w:trPr>
          <w:trHeight w:val="27"/>
        </w:trPr>
        <w:tc>
          <w:tcPr>
            <w:tcW w:w="8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dividends and distributions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(9,270,260)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(7,573,814)</w:t>
            </w:r>
          </w:p>
        </w:tc>
      </w:tr>
      <w:tr>
        <w:trPr>
          <w:trHeight w:val="222"/>
        </w:trPr>
        <w:tc>
          <w:tcPr>
            <w:tcW w:w="8940" w:type="dxa"/>
            <w:vAlign w:val="bottom"/>
          </w:tcPr>
          <w:p>
            <w:pPr>
              <w:spacing w:after="0"/>
              <w:rPr>
                <w:sz w:val="20"/>
                <w:szCs w:val="20"/>
                <w:color w:val="auto"/>
              </w:rPr>
            </w:pPr>
            <w:r>
              <w:rPr>
                <w:rFonts w:ascii="Arial" w:cs="Arial" w:eastAsia="Arial" w:hAnsi="Arial"/>
                <w:sz w:val="18"/>
                <w:szCs w:val="18"/>
                <w:b w:val="1"/>
                <w:bCs w:val="1"/>
                <w:color w:val="auto"/>
              </w:rPr>
              <w:t>Capital share transactions: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of shares of common stock</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315,375,000</w:t>
            </w:r>
          </w:p>
        </w:tc>
        <w:tc>
          <w:tcPr>
            <w:tcW w:w="60" w:type="dxa"/>
            <w:vAlign w:val="bottom"/>
            <w:shd w:val="clear" w:color="auto" w:fill="CCEEFF"/>
          </w:tcPr>
          <w:p>
            <w:pPr>
              <w:spacing w:after="0"/>
              <w:rPr>
                <w:sz w:val="18"/>
                <w:szCs w:val="18"/>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Offering costs related to public share offerings</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0"/>
              </w:rPr>
              <w:t>(21,309,375)</w:t>
            </w: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Reinvestment of dividends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600,534</w:t>
            </w:r>
          </w:p>
        </w:tc>
        <w:tc>
          <w:tcPr>
            <w:tcW w:w="60" w:type="dxa"/>
            <w:vAlign w:val="bottom"/>
            <w:shd w:val="clear" w:color="auto" w:fill="CCEEFF"/>
          </w:tcPr>
          <w:p>
            <w:pPr>
              <w:spacing w:after="0"/>
              <w:rPr>
                <w:sz w:val="18"/>
                <w:szCs w:val="18"/>
                <w:color w:val="auto"/>
              </w:rPr>
            </w:pPr>
          </w:p>
        </w:tc>
      </w:tr>
      <w:tr>
        <w:trPr>
          <w:trHeight w:val="222"/>
        </w:trPr>
        <w:tc>
          <w:tcPr>
            <w:tcW w:w="8940" w:type="dxa"/>
            <w:vAlign w:val="bottom"/>
          </w:tcPr>
          <w:p>
            <w:pPr>
              <w:ind w:left="440"/>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tc>
        <w:tc>
          <w:tcPr>
            <w:tcW w:w="1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294,666,159</w:t>
            </w:r>
          </w:p>
        </w:tc>
        <w:tc>
          <w:tcPr>
            <w:tcW w:w="60" w:type="dxa"/>
            <w:vAlign w:val="bottom"/>
          </w:tcPr>
          <w:p>
            <w:pPr>
              <w:spacing w:after="0"/>
              <w:rPr>
                <w:sz w:val="19"/>
                <w:szCs w:val="19"/>
                <w:color w:val="auto"/>
              </w:rPr>
            </w:pPr>
          </w:p>
        </w:tc>
      </w:tr>
      <w:tr>
        <w:trPr>
          <w:trHeight w:val="217"/>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increase (decrease) in net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(54,135,589)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270,393,094</w:t>
            </w:r>
          </w:p>
        </w:tc>
        <w:tc>
          <w:tcPr>
            <w:tcW w:w="6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270,393,094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2"/>
        </w:trPr>
        <w:tc>
          <w:tcPr>
            <w:tcW w:w="8940" w:type="dxa"/>
            <w:vAlign w:val="bottom"/>
          </w:tcPr>
          <w:p>
            <w:pPr>
              <w:ind w:left="440"/>
              <w:spacing w:after="0"/>
              <w:rPr>
                <w:sz w:val="20"/>
                <w:szCs w:val="20"/>
                <w:color w:val="auto"/>
              </w:rPr>
            </w:pPr>
            <w:r>
              <w:rPr>
                <w:rFonts w:ascii="Arial" w:cs="Arial" w:eastAsia="Arial" w:hAnsi="Arial"/>
                <w:sz w:val="18"/>
                <w:szCs w:val="18"/>
                <w:color w:val="auto"/>
              </w:rPr>
              <w:t>End of period</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216,257,505</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270,393,094</w:t>
            </w:r>
          </w:p>
        </w:tc>
        <w:tc>
          <w:tcPr>
            <w:tcW w:w="60" w:type="dxa"/>
            <w:vAlign w:val="bottom"/>
          </w:tcPr>
          <w:p>
            <w:pPr>
              <w:spacing w:after="0"/>
              <w:rPr>
                <w:sz w:val="19"/>
                <w:szCs w:val="19"/>
                <w:color w:val="auto"/>
              </w:rPr>
            </w:pPr>
          </w:p>
        </w:tc>
      </w:tr>
      <w:tr>
        <w:trPr>
          <w:trHeight w:val="20"/>
        </w:trPr>
        <w:tc>
          <w:tcPr>
            <w:tcW w:w="8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Shares issued from subscriptions</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21,025,000</w:t>
            </w:r>
          </w:p>
        </w:tc>
        <w:tc>
          <w:tcPr>
            <w:tcW w:w="60" w:type="dxa"/>
            <w:vAlign w:val="bottom"/>
          </w:tcPr>
          <w:p>
            <w:pPr>
              <w:spacing w:after="0"/>
              <w:rPr>
                <w:sz w:val="18"/>
                <w:szCs w:val="18"/>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issued from reinvestment of dividend</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43,772</w:t>
            </w:r>
          </w:p>
        </w:tc>
        <w:tc>
          <w:tcPr>
            <w:tcW w:w="60" w:type="dxa"/>
            <w:vAlign w:val="bottom"/>
            <w:shd w:val="clear" w:color="auto" w:fill="CCEEFF"/>
          </w:tcPr>
          <w:p>
            <w:pPr>
              <w:spacing w:after="0"/>
              <w:rPr>
                <w:sz w:val="18"/>
                <w:szCs w:val="18"/>
                <w:color w:val="auto"/>
              </w:rPr>
            </w:pPr>
          </w:p>
        </w:tc>
      </w:tr>
      <w:tr>
        <w:trPr>
          <w:trHeight w:val="222"/>
        </w:trPr>
        <w:tc>
          <w:tcPr>
            <w:tcW w:w="8940" w:type="dxa"/>
            <w:vAlign w:val="bottom"/>
          </w:tcPr>
          <w:p>
            <w:pPr>
              <w:ind w:left="440"/>
              <w:spacing w:after="0"/>
              <w:rPr>
                <w:sz w:val="20"/>
                <w:szCs w:val="20"/>
                <w:color w:val="auto"/>
              </w:rPr>
            </w:pPr>
            <w:r>
              <w:rPr>
                <w:rFonts w:ascii="Arial" w:cs="Arial" w:eastAsia="Arial" w:hAnsi="Arial"/>
                <w:sz w:val="18"/>
                <w:szCs w:val="18"/>
                <w:color w:val="auto"/>
              </w:rPr>
              <w:t>Total increase in capital shares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21,068,772</w:t>
            </w:r>
          </w:p>
        </w:tc>
        <w:tc>
          <w:tcPr>
            <w:tcW w:w="60" w:type="dxa"/>
            <w:vAlign w:val="bottom"/>
          </w:tcPr>
          <w:p>
            <w:pPr>
              <w:spacing w:after="0"/>
              <w:rPr>
                <w:sz w:val="19"/>
                <w:szCs w:val="19"/>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For the period</w:t>
            </w:r>
          </w:p>
        </w:tc>
        <w:tc>
          <w:tcPr>
            <w:tcW w:w="0" w:type="dxa"/>
            <w:vAlign w:val="bottom"/>
          </w:tcPr>
          <w:p>
            <w:pPr>
              <w:spacing w:after="0"/>
              <w:rPr>
                <w:sz w:val="1"/>
                <w:szCs w:val="1"/>
                <w:color w:val="auto"/>
              </w:rPr>
            </w:pPr>
          </w:p>
        </w:tc>
      </w:tr>
      <w:tr>
        <w:trPr>
          <w:trHeight w:val="148"/>
        </w:trPr>
        <w:tc>
          <w:tcPr>
            <w:tcW w:w="8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680"/>
              <w:spacing w:after="0"/>
              <w:rPr>
                <w:sz w:val="20"/>
                <w:szCs w:val="20"/>
                <w:color w:val="auto"/>
              </w:rPr>
            </w:pPr>
            <w:r>
              <w:rPr>
                <w:rFonts w:ascii="Arial" w:cs="Arial" w:eastAsia="Arial" w:hAnsi="Arial"/>
                <w:sz w:val="13"/>
                <w:szCs w:val="13"/>
                <w:b w:val="1"/>
                <w:bCs w:val="1"/>
                <w:color w:val="auto"/>
                <w:w w:val="91"/>
              </w:rPr>
              <w:t>Six</w:t>
            </w:r>
          </w:p>
        </w:tc>
        <w:tc>
          <w:tcPr>
            <w:tcW w:w="11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4"/>
              </w:rPr>
              <w:t>January 11, 2007</w:t>
            </w:r>
          </w:p>
        </w:tc>
        <w:tc>
          <w:tcPr>
            <w:tcW w:w="0" w:type="dxa"/>
            <w:vAlign w:val="bottom"/>
          </w:tcPr>
          <w:p>
            <w:pPr>
              <w:spacing w:after="0"/>
              <w:rPr>
                <w:sz w:val="1"/>
                <w:szCs w:val="1"/>
                <w:color w:val="auto"/>
              </w:rPr>
            </w:pPr>
          </w:p>
        </w:tc>
      </w:tr>
      <w:tr>
        <w:trPr>
          <w:trHeight w:val="148"/>
        </w:trPr>
        <w:tc>
          <w:tcPr>
            <w:tcW w:w="8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680"/>
              <w:spacing w:after="0"/>
              <w:rPr>
                <w:sz w:val="20"/>
                <w:szCs w:val="20"/>
                <w:color w:val="auto"/>
              </w:rPr>
            </w:pPr>
            <w:r>
              <w:rPr>
                <w:rFonts w:ascii="Arial" w:cs="Arial" w:eastAsia="Arial" w:hAnsi="Arial"/>
                <w:sz w:val="13"/>
                <w:szCs w:val="13"/>
                <w:b w:val="1"/>
                <w:bCs w:val="1"/>
                <w:color w:val="auto"/>
                <w:w w:val="92"/>
              </w:rPr>
              <w:t>months ended</w:t>
            </w:r>
          </w:p>
        </w:tc>
        <w:tc>
          <w:tcPr>
            <w:tcW w:w="1180" w:type="dxa"/>
            <w:vAlign w:val="bottom"/>
            <w:gridSpan w:val="3"/>
          </w:tcPr>
          <w:p>
            <w:pPr>
              <w:spacing w:after="0"/>
              <w:rPr>
                <w:sz w:val="20"/>
                <w:szCs w:val="20"/>
                <w:color w:val="auto"/>
              </w:rPr>
            </w:pPr>
            <w:r>
              <w:rPr>
                <w:rFonts w:ascii="Arial" w:cs="Arial" w:eastAsia="Arial" w:hAnsi="Arial"/>
                <w:sz w:val="13"/>
                <w:szCs w:val="13"/>
                <w:b w:val="1"/>
                <w:bCs w:val="1"/>
                <w:color w:val="auto"/>
                <w:w w:val="97"/>
              </w:rPr>
              <w:t>(inception) through</w:t>
            </w:r>
          </w:p>
        </w:tc>
        <w:tc>
          <w:tcPr>
            <w:tcW w:w="0" w:type="dxa"/>
            <w:vAlign w:val="bottom"/>
          </w:tcPr>
          <w:p>
            <w:pPr>
              <w:spacing w:after="0"/>
              <w:rPr>
                <w:sz w:val="1"/>
                <w:szCs w:val="1"/>
                <w:color w:val="auto"/>
              </w:rPr>
            </w:pPr>
          </w:p>
        </w:tc>
      </w:tr>
      <w:tr>
        <w:trPr>
          <w:trHeight w:val="161"/>
        </w:trPr>
        <w:tc>
          <w:tcPr>
            <w:tcW w:w="8440" w:type="dxa"/>
            <w:vAlign w:val="bottom"/>
          </w:tcPr>
          <w:p>
            <w:pPr>
              <w:spacing w:after="0"/>
              <w:rPr>
                <w:sz w:val="14"/>
                <w:szCs w:val="14"/>
                <w:color w:val="auto"/>
              </w:rPr>
            </w:pPr>
          </w:p>
        </w:tc>
        <w:tc>
          <w:tcPr>
            <w:tcW w:w="1620" w:type="dxa"/>
            <w:vAlign w:val="bottom"/>
            <w:gridSpan w:val="3"/>
          </w:tcPr>
          <w:p>
            <w:pPr>
              <w:jc w:val="center"/>
              <w:ind w:right="600"/>
              <w:spacing w:after="0"/>
              <w:rPr>
                <w:sz w:val="20"/>
                <w:szCs w:val="20"/>
                <w:color w:val="auto"/>
              </w:rPr>
            </w:pPr>
            <w:r>
              <w:rPr>
                <w:rFonts w:ascii="Arial" w:cs="Arial" w:eastAsia="Arial" w:hAnsi="Arial"/>
                <w:sz w:val="13"/>
                <w:szCs w:val="13"/>
                <w:b w:val="1"/>
                <w:bCs w:val="1"/>
                <w:color w:val="auto"/>
                <w:w w:val="97"/>
              </w:rPr>
              <w:t>March 31, 2008</w:t>
            </w:r>
          </w:p>
        </w:tc>
        <w:tc>
          <w:tcPr>
            <w:tcW w:w="10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March 31, 2007</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Net decrease in net assets resulting from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(44,865,329)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(233,546)</w:t>
            </w:r>
          </w:p>
        </w:tc>
        <w:tc>
          <w:tcPr>
            <w:tcW w:w="0" w:type="dxa"/>
            <w:vAlign w:val="bottom"/>
          </w:tcPr>
          <w:p>
            <w:pPr>
              <w:spacing w:after="0"/>
              <w:rPr>
                <w:sz w:val="1"/>
                <w:szCs w:val="1"/>
                <w:color w:val="auto"/>
              </w:rPr>
            </w:pPr>
          </w:p>
        </w:tc>
      </w:tr>
      <w:tr>
        <w:trPr>
          <w:trHeight w:val="208"/>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Adjustments to reconcile net decrease in net assets resulting from operations to net cash used by operating</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activities:</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880"/>
              <w:spacing w:after="0"/>
              <w:rPr>
                <w:sz w:val="20"/>
                <w:szCs w:val="20"/>
                <w:color w:val="auto"/>
              </w:rPr>
            </w:pPr>
            <w:r>
              <w:rPr>
                <w:rFonts w:ascii="Arial" w:cs="Arial" w:eastAsia="Arial" w:hAnsi="Arial"/>
                <w:sz w:val="18"/>
                <w:szCs w:val="18"/>
                <w:color w:val="auto"/>
              </w:rPr>
              <w:t>Change in net unrealized depreciation on investments and cash equivalents</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53,826,708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realized loss (gain) on investments and cash equivalents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219,374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(19,375)</w:t>
            </w:r>
          </w:p>
        </w:tc>
        <w:tc>
          <w:tcPr>
            <w:tcW w:w="0" w:type="dxa"/>
            <w:vAlign w:val="bottom"/>
          </w:tcPr>
          <w:p>
            <w:pPr>
              <w:spacing w:after="0"/>
              <w:rPr>
                <w:sz w:val="1"/>
                <w:szCs w:val="1"/>
                <w:color w:val="auto"/>
              </w:rPr>
            </w:pPr>
          </w:p>
        </w:tc>
      </w:tr>
      <w:tr>
        <w:trPr>
          <w:trHeight w:val="216"/>
        </w:trPr>
        <w:tc>
          <w:tcPr>
            <w:tcW w:w="8440" w:type="dxa"/>
            <w:vAlign w:val="bottom"/>
          </w:tcPr>
          <w:p>
            <w:pPr>
              <w:ind w:left="880"/>
              <w:spacing w:after="0"/>
              <w:rPr>
                <w:sz w:val="20"/>
                <w:szCs w:val="20"/>
                <w:color w:val="auto"/>
              </w:rPr>
            </w:pPr>
            <w:r>
              <w:rPr>
                <w:rFonts w:ascii="Arial" w:cs="Arial" w:eastAsia="Arial" w:hAnsi="Arial"/>
                <w:sz w:val="18"/>
                <w:szCs w:val="18"/>
                <w:color w:val="auto"/>
              </w:rPr>
              <w:t>Net accretion of discount and amortization of premium</w:t>
            </w:r>
          </w:p>
        </w:tc>
        <w:tc>
          <w:tcPr>
            <w:tcW w:w="8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(503,258)</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Purchase of investments</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(102,445,311)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(243,686,040)</w:t>
            </w:r>
          </w:p>
        </w:tc>
        <w:tc>
          <w:tcPr>
            <w:tcW w:w="0" w:type="dxa"/>
            <w:vAlign w:val="bottom"/>
          </w:tcPr>
          <w:p>
            <w:pPr>
              <w:spacing w:after="0"/>
              <w:rPr>
                <w:sz w:val="1"/>
                <w:szCs w:val="1"/>
                <w:color w:val="auto"/>
              </w:rPr>
            </w:pPr>
          </w:p>
        </w:tc>
      </w:tr>
      <w:tr>
        <w:trPr>
          <w:trHeight w:val="216"/>
        </w:trPr>
        <w:tc>
          <w:tcPr>
            <w:tcW w:w="8440" w:type="dxa"/>
            <w:vAlign w:val="bottom"/>
          </w:tcPr>
          <w:p>
            <w:pPr>
              <w:ind w:left="880"/>
              <w:spacing w:after="0"/>
              <w:rPr>
                <w:sz w:val="20"/>
                <w:szCs w:val="20"/>
                <w:color w:val="auto"/>
              </w:rPr>
            </w:pPr>
            <w:r>
              <w:rPr>
                <w:rFonts w:ascii="Arial" w:cs="Arial" w:eastAsia="Arial" w:hAnsi="Arial"/>
                <w:sz w:val="18"/>
                <w:szCs w:val="18"/>
                <w:color w:val="auto"/>
              </w:rPr>
              <w:t>Payment-in-kind interest</w:t>
            </w:r>
          </w:p>
        </w:tc>
        <w:tc>
          <w:tcPr>
            <w:tcW w:w="8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(1,177,816)</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Proceeds from disposition of investments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5,213,030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7,769,375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880"/>
              <w:spacing w:after="0"/>
              <w:rPr>
                <w:sz w:val="20"/>
                <w:szCs w:val="20"/>
                <w:color w:val="auto"/>
              </w:rPr>
            </w:pPr>
            <w:r>
              <w:rPr>
                <w:rFonts w:ascii="Arial" w:cs="Arial" w:eastAsia="Arial" w:hAnsi="Arial"/>
                <w:sz w:val="18"/>
                <w:szCs w:val="18"/>
                <w:color w:val="auto"/>
              </w:rPr>
              <w:t>Increase in receivable for investments sold</w:t>
            </w:r>
          </w:p>
        </w:tc>
        <w:tc>
          <w:tcPr>
            <w:tcW w:w="80" w:type="dxa"/>
            <w:vAlign w:val="bottom"/>
          </w:tcPr>
          <w:p>
            <w:pPr>
              <w:spacing w:after="0"/>
              <w:rPr>
                <w:sz w:val="18"/>
                <w:szCs w:val="18"/>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(6,764,375)</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interest receivable</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(553,041)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(390,497)</w:t>
            </w:r>
          </w:p>
        </w:tc>
        <w:tc>
          <w:tcPr>
            <w:tcW w:w="0" w:type="dxa"/>
            <w:vAlign w:val="bottom"/>
          </w:tcPr>
          <w:p>
            <w:pPr>
              <w:spacing w:after="0"/>
              <w:rPr>
                <w:sz w:val="1"/>
                <w:szCs w:val="1"/>
                <w:color w:val="auto"/>
              </w:rPr>
            </w:pPr>
          </w:p>
        </w:tc>
      </w:tr>
      <w:tr>
        <w:trPr>
          <w:trHeight w:val="216"/>
        </w:trPr>
        <w:tc>
          <w:tcPr>
            <w:tcW w:w="8440" w:type="dxa"/>
            <w:vAlign w:val="bottom"/>
          </w:tcPr>
          <w:p>
            <w:pPr>
              <w:ind w:left="880"/>
              <w:spacing w:after="0"/>
              <w:rPr>
                <w:sz w:val="20"/>
                <w:szCs w:val="20"/>
                <w:color w:val="auto"/>
              </w:rPr>
            </w:pPr>
            <w:r>
              <w:rPr>
                <w:rFonts w:ascii="Arial" w:cs="Arial" w:eastAsia="Arial" w:hAnsi="Arial"/>
                <w:sz w:val="18"/>
                <w:szCs w:val="18"/>
                <w:color w:val="auto"/>
              </w:rPr>
              <w:t>Increase in interest payable on credit facility</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594,244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 prepaid expenses and other assets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tcPr>
          <w:p>
            <w:pPr>
              <w:ind w:left="880"/>
              <w:spacing w:after="0"/>
              <w:rPr>
                <w:sz w:val="20"/>
                <w:szCs w:val="20"/>
                <w:color w:val="auto"/>
              </w:rPr>
            </w:pPr>
            <w:r>
              <w:rPr>
                <w:rFonts w:ascii="Arial" w:cs="Arial" w:eastAsia="Arial" w:hAnsi="Arial"/>
                <w:sz w:val="18"/>
                <w:szCs w:val="18"/>
                <w:color w:val="auto"/>
              </w:rPr>
              <w:t>Decrease in payables for cash equivalents purchased</w:t>
            </w:r>
          </w:p>
        </w:tc>
        <w:tc>
          <w:tcPr>
            <w:tcW w:w="8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(252,759,931)</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payables for investments purchased</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(7,963,921)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88,230,749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880"/>
              <w:spacing w:after="0"/>
              <w:rPr>
                <w:sz w:val="20"/>
                <w:szCs w:val="20"/>
                <w:color w:val="auto"/>
              </w:rPr>
            </w:pPr>
            <w:r>
              <w:rPr>
                <w:rFonts w:ascii="Arial" w:cs="Arial" w:eastAsia="Arial" w:hAnsi="Arial"/>
                <w:sz w:val="18"/>
                <w:szCs w:val="18"/>
                <w:color w:val="auto"/>
              </w:rPr>
              <w:t>(Decrease) increase in unfunded investments</w:t>
            </w:r>
          </w:p>
        </w:tc>
        <w:tc>
          <w:tcPr>
            <w:tcW w:w="8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(1,382,684)</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7,976,040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accrued expenses</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(160,129)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ind w:left="1300"/>
              <w:spacing w:after="0"/>
              <w:rPr>
                <w:sz w:val="20"/>
                <w:szCs w:val="20"/>
                <w:color w:val="auto"/>
              </w:rPr>
            </w:pPr>
            <w:r>
              <w:rPr>
                <w:rFonts w:ascii="Arial" w:cs="Arial" w:eastAsia="Arial" w:hAnsi="Arial"/>
                <w:sz w:val="18"/>
                <w:szCs w:val="18"/>
                <w:color w:val="auto"/>
              </w:rPr>
              <w:t>Net cash used by operating activities</w:t>
            </w: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(351,939,472)</w:t>
            </w:r>
          </w:p>
        </w:tc>
        <w:tc>
          <w:tcPr>
            <w:tcW w:w="1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4"/>
              </w:rPr>
              <w:t>(146,832,740)</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880"/>
              <w:spacing w:after="0"/>
              <w:rPr>
                <w:sz w:val="20"/>
                <w:szCs w:val="20"/>
                <w:color w:val="auto"/>
              </w:rPr>
            </w:pPr>
            <w:r>
              <w:rPr>
                <w:rFonts w:ascii="Arial" w:cs="Arial" w:eastAsia="Arial" w:hAnsi="Arial"/>
                <w:sz w:val="18"/>
                <w:szCs w:val="18"/>
                <w:color w:val="auto"/>
              </w:rPr>
              <w:t>Increase in issuance of common stock</w:t>
            </w:r>
          </w:p>
        </w:tc>
        <w:tc>
          <w:tcPr>
            <w:tcW w:w="80" w:type="dxa"/>
            <w:vAlign w:val="bottom"/>
          </w:tcPr>
          <w:p>
            <w:pPr>
              <w:spacing w:after="0"/>
              <w:rPr>
                <w:sz w:val="18"/>
                <w:szCs w:val="18"/>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Dividends and distributions to stockholders</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(9,270,260)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tcPr>
          <w:p>
            <w:pPr>
              <w:ind w:left="880"/>
              <w:spacing w:after="0"/>
              <w:rPr>
                <w:sz w:val="20"/>
                <w:szCs w:val="20"/>
                <w:color w:val="auto"/>
              </w:rPr>
            </w:pPr>
            <w:r>
              <w:rPr>
                <w:rFonts w:ascii="Arial" w:cs="Arial" w:eastAsia="Arial" w:hAnsi="Arial"/>
                <w:sz w:val="18"/>
                <w:szCs w:val="18"/>
                <w:color w:val="auto"/>
              </w:rPr>
              <w:t>Borrowings under credit facility (see note 11)</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243,500,000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147,320,007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Repayments under credit facility (see note 11)</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7"/>
              </w:rPr>
              <w:t>(59,000,000)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175,229,740</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148,520,007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(176,709,732)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1,687,267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4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257,959,635</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81,249,903</w:t>
            </w: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1,687,267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paid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1,759,321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gridSpan w:val="2"/>
          </w:tcPr>
          <w:p>
            <w:pPr>
              <w:ind w:left="180"/>
              <w:spacing w:after="0"/>
              <w:rPr>
                <w:sz w:val="20"/>
                <w:szCs w:val="20"/>
                <w:color w:val="auto"/>
              </w:rPr>
            </w:pPr>
            <w:r>
              <w:rPr>
                <w:rFonts w:ascii="Arial" w:cs="Arial" w:eastAsia="Arial" w:hAnsi="Arial"/>
                <w:sz w:val="13"/>
                <w:szCs w:val="13"/>
                <w:b w:val="1"/>
                <w:bCs w:val="1"/>
                <w:color w:val="auto"/>
              </w:rPr>
              <w:t>Basis</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gridSpan w:val="2"/>
          </w:tcPr>
          <w:p>
            <w:pPr>
              <w:ind w:left="160"/>
              <w:spacing w:after="0"/>
              <w:rPr>
                <w:sz w:val="20"/>
                <w:szCs w:val="20"/>
                <w:color w:val="auto"/>
              </w:rPr>
            </w:pPr>
            <w:r>
              <w:rPr>
                <w:rFonts w:ascii="Arial" w:cs="Arial" w:eastAsia="Arial" w:hAnsi="Arial"/>
                <w:sz w:val="13"/>
                <w:szCs w:val="13"/>
                <w:b w:val="1"/>
                <w:bCs w:val="1"/>
                <w:color w:val="auto"/>
              </w:rPr>
              <w:t>Point</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Spread</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60" w:type="dxa"/>
            <w:vAlign w:val="bottom"/>
            <w:vMerge w:val="restart"/>
          </w:tcPr>
          <w:p>
            <w:pPr>
              <w:spacing w:after="0"/>
              <w:rPr>
                <w:sz w:val="20"/>
                <w:szCs w:val="20"/>
                <w:color w:val="auto"/>
              </w:rPr>
            </w:pPr>
            <w:r>
              <w:rPr>
                <w:rFonts w:ascii="Arial" w:cs="Arial" w:eastAsia="Arial" w:hAnsi="Arial"/>
                <w:sz w:val="13"/>
                <w:szCs w:val="13"/>
                <w:b w:val="1"/>
                <w:bCs w:val="1"/>
                <w:color w:val="auto"/>
                <w:w w:val="89"/>
              </w:rPr>
              <w:t>Issuer name</w:t>
            </w:r>
            <w:r>
              <w:rPr>
                <w:rFonts w:ascii="Arial" w:cs="Arial" w:eastAsia="Arial" w:hAnsi="Arial"/>
                <w:sz w:val="22"/>
                <w:szCs w:val="22"/>
                <w:b w:val="1"/>
                <w:bCs w:val="1"/>
                <w:color w:val="auto"/>
                <w:w w:val="89"/>
                <w:vertAlign w:val="superscript"/>
              </w:rPr>
              <w:t>(1)</w:t>
            </w:r>
          </w:p>
        </w:tc>
        <w:tc>
          <w:tcPr>
            <w:tcW w:w="2260" w:type="dxa"/>
            <w:vAlign w:val="bottom"/>
            <w:vMerge w:val="restart"/>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3"/>
              </w:rPr>
              <w:t>Current</w:t>
            </w: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Above</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restart"/>
          </w:tcPr>
          <w:p>
            <w:pPr>
              <w:jc w:val="right"/>
              <w:ind w:right="133"/>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22"/>
                <w:szCs w:val="22"/>
                <w:b w:val="1"/>
                <w:bCs w:val="1"/>
                <w:color w:val="auto"/>
                <w:vertAlign w:val="superscript"/>
              </w:rPr>
              <w:t>(2)</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60" w:type="dxa"/>
            <w:vAlign w:val="bottom"/>
            <w:tcBorders>
              <w:bottom w:val="single" w:sz="8" w:color="auto"/>
            </w:tcBorders>
            <w:vMerge w:val="continue"/>
          </w:tcPr>
          <w:p>
            <w:pPr>
              <w:spacing w:after="0"/>
              <w:rPr>
                <w:sz w:val="15"/>
                <w:szCs w:val="15"/>
                <w:color w:val="auto"/>
              </w:rPr>
            </w:pPr>
          </w:p>
        </w:tc>
        <w:tc>
          <w:tcPr>
            <w:tcW w:w="2260" w:type="dxa"/>
            <w:vAlign w:val="bottom"/>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Maturity</w:t>
            </w:r>
          </w:p>
        </w:tc>
        <w:tc>
          <w:tcPr>
            <w:tcW w:w="180" w:type="dxa"/>
            <w:vAlign w:val="bottom"/>
          </w:tcPr>
          <w:p>
            <w:pPr>
              <w:spacing w:after="0"/>
              <w:rPr>
                <w:sz w:val="15"/>
                <w:szCs w:val="15"/>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20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Coupon</w:t>
            </w:r>
          </w:p>
        </w:tc>
        <w:tc>
          <w:tcPr>
            <w:tcW w:w="420" w:type="dxa"/>
            <w:vAlign w:val="bottom"/>
          </w:tcPr>
          <w:p>
            <w:pPr>
              <w:spacing w:after="0"/>
              <w:rPr>
                <w:sz w:val="15"/>
                <w:szCs w:val="15"/>
                <w:color w:val="auto"/>
              </w:rPr>
            </w:pPr>
          </w:p>
        </w:tc>
        <w:tc>
          <w:tcPr>
            <w:tcW w:w="6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4"/>
              </w:rPr>
              <w:t xml:space="preserve">Index </w:t>
            </w:r>
            <w:r>
              <w:rPr>
                <w:rFonts w:ascii="Arial" w:cs="Arial" w:eastAsia="Arial" w:hAnsi="Arial"/>
                <w:sz w:val="20"/>
                <w:szCs w:val="20"/>
                <w:b w:val="1"/>
                <w:bCs w:val="1"/>
                <w:color w:val="auto"/>
                <w:w w:val="94"/>
                <w:vertAlign w:val="superscript"/>
              </w:rPr>
              <w:t>(3)</w:t>
            </w:r>
          </w:p>
        </w:tc>
        <w:tc>
          <w:tcPr>
            <w:tcW w:w="200" w:type="dxa"/>
            <w:vAlign w:val="bottom"/>
          </w:tcPr>
          <w:p>
            <w:pPr>
              <w:spacing w:after="0"/>
              <w:rPr>
                <w:sz w:val="15"/>
                <w:szCs w:val="15"/>
                <w:color w:val="auto"/>
              </w:rPr>
            </w:pPr>
          </w:p>
        </w:tc>
        <w:tc>
          <w:tcPr>
            <w:tcW w:w="98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Par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7"/>
              </w:rPr>
              <w:t>Subordinated Debt / Corporate Notes</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 42.8%</w:t>
            </w: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312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DVANSTAR</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80" w:type="dxa"/>
            <w:vAlign w:val="bottom"/>
          </w:tcPr>
          <w:p>
            <w:pPr>
              <w:jc w:val="center"/>
              <w:spacing w:after="0"/>
              <w:rPr>
                <w:sz w:val="20"/>
                <w:szCs w:val="20"/>
                <w:color w:val="auto"/>
              </w:rPr>
            </w:pPr>
            <w:r>
              <w:rPr>
                <w:rFonts w:ascii="Arial" w:cs="Arial" w:eastAsia="Arial" w:hAnsi="Arial"/>
                <w:sz w:val="18"/>
                <w:szCs w:val="18"/>
                <w:color w:val="auto"/>
                <w:w w:val="86"/>
              </w:rPr>
              <w:t>11/30/2015</w:t>
            </w:r>
          </w:p>
        </w:tc>
        <w:tc>
          <w:tcPr>
            <w:tcW w:w="1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9.67%*</w:t>
            </w: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L+700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$ 15,480,208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8"/>
              </w:rPr>
              <w:t>$ 15,480,208</w:t>
            </w:r>
          </w:p>
        </w:tc>
        <w:tc>
          <w:tcPr>
            <w:tcW w:w="2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$12,384,166</w:t>
            </w: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FFINION</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03/01/2012</w:t>
            </w: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C</w:t>
            </w:r>
            <w:r>
              <w:rPr>
                <w:rFonts w:ascii="Arial" w:cs="Arial" w:eastAsia="Arial" w:hAnsi="Arial"/>
                <w:sz w:val="14"/>
                <w:szCs w:val="14"/>
                <w:color w:val="auto"/>
                <w:w w:val="96"/>
              </w:rPr>
              <w:t>ONSUMER</w:t>
            </w:r>
            <w:r>
              <w:rPr>
                <w:rFonts w:ascii="Arial" w:cs="Arial" w:eastAsia="Arial" w:hAnsi="Arial"/>
                <w:sz w:val="18"/>
                <w:szCs w:val="18"/>
                <w:color w:val="auto"/>
                <w:w w:val="96"/>
              </w:rPr>
              <w:t xml:space="preserve"> P</w:t>
            </w:r>
            <w:r>
              <w:rPr>
                <w:rFonts w:ascii="Arial" w:cs="Arial" w:eastAsia="Arial" w:hAnsi="Arial"/>
                <w:sz w:val="14"/>
                <w:szCs w:val="14"/>
                <w:color w:val="auto"/>
                <w:w w:val="96"/>
              </w:rPr>
              <w:t>RODUCTS</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9.27%*</w:t>
            </w: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L+625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18,500,000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18,150,501</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14,615,000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12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ONSOLIDATED</w:t>
            </w:r>
            <w:r>
              <w:rPr>
                <w:rFonts w:ascii="Arial" w:cs="Arial" w:eastAsia="Arial" w:hAnsi="Arial"/>
                <w:sz w:val="18"/>
                <w:szCs w:val="18"/>
                <w:color w:val="auto"/>
              </w:rPr>
              <w:t xml:space="preserve"> F</w:t>
            </w:r>
            <w:r>
              <w:rPr>
                <w:rFonts w:ascii="Arial" w:cs="Arial" w:eastAsia="Arial" w:hAnsi="Arial"/>
                <w:sz w:val="14"/>
                <w:szCs w:val="14"/>
                <w:color w:val="auto"/>
              </w:rPr>
              <w:t>OUNDRIES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04/17/2015</w:t>
            </w:r>
          </w:p>
        </w:tc>
        <w:tc>
          <w:tcPr>
            <w:tcW w:w="1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EROSPACE</w:t>
            </w:r>
            <w:r>
              <w:rPr>
                <w:rFonts w:ascii="Arial" w:cs="Arial" w:eastAsia="Arial" w:hAnsi="Arial"/>
                <w:sz w:val="18"/>
                <w:szCs w:val="18"/>
                <w:color w:val="auto"/>
                <w:w w:val="97"/>
              </w:rPr>
              <w:t xml:space="preserve"> &amp;</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14.25%*</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8,000,000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7,820,000</w:t>
            </w:r>
          </w:p>
        </w:tc>
        <w:tc>
          <w:tcPr>
            <w:tcW w:w="2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8,000,000</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5"/>
              </w:rPr>
              <w:t>D</w:t>
            </w:r>
            <w:r>
              <w:rPr>
                <w:rFonts w:ascii="Arial" w:cs="Arial" w:eastAsia="Arial" w:hAnsi="Arial"/>
                <w:sz w:val="14"/>
                <w:szCs w:val="14"/>
                <w:color w:val="auto"/>
                <w:w w:val="95"/>
              </w:rPr>
              <w:t>EFENSE</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8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NTERDYNAMICS</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05/20/2012</w:t>
            </w: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A</w:t>
            </w:r>
            <w:r>
              <w:rPr>
                <w:rFonts w:ascii="Arial" w:cs="Arial" w:eastAsia="Arial" w:hAnsi="Arial"/>
                <w:sz w:val="14"/>
                <w:szCs w:val="14"/>
                <w:color w:val="auto"/>
                <w:w w:val="96"/>
              </w:rPr>
              <w:t>UTO</w:t>
            </w:r>
            <w:r>
              <w:rPr>
                <w:rFonts w:ascii="Arial" w:cs="Arial" w:eastAsia="Arial" w:hAnsi="Arial"/>
                <w:sz w:val="18"/>
                <w:szCs w:val="18"/>
                <w:color w:val="auto"/>
                <w:w w:val="96"/>
              </w:rPr>
              <w:t xml:space="preserve"> S</w:t>
            </w:r>
            <w:r>
              <w:rPr>
                <w:rFonts w:ascii="Arial" w:cs="Arial" w:eastAsia="Arial" w:hAnsi="Arial"/>
                <w:sz w:val="14"/>
                <w:szCs w:val="14"/>
                <w:color w:val="auto"/>
                <w:w w:val="96"/>
              </w:rPr>
              <w:t>ECTOR</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13.75%</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19,494,522</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12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07/02/2014</w:t>
            </w:r>
          </w:p>
        </w:tc>
        <w:tc>
          <w:tcPr>
            <w:tcW w:w="1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L</w:t>
            </w:r>
            <w:r>
              <w:rPr>
                <w:rFonts w:ascii="Arial" w:cs="Arial" w:eastAsia="Arial" w:hAnsi="Arial"/>
                <w:sz w:val="14"/>
                <w:szCs w:val="14"/>
                <w:color w:val="auto"/>
                <w:w w:val="99"/>
              </w:rPr>
              <w:t>EISURE</w:t>
            </w:r>
            <w:r>
              <w:rPr>
                <w:rFonts w:ascii="Arial" w:cs="Arial" w:eastAsia="Arial" w:hAnsi="Arial"/>
                <w:sz w:val="18"/>
                <w:szCs w:val="18"/>
                <w:color w:val="auto"/>
                <w:w w:val="99"/>
              </w:rPr>
              <w:t>, A</w:t>
            </w:r>
            <w:r>
              <w:rPr>
                <w:rFonts w:ascii="Arial" w:cs="Arial" w:eastAsia="Arial" w:hAnsi="Arial"/>
                <w:sz w:val="14"/>
                <w:szCs w:val="14"/>
                <w:color w:val="auto"/>
                <w:w w:val="99"/>
              </w:rPr>
              <w:t>MUSEMENT</w:t>
            </w:r>
            <w:r>
              <w:rPr>
                <w:rFonts w:ascii="Arial" w:cs="Arial" w:eastAsia="Arial" w:hAnsi="Arial"/>
                <w:sz w:val="18"/>
                <w:szCs w:val="18"/>
                <w:color w:val="auto"/>
                <w:w w:val="99"/>
              </w:rPr>
              <w:t>,</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14.25%*</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4,115,876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3,882,232</w:t>
            </w:r>
          </w:p>
        </w:tc>
        <w:tc>
          <w:tcPr>
            <w:tcW w:w="2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4,115,876</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8"/>
              </w:rPr>
              <w:t>M</w:t>
            </w:r>
            <w:r>
              <w:rPr>
                <w:rFonts w:ascii="Arial" w:cs="Arial" w:eastAsia="Arial" w:hAnsi="Arial"/>
                <w:sz w:val="14"/>
                <w:szCs w:val="14"/>
                <w:color w:val="auto"/>
                <w:w w:val="98"/>
              </w:rPr>
              <w:t>OTION</w:t>
            </w:r>
            <w:r>
              <w:rPr>
                <w:rFonts w:ascii="Arial" w:cs="Arial" w:eastAsia="Arial" w:hAnsi="Arial"/>
                <w:sz w:val="18"/>
                <w:szCs w:val="18"/>
                <w:color w:val="auto"/>
                <w:w w:val="98"/>
              </w:rPr>
              <w:t xml:space="preserve"> P</w:t>
            </w:r>
            <w:r>
              <w:rPr>
                <w:rFonts w:ascii="Arial" w:cs="Arial" w:eastAsia="Arial" w:hAnsi="Arial"/>
                <w:sz w:val="14"/>
                <w:szCs w:val="14"/>
                <w:color w:val="auto"/>
                <w:w w:val="98"/>
              </w:rPr>
              <w:t>ICTURES</w:t>
            </w:r>
            <w:r>
              <w:rPr>
                <w:rFonts w:ascii="Arial" w:cs="Arial" w:eastAsia="Arial" w:hAnsi="Arial"/>
                <w:sz w:val="18"/>
                <w:szCs w:val="18"/>
                <w:color w:val="auto"/>
                <w:w w:val="98"/>
              </w:rPr>
              <w:t>,</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8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EALOGY</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04/15/2015</w:t>
            </w: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UILDINGS</w:t>
            </w:r>
            <w:r>
              <w:rPr>
                <w:rFonts w:ascii="Arial" w:cs="Arial" w:eastAsia="Arial" w:hAnsi="Arial"/>
                <w:sz w:val="18"/>
                <w:szCs w:val="18"/>
                <w:color w:val="auto"/>
              </w:rPr>
              <w:t xml:space="preserve"> &amp; R</w:t>
            </w:r>
            <w:r>
              <w:rPr>
                <w:rFonts w:ascii="Arial" w:cs="Arial" w:eastAsia="Arial" w:hAnsi="Arial"/>
                <w:sz w:val="14"/>
                <w:szCs w:val="14"/>
                <w:color w:val="auto"/>
              </w:rPr>
              <w:t>EAL</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12.38%</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28,000,000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26,223,603</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12,460,000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E</w:t>
            </w:r>
            <w:r>
              <w:rPr>
                <w:rFonts w:ascii="Arial" w:cs="Arial" w:eastAsia="Arial" w:hAnsi="Arial"/>
                <w:sz w:val="14"/>
                <w:szCs w:val="14"/>
                <w:color w:val="auto"/>
                <w:w w:val="90"/>
              </w:rPr>
              <w:t>STATE</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120" w:type="dxa"/>
            <w:vAlign w:val="bottom"/>
            <w:gridSpan w:val="2"/>
          </w:tcPr>
          <w:p>
            <w:pPr>
              <w:spacing w:after="0"/>
              <w:rPr>
                <w:sz w:val="20"/>
                <w:szCs w:val="20"/>
                <w:color w:val="auto"/>
              </w:rPr>
            </w:pPr>
            <w:r>
              <w:rPr>
                <w:rFonts w:ascii="Arial" w:cs="Arial" w:eastAsia="Arial" w:hAnsi="Arial"/>
                <w:sz w:val="18"/>
                <w:szCs w:val="18"/>
                <w:color w:val="auto"/>
              </w:rPr>
              <w:t>UP A</w:t>
            </w:r>
            <w:r>
              <w:rPr>
                <w:rFonts w:ascii="Arial" w:cs="Arial" w:eastAsia="Arial" w:hAnsi="Arial"/>
                <w:sz w:val="14"/>
                <w:szCs w:val="14"/>
                <w:color w:val="auto"/>
              </w:rPr>
              <w:t>CQUISITION</w:t>
            </w:r>
            <w:r>
              <w:rPr>
                <w:rFonts w:ascii="Arial" w:cs="Arial" w:eastAsia="Arial" w:hAnsi="Arial"/>
                <w:sz w:val="18"/>
                <w:szCs w:val="18"/>
                <w:color w:val="auto"/>
              </w:rPr>
              <w:t xml:space="preserve"> S</w:t>
            </w:r>
            <w:r>
              <w:rPr>
                <w:rFonts w:ascii="Arial" w:cs="Arial" w:eastAsia="Arial" w:hAnsi="Arial"/>
                <w:sz w:val="14"/>
                <w:szCs w:val="14"/>
                <w:color w:val="auto"/>
              </w:rPr>
              <w:t>UB</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02/08/2015</w:t>
            </w:r>
          </w:p>
        </w:tc>
        <w:tc>
          <w:tcPr>
            <w:tcW w:w="1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IL</w:t>
            </w:r>
            <w:r>
              <w:rPr>
                <w:rFonts w:ascii="Arial" w:cs="Arial" w:eastAsia="Arial" w:hAnsi="Arial"/>
                <w:sz w:val="18"/>
                <w:szCs w:val="18"/>
                <w:color w:val="auto"/>
                <w:w w:val="99"/>
              </w:rPr>
              <w:t xml:space="preserve"> &amp; G</w:t>
            </w:r>
            <w:r>
              <w:rPr>
                <w:rFonts w:ascii="Arial" w:cs="Arial" w:eastAsia="Arial" w:hAnsi="Arial"/>
                <w:sz w:val="14"/>
                <w:szCs w:val="14"/>
                <w:color w:val="auto"/>
                <w:w w:val="99"/>
              </w:rPr>
              <w:t>AS</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13.50%</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21,000,000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20,383,058</w:t>
            </w:r>
          </w:p>
        </w:tc>
        <w:tc>
          <w:tcPr>
            <w:tcW w:w="2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21,000,000</w:t>
            </w:r>
          </w:p>
        </w:tc>
        <w:tc>
          <w:tcPr>
            <w:tcW w:w="0" w:type="dxa"/>
            <w:vAlign w:val="bottom"/>
          </w:tcPr>
          <w:p>
            <w:pPr>
              <w:spacing w:after="0"/>
              <w:rPr>
                <w:sz w:val="1"/>
                <w:szCs w:val="1"/>
                <w:color w:val="auto"/>
              </w:rPr>
            </w:pPr>
          </w:p>
        </w:tc>
      </w:tr>
      <w:tr>
        <w:trPr>
          <w:trHeight w:val="116"/>
        </w:trPr>
        <w:tc>
          <w:tcPr>
            <w:tcW w:w="8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3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9"/>
              </w:rPr>
              <w:t>Total Subordinated Debt / Corporate</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w w:val="95"/>
              </w:rPr>
              <w:t>115,096,084</w:t>
            </w:r>
          </w:p>
        </w:tc>
        <w:tc>
          <w:tcPr>
            <w:tcW w:w="1260" w:type="dxa"/>
            <w:vAlign w:val="bottom"/>
            <w:gridSpan w:val="3"/>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111,434,124</w:t>
            </w: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92,575,042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Notes</w:t>
            </w: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Second Lien Secured Debt – 46.5%</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RAND</w:t>
            </w:r>
            <w:r>
              <w:rPr>
                <w:rFonts w:ascii="Arial" w:cs="Arial" w:eastAsia="Arial" w:hAnsi="Arial"/>
                <w:sz w:val="18"/>
                <w:szCs w:val="18"/>
                <w:color w:val="auto"/>
              </w:rPr>
              <w:t xml:space="preserve"> E</w:t>
            </w:r>
            <w:r>
              <w:rPr>
                <w:rFonts w:ascii="Arial" w:cs="Arial" w:eastAsia="Arial" w:hAnsi="Arial"/>
                <w:sz w:val="14"/>
                <w:szCs w:val="14"/>
                <w:color w:val="auto"/>
              </w:rPr>
              <w:t>NERGY</w:t>
            </w:r>
            <w:r>
              <w:rPr>
                <w:rFonts w:ascii="Arial" w:cs="Arial" w:eastAsia="Arial" w:hAnsi="Arial"/>
                <w:sz w:val="18"/>
                <w:szCs w:val="18"/>
                <w:color w:val="auto"/>
              </w:rPr>
              <w:t xml:space="preserve"> &amp; I</w:t>
            </w:r>
            <w:r>
              <w:rPr>
                <w:rFonts w:ascii="Arial" w:cs="Arial" w:eastAsia="Arial" w:hAnsi="Arial"/>
                <w:sz w:val="14"/>
                <w:szCs w:val="14"/>
                <w:color w:val="auto"/>
              </w:rPr>
              <w:t>NFRASTRUCTURE</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02/07/2015</w:t>
            </w: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NERGY</w:t>
            </w:r>
            <w:r>
              <w:rPr>
                <w:rFonts w:ascii="Arial" w:cs="Arial" w:eastAsia="Arial" w:hAnsi="Arial"/>
                <w:sz w:val="18"/>
                <w:szCs w:val="18"/>
                <w:color w:val="auto"/>
              </w:rPr>
              <w:t xml:space="preserve"> / U</w:t>
            </w:r>
            <w:r>
              <w:rPr>
                <w:rFonts w:ascii="Arial" w:cs="Arial" w:eastAsia="Arial" w:hAnsi="Arial"/>
                <w:sz w:val="14"/>
                <w:szCs w:val="14"/>
                <w:color w:val="auto"/>
              </w:rPr>
              <w:t>TILITIES</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9.24%</w:t>
            </w: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L+600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11,600,000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11,257,394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10,382,000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12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RAND</w:t>
            </w:r>
            <w:r>
              <w:rPr>
                <w:rFonts w:ascii="Arial" w:cs="Arial" w:eastAsia="Arial" w:hAnsi="Arial"/>
                <w:sz w:val="18"/>
                <w:szCs w:val="18"/>
                <w:color w:val="auto"/>
              </w:rPr>
              <w:t xml:space="preserve"> E</w:t>
            </w:r>
            <w:r>
              <w:rPr>
                <w:rFonts w:ascii="Arial" w:cs="Arial" w:eastAsia="Arial" w:hAnsi="Arial"/>
                <w:sz w:val="14"/>
                <w:szCs w:val="14"/>
                <w:color w:val="auto"/>
              </w:rPr>
              <w:t>NERGY</w:t>
            </w:r>
            <w:r>
              <w:rPr>
                <w:rFonts w:ascii="Arial" w:cs="Arial" w:eastAsia="Arial" w:hAnsi="Arial"/>
                <w:sz w:val="18"/>
                <w:szCs w:val="18"/>
                <w:color w:val="auto"/>
              </w:rPr>
              <w:t xml:space="preserve"> &amp; I</w:t>
            </w:r>
            <w:r>
              <w:rPr>
                <w:rFonts w:ascii="Arial" w:cs="Arial" w:eastAsia="Arial" w:hAnsi="Arial"/>
                <w:sz w:val="14"/>
                <w:szCs w:val="14"/>
                <w:color w:val="auto"/>
              </w:rPr>
              <w:t>NFRASTRUCTURE</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02/07/2015</w:t>
            </w:r>
          </w:p>
        </w:tc>
        <w:tc>
          <w:tcPr>
            <w:tcW w:w="1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NERGY</w:t>
            </w:r>
            <w:r>
              <w:rPr>
                <w:rFonts w:ascii="Arial" w:cs="Arial" w:eastAsia="Arial" w:hAnsi="Arial"/>
                <w:sz w:val="18"/>
                <w:szCs w:val="18"/>
                <w:color w:val="auto"/>
              </w:rPr>
              <w:t xml:space="preserve"> / U</w:t>
            </w:r>
            <w:r>
              <w:rPr>
                <w:rFonts w:ascii="Arial" w:cs="Arial" w:eastAsia="Arial" w:hAnsi="Arial"/>
                <w:sz w:val="14"/>
                <w:szCs w:val="14"/>
                <w:color w:val="auto"/>
              </w:rPr>
              <w:t>TILITIES</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10.13%</w:t>
            </w: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L+700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12,000,000</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11,657,774</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9,840,000</w:t>
            </w:r>
          </w:p>
        </w:tc>
        <w:tc>
          <w:tcPr>
            <w:tcW w:w="0" w:type="dxa"/>
            <w:vAlign w:val="bottom"/>
          </w:tcPr>
          <w:p>
            <w:pPr>
              <w:spacing w:after="0"/>
              <w:rPr>
                <w:sz w:val="1"/>
                <w:szCs w:val="1"/>
                <w:color w:val="auto"/>
              </w:rPr>
            </w:pPr>
          </w:p>
        </w:tc>
      </w:tr>
      <w:tr>
        <w:trPr>
          <w:trHeight w:val="222"/>
        </w:trPr>
        <w:tc>
          <w:tcPr>
            <w:tcW w:w="3120" w:type="dxa"/>
            <w:vAlign w:val="bottom"/>
            <w:gridSpan w:val="2"/>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ENERICS</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xml:space="preserve"> (U.S.), I</w:t>
            </w:r>
            <w:r>
              <w:rPr>
                <w:rFonts w:ascii="Arial" w:cs="Arial" w:eastAsia="Arial" w:hAnsi="Arial"/>
                <w:sz w:val="14"/>
                <w:szCs w:val="14"/>
                <w:color w:val="auto"/>
              </w:rPr>
              <w:t>NC</w:t>
            </w:r>
            <w:r>
              <w:rPr>
                <w:rFonts w:ascii="Arial" w:cs="Arial" w:eastAsia="Arial" w:hAnsi="Arial"/>
                <w:sz w:val="18"/>
                <w:szCs w:val="18"/>
                <w:color w:val="auto"/>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05/19/2015</w:t>
            </w: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10.20%</w:t>
            </w: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L+750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12,000,000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11,943,020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11,880,000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12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07/02/2013</w:t>
            </w:r>
          </w:p>
        </w:tc>
        <w:tc>
          <w:tcPr>
            <w:tcW w:w="1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L</w:t>
            </w:r>
            <w:r>
              <w:rPr>
                <w:rFonts w:ascii="Arial" w:cs="Arial" w:eastAsia="Arial" w:hAnsi="Arial"/>
                <w:sz w:val="14"/>
                <w:szCs w:val="14"/>
                <w:color w:val="auto"/>
                <w:w w:val="99"/>
              </w:rPr>
              <w:t>EISURE</w:t>
            </w:r>
            <w:r>
              <w:rPr>
                <w:rFonts w:ascii="Arial" w:cs="Arial" w:eastAsia="Arial" w:hAnsi="Arial"/>
                <w:sz w:val="18"/>
                <w:szCs w:val="18"/>
                <w:color w:val="auto"/>
                <w:w w:val="99"/>
              </w:rPr>
              <w:t>, A</w:t>
            </w:r>
            <w:r>
              <w:rPr>
                <w:rFonts w:ascii="Arial" w:cs="Arial" w:eastAsia="Arial" w:hAnsi="Arial"/>
                <w:sz w:val="14"/>
                <w:szCs w:val="14"/>
                <w:color w:val="auto"/>
                <w:w w:val="99"/>
              </w:rPr>
              <w:t>MUSEMENT</w:t>
            </w:r>
            <w:r>
              <w:rPr>
                <w:rFonts w:ascii="Arial" w:cs="Arial" w:eastAsia="Arial" w:hAnsi="Arial"/>
                <w:sz w:val="18"/>
                <w:szCs w:val="18"/>
                <w:color w:val="auto"/>
                <w:w w:val="99"/>
              </w:rPr>
              <w:t>,</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9.00%</w:t>
            </w: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L+575</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8,750,000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8,750,000</w:t>
            </w:r>
          </w:p>
        </w:tc>
        <w:tc>
          <w:tcPr>
            <w:tcW w:w="2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7,726,250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8"/>
              </w:rPr>
              <w:t>M</w:t>
            </w:r>
            <w:r>
              <w:rPr>
                <w:rFonts w:ascii="Arial" w:cs="Arial" w:eastAsia="Arial" w:hAnsi="Arial"/>
                <w:sz w:val="14"/>
                <w:szCs w:val="14"/>
                <w:color w:val="auto"/>
                <w:w w:val="98"/>
              </w:rPr>
              <w:t>OTION</w:t>
            </w:r>
            <w:r>
              <w:rPr>
                <w:rFonts w:ascii="Arial" w:cs="Arial" w:eastAsia="Arial" w:hAnsi="Arial"/>
                <w:sz w:val="18"/>
                <w:szCs w:val="18"/>
                <w:color w:val="auto"/>
                <w:w w:val="98"/>
              </w:rPr>
              <w:t xml:space="preserve"> P</w:t>
            </w:r>
            <w:r>
              <w:rPr>
                <w:rFonts w:ascii="Arial" w:cs="Arial" w:eastAsia="Arial" w:hAnsi="Arial"/>
                <w:sz w:val="14"/>
                <w:szCs w:val="14"/>
                <w:color w:val="auto"/>
                <w:w w:val="98"/>
              </w:rPr>
              <w:t>ICTURES</w:t>
            </w:r>
            <w:r>
              <w:rPr>
                <w:rFonts w:ascii="Arial" w:cs="Arial" w:eastAsia="Arial" w:hAnsi="Arial"/>
                <w:sz w:val="18"/>
                <w:szCs w:val="18"/>
                <w:color w:val="auto"/>
                <w:w w:val="98"/>
              </w:rPr>
              <w:t>,</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8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UESTEX</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11/04/2014</w:t>
            </w: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9.56%</w:t>
            </w: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L+650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12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AINT</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.(5)</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05/15/2015</w:t>
            </w:r>
          </w:p>
        </w:tc>
        <w:tc>
          <w:tcPr>
            <w:tcW w:w="1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RANSPORTATION</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10.82%</w:t>
            </w: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L+775</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10,000,000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9,941,689</w:t>
            </w:r>
          </w:p>
        </w:tc>
        <w:tc>
          <w:tcPr>
            <w:tcW w:w="2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3,975,000</w:t>
            </w: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AINT</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.(5)</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05/15/2017</w:t>
            </w: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RANSPORTATION</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12.50%</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19,000,000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16,381,661</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7,742,500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12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HERIDAN</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06/15/2015</w:t>
            </w:r>
          </w:p>
        </w:tc>
        <w:tc>
          <w:tcPr>
            <w:tcW w:w="1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9.81%*</w:t>
            </w: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L+575</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12,500,000</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11,788,635</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9,375,000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Basis</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Point</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Spread</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60" w:type="dxa"/>
            <w:vAlign w:val="bottom"/>
            <w:vMerge w:val="restart"/>
          </w:tcPr>
          <w:p>
            <w:pPr>
              <w:spacing w:after="0"/>
              <w:rPr>
                <w:sz w:val="20"/>
                <w:szCs w:val="20"/>
                <w:color w:val="auto"/>
              </w:rPr>
            </w:pPr>
            <w:r>
              <w:rPr>
                <w:rFonts w:ascii="Arial" w:cs="Arial" w:eastAsia="Arial" w:hAnsi="Arial"/>
                <w:sz w:val="13"/>
                <w:szCs w:val="13"/>
                <w:b w:val="1"/>
                <w:bCs w:val="1"/>
                <w:color w:val="auto"/>
                <w:w w:val="89"/>
              </w:rPr>
              <w:t>Issuer name</w:t>
            </w:r>
            <w:r>
              <w:rPr>
                <w:rFonts w:ascii="Arial" w:cs="Arial" w:eastAsia="Arial" w:hAnsi="Arial"/>
                <w:sz w:val="22"/>
                <w:szCs w:val="22"/>
                <w:b w:val="1"/>
                <w:bCs w:val="1"/>
                <w:color w:val="auto"/>
                <w:w w:val="89"/>
                <w:vertAlign w:val="superscript"/>
              </w:rPr>
              <w:t>(1)</w:t>
            </w:r>
          </w:p>
        </w:tc>
        <w:tc>
          <w:tcPr>
            <w:tcW w:w="2700" w:type="dxa"/>
            <w:vAlign w:val="bottom"/>
            <w:vMerge w:val="restart"/>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3"/>
              </w:rPr>
              <w:t>Current</w:t>
            </w:r>
          </w:p>
        </w:tc>
        <w:tc>
          <w:tcPr>
            <w:tcW w:w="6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Above</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ind w:right="174"/>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22"/>
                <w:szCs w:val="22"/>
                <w:b w:val="1"/>
                <w:bCs w:val="1"/>
                <w:color w:val="auto"/>
                <w:vertAlign w:val="superscript"/>
              </w:rPr>
              <w:t>(2)</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60" w:type="dxa"/>
            <w:vAlign w:val="bottom"/>
            <w:tcBorders>
              <w:bottom w:val="single" w:sz="8" w:color="auto"/>
            </w:tcBorders>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Maturity</w:t>
            </w:r>
          </w:p>
        </w:tc>
        <w:tc>
          <w:tcPr>
            <w:tcW w:w="18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20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Coupon</w:t>
            </w:r>
          </w:p>
        </w:tc>
        <w:tc>
          <w:tcPr>
            <w:tcW w:w="440" w:type="dxa"/>
            <w:vAlign w:val="bottom"/>
          </w:tcPr>
          <w:p>
            <w:pPr>
              <w:spacing w:after="0"/>
              <w:rPr>
                <w:sz w:val="15"/>
                <w:szCs w:val="15"/>
                <w:color w:val="auto"/>
              </w:rPr>
            </w:pPr>
          </w:p>
        </w:tc>
        <w:tc>
          <w:tcPr>
            <w:tcW w:w="5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(3)</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rPr>
              <w:t>Par</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Second Lien Secured Debt - (Continued)</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PECIALIZED</w:t>
            </w:r>
            <w:r>
              <w:rPr>
                <w:rFonts w:ascii="Arial" w:cs="Arial" w:eastAsia="Arial" w:hAnsi="Arial"/>
                <w:sz w:val="18"/>
                <w:szCs w:val="18"/>
                <w:color w:val="auto"/>
              </w:rPr>
              <w:t xml:space="preserve"> T</w:t>
            </w:r>
            <w:r>
              <w:rPr>
                <w:rFonts w:ascii="Arial" w:cs="Arial" w:eastAsia="Arial" w:hAnsi="Arial"/>
                <w:sz w:val="14"/>
                <w:szCs w:val="14"/>
                <w:color w:val="auto"/>
              </w:rPr>
              <w:t>ECHNOLOGY</w:t>
            </w:r>
            <w:r>
              <w:rPr>
                <w:rFonts w:ascii="Arial" w:cs="Arial" w:eastAsia="Arial" w:hAnsi="Arial"/>
                <w:sz w:val="18"/>
                <w:szCs w:val="18"/>
                <w:color w:val="auto"/>
              </w:rPr>
              <w:t xml:space="preserve"> R</w:t>
            </w:r>
            <w:r>
              <w:rPr>
                <w:rFonts w:ascii="Arial" w:cs="Arial" w:eastAsia="Arial" w:hAnsi="Arial"/>
                <w:sz w:val="14"/>
                <w:szCs w:val="14"/>
                <w:color w:val="auto"/>
              </w:rPr>
              <w:t>ESOURCES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12/15/2014</w:t>
            </w:r>
          </w:p>
        </w:tc>
        <w:tc>
          <w:tcPr>
            <w:tcW w:w="1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HEMICAL</w:t>
            </w:r>
            <w:r>
              <w:rPr>
                <w:rFonts w:ascii="Arial" w:cs="Arial" w:eastAsia="Arial" w:hAnsi="Arial"/>
                <w:sz w:val="18"/>
                <w:szCs w:val="18"/>
                <w:color w:val="auto"/>
              </w:rPr>
              <w:t>,</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9.70%*</w:t>
            </w: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L+700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22,500,000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22,484,756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21,600,000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8"/>
              </w:rPr>
              <w:t>P</w:t>
            </w:r>
            <w:r>
              <w:rPr>
                <w:rFonts w:ascii="Arial" w:cs="Arial" w:eastAsia="Arial" w:hAnsi="Arial"/>
                <w:sz w:val="14"/>
                <w:szCs w:val="14"/>
                <w:color w:val="auto"/>
                <w:w w:val="98"/>
              </w:rPr>
              <w:t>LASTICS</w:t>
            </w:r>
            <w:r>
              <w:rPr>
                <w:rFonts w:ascii="Arial" w:cs="Arial" w:eastAsia="Arial" w:hAnsi="Arial"/>
                <w:sz w:val="18"/>
                <w:szCs w:val="18"/>
                <w:color w:val="auto"/>
                <w:w w:val="98"/>
              </w:rPr>
              <w:t xml:space="preserve"> &amp; R</w:t>
            </w:r>
            <w:r>
              <w:rPr>
                <w:rFonts w:ascii="Arial" w:cs="Arial" w:eastAsia="Arial" w:hAnsi="Arial"/>
                <w:sz w:val="14"/>
                <w:szCs w:val="14"/>
                <w:color w:val="auto"/>
                <w:w w:val="98"/>
              </w:rPr>
              <w:t>UBBER</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RANSFIRST</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06/15/2015</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8.70%*</w:t>
            </w:r>
          </w:p>
        </w:tc>
        <w:tc>
          <w:tcPr>
            <w:tcW w:w="6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4"/>
              </w:rPr>
              <w:t>L+600</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13,000,000</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12,893,473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Total Second Lien Secured Debt</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131,350,000</w:t>
            </w: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127,098,402</w:t>
            </w: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100,620,750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REFERRED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 0.4%</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87"/>
              </w:rPr>
              <w:t>Shares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CFHC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 , C</w:t>
            </w:r>
            <w:r>
              <w:rPr>
                <w:rFonts w:ascii="Arial" w:cs="Arial" w:eastAsia="Arial" w:hAnsi="Arial"/>
                <w:sz w:val="14"/>
                <w:szCs w:val="14"/>
                <w:color w:val="auto"/>
              </w:rPr>
              <w:t>LASS</w:t>
            </w:r>
            <w:r>
              <w:rPr>
                <w:rFonts w:ascii="Arial" w:cs="Arial" w:eastAsia="Arial" w:hAnsi="Arial"/>
                <w:sz w:val="18"/>
                <w:szCs w:val="18"/>
                <w:color w:val="auto"/>
              </w:rPr>
              <w:t xml:space="preserve"> A</w:t>
            </w:r>
          </w:p>
        </w:tc>
        <w:tc>
          <w:tcPr>
            <w:tcW w:w="88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EROSPACE</w:t>
            </w:r>
            <w:r>
              <w:rPr>
                <w:rFonts w:ascii="Arial" w:cs="Arial" w:eastAsia="Arial" w:hAnsi="Arial"/>
                <w:sz w:val="18"/>
                <w:szCs w:val="18"/>
                <w:color w:val="auto"/>
                <w:w w:val="97"/>
              </w:rPr>
              <w:t xml:space="preserve"> &amp;</w:t>
            </w:r>
          </w:p>
        </w:tc>
        <w:tc>
          <w:tcPr>
            <w:tcW w:w="1100" w:type="dxa"/>
            <w:vAlign w:val="bottom"/>
            <w:gridSpan w:val="3"/>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12.00%*</w:t>
            </w:r>
          </w:p>
        </w:tc>
        <w:tc>
          <w:tcPr>
            <w:tcW w:w="68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784,000</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784,000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ONSOLIDATED</w:t>
            </w:r>
            <w:r>
              <w:rPr>
                <w:rFonts w:ascii="Arial" w:cs="Arial" w:eastAsia="Arial" w:hAnsi="Arial"/>
                <w:sz w:val="18"/>
                <w:szCs w:val="18"/>
                <w:color w:val="auto"/>
              </w:rPr>
              <w:t xml:space="preserve"> F</w:t>
            </w:r>
            <w:r>
              <w:rPr>
                <w:rFonts w:ascii="Arial" w:cs="Arial" w:eastAsia="Arial" w:hAnsi="Arial"/>
                <w:sz w:val="14"/>
                <w:szCs w:val="14"/>
                <w:color w:val="auto"/>
              </w:rPr>
              <w:t>OUNDRIES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w:t>
            </w:r>
            <w:r>
              <w:rPr>
                <w:rFonts w:ascii="Arial" w:cs="Arial" w:eastAsia="Arial" w:hAnsi="Arial"/>
                <w:sz w:val="14"/>
                <w:szCs w:val="14"/>
                <w:color w:val="auto"/>
                <w:w w:val="95"/>
              </w:rPr>
              <w:t>EFENSE</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Total Preferred Equity</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784,000</w:t>
            </w:r>
          </w:p>
        </w:tc>
        <w:tc>
          <w:tcPr>
            <w:tcW w:w="1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784,000</w:t>
            </w:r>
          </w:p>
        </w:tc>
        <w:tc>
          <w:tcPr>
            <w:tcW w:w="0" w:type="dxa"/>
            <w:vAlign w:val="bottom"/>
          </w:tcPr>
          <w:p>
            <w:pPr>
              <w:spacing w:after="0"/>
              <w:rPr>
                <w:sz w:val="1"/>
                <w:szCs w:val="1"/>
                <w:color w:val="auto"/>
              </w:rPr>
            </w:pPr>
          </w:p>
        </w:tc>
      </w:tr>
      <w:tr>
        <w:trPr>
          <w:trHeight w:val="116"/>
        </w:trPr>
        <w:tc>
          <w:tcPr>
            <w:tcW w:w="86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/P</w:t>
            </w:r>
            <w:r>
              <w:rPr>
                <w:rFonts w:ascii="Arial" w:cs="Arial" w:eastAsia="Arial" w:hAnsi="Arial"/>
                <w:sz w:val="14"/>
                <w:szCs w:val="14"/>
                <w:b w:val="1"/>
                <w:bCs w:val="1"/>
                <w:color w:val="auto"/>
              </w:rPr>
              <w:t>ARTNERSHIP</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NTERESTS</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 xml:space="preserve"> – 3.6%</w:t>
            </w: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6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CFHC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 (C</w:t>
            </w:r>
            <w:r>
              <w:rPr>
                <w:rFonts w:ascii="Arial" w:cs="Arial" w:eastAsia="Arial" w:hAnsi="Arial"/>
                <w:sz w:val="14"/>
                <w:szCs w:val="14"/>
                <w:color w:val="auto"/>
              </w:rPr>
              <w:t>ONSOLIDATED</w:t>
            </w:r>
          </w:p>
        </w:tc>
        <w:tc>
          <w:tcPr>
            <w:tcW w:w="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EROSPACE</w:t>
            </w:r>
            <w:r>
              <w:rPr>
                <w:rFonts w:ascii="Arial" w:cs="Arial" w:eastAsia="Arial" w:hAnsi="Arial"/>
                <w:sz w:val="18"/>
                <w:szCs w:val="18"/>
                <w:color w:val="auto"/>
                <w:w w:val="97"/>
              </w:rPr>
              <w:t xml:space="preserve"> &amp;</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16,000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OUNDRIES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w:t>
            </w:r>
            <w:r>
              <w:rPr>
                <w:rFonts w:ascii="Arial" w:cs="Arial" w:eastAsia="Arial" w:hAnsi="Arial"/>
                <w:sz w:val="14"/>
                <w:szCs w:val="14"/>
                <w:color w:val="auto"/>
                <w:w w:val="95"/>
              </w:rPr>
              <w:t>EFENSE</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560" w:type="dxa"/>
            <w:vAlign w:val="bottom"/>
            <w:gridSpan w:val="2"/>
          </w:tcPr>
          <w:p>
            <w:pPr>
              <w:spacing w:after="0"/>
              <w:rPr>
                <w:sz w:val="20"/>
                <w:szCs w:val="20"/>
                <w:color w:val="auto"/>
              </w:rPr>
            </w:pPr>
            <w:r>
              <w:rPr>
                <w:rFonts w:ascii="Arial" w:cs="Arial" w:eastAsia="Arial" w:hAnsi="Arial"/>
                <w:sz w:val="18"/>
                <w:szCs w:val="18"/>
                <w:color w:val="auto"/>
              </w:rPr>
              <w:t>NCP-P</w:t>
            </w:r>
            <w:r>
              <w:rPr>
                <w:rFonts w:ascii="Arial" w:cs="Arial" w:eastAsia="Arial" w:hAnsi="Arial"/>
                <w:sz w:val="14"/>
                <w:szCs w:val="14"/>
                <w:color w:val="auto"/>
              </w:rPr>
              <w:t>ERFORMANCE</w:t>
            </w:r>
            <w:r>
              <w:rPr>
                <w:rFonts w:ascii="Arial" w:cs="Arial" w:eastAsia="Arial" w:hAnsi="Arial"/>
                <w:sz w:val="18"/>
                <w:szCs w:val="18"/>
                <w:color w:val="auto"/>
              </w:rPr>
              <w:t xml:space="preserve"> (P</w:t>
            </w:r>
            <w:r>
              <w:rPr>
                <w:rFonts w:ascii="Arial" w:cs="Arial" w:eastAsia="Arial" w:hAnsi="Arial"/>
                <w:sz w:val="14"/>
                <w:szCs w:val="14"/>
                <w:color w:val="auto"/>
              </w:rPr>
              <w:t>ERFORMANCE</w:t>
            </w:r>
          </w:p>
        </w:tc>
        <w:tc>
          <w:tcPr>
            <w:tcW w:w="880" w:type="dxa"/>
            <w:vAlign w:val="bottom"/>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8"/>
              </w:rPr>
              <w:t>L</w:t>
            </w:r>
            <w:r>
              <w:rPr>
                <w:rFonts w:ascii="Arial" w:cs="Arial" w:eastAsia="Arial" w:hAnsi="Arial"/>
                <w:sz w:val="14"/>
                <w:szCs w:val="14"/>
                <w:color w:val="auto"/>
                <w:w w:val="98"/>
              </w:rPr>
              <w:t>EISURE</w:t>
            </w:r>
            <w:r>
              <w:rPr>
                <w:rFonts w:ascii="Arial" w:cs="Arial" w:eastAsia="Arial" w:hAnsi="Arial"/>
                <w:sz w:val="18"/>
                <w:szCs w:val="18"/>
                <w:color w:val="auto"/>
                <w:w w:val="98"/>
              </w:rPr>
              <w:t>,</w:t>
            </w:r>
          </w:p>
        </w:tc>
        <w:tc>
          <w:tcPr>
            <w:tcW w:w="200" w:type="dxa"/>
            <w:vAlign w:val="bottom"/>
          </w:tcPr>
          <w:p>
            <w:pPr>
              <w:spacing w:after="0"/>
              <w:rPr>
                <w:sz w:val="24"/>
                <w:szCs w:val="24"/>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37,500</w:t>
            </w:r>
          </w:p>
        </w:tc>
        <w:tc>
          <w:tcPr>
            <w:tcW w:w="10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3,750,000</w:t>
            </w:r>
          </w:p>
        </w:tc>
        <w:tc>
          <w:tcPr>
            <w:tcW w:w="1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2,511,876</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20"/>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MUSEMENT</w:t>
            </w: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8"/>
              </w:rPr>
              <w:t>M</w:t>
            </w:r>
            <w:r>
              <w:rPr>
                <w:rFonts w:ascii="Arial" w:cs="Arial" w:eastAsia="Arial" w:hAnsi="Arial"/>
                <w:sz w:val="14"/>
                <w:szCs w:val="14"/>
                <w:color w:val="auto"/>
                <w:w w:val="98"/>
              </w:rPr>
              <w:t>OTION</w:t>
            </w:r>
            <w:r>
              <w:rPr>
                <w:rFonts w:ascii="Arial" w:cs="Arial" w:eastAsia="Arial" w:hAnsi="Arial"/>
                <w:sz w:val="18"/>
                <w:szCs w:val="18"/>
                <w:color w:val="auto"/>
                <w:w w:val="98"/>
              </w:rPr>
              <w:t xml:space="preserve"> P</w:t>
            </w:r>
            <w:r>
              <w:rPr>
                <w:rFonts w:ascii="Arial" w:cs="Arial" w:eastAsia="Arial" w:hAnsi="Arial"/>
                <w:sz w:val="14"/>
                <w:szCs w:val="14"/>
                <w:color w:val="auto"/>
                <w:w w:val="98"/>
              </w:rPr>
              <w:t>ICTURES</w:t>
            </w:r>
            <w:r>
              <w:rPr>
                <w:rFonts w:ascii="Arial" w:cs="Arial" w:eastAsia="Arial" w:hAnsi="Arial"/>
                <w:sz w:val="18"/>
                <w:szCs w:val="18"/>
                <w:color w:val="auto"/>
                <w:w w:val="98"/>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P</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tc>
        <w:tc>
          <w:tcPr>
            <w:tcW w:w="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IL</w:t>
            </w:r>
            <w:r>
              <w:rPr>
                <w:rFonts w:ascii="Arial" w:cs="Arial" w:eastAsia="Arial" w:hAnsi="Arial"/>
                <w:sz w:val="18"/>
                <w:szCs w:val="18"/>
                <w:color w:val="auto"/>
                <w:w w:val="99"/>
              </w:rPr>
              <w:t xml:space="preserve"> &amp; G</w:t>
            </w:r>
            <w:r>
              <w:rPr>
                <w:rFonts w:ascii="Arial" w:cs="Arial" w:eastAsia="Arial" w:hAnsi="Arial"/>
                <w:sz w:val="14"/>
                <w:szCs w:val="14"/>
                <w:color w:val="auto"/>
                <w:w w:val="99"/>
              </w:rPr>
              <w:t>AS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91,608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2,500,000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3,548,690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3560" w:type="dxa"/>
            <w:vAlign w:val="bottom"/>
            <w:gridSpan w:val="2"/>
          </w:tcPr>
          <w:p>
            <w:pPr>
              <w:spacing w:after="0"/>
              <w:rPr>
                <w:sz w:val="20"/>
                <w:szCs w:val="20"/>
                <w:color w:val="auto"/>
              </w:rPr>
            </w:pPr>
            <w:r>
              <w:rPr>
                <w:rFonts w:ascii="Arial" w:cs="Arial" w:eastAsia="Arial" w:hAnsi="Arial"/>
                <w:sz w:val="18"/>
                <w:szCs w:val="18"/>
                <w:color w:val="auto"/>
              </w:rPr>
              <w:t>AHC M</w:t>
            </w:r>
            <w:r>
              <w:rPr>
                <w:rFonts w:ascii="Arial" w:cs="Arial" w:eastAsia="Arial" w:hAnsi="Arial"/>
                <w:sz w:val="14"/>
                <w:szCs w:val="14"/>
                <w:color w:val="auto"/>
              </w:rPr>
              <w:t>EZZANINE</w:t>
            </w:r>
            <w:r>
              <w:rPr>
                <w:rFonts w:ascii="Arial" w:cs="Arial" w:eastAsia="Arial" w:hAnsi="Arial"/>
                <w:sz w:val="18"/>
                <w:szCs w:val="18"/>
                <w:color w:val="auto"/>
              </w:rPr>
              <w:t xml:space="preserve"> (A</w:t>
            </w:r>
            <w:r>
              <w:rPr>
                <w:rFonts w:ascii="Arial" w:cs="Arial" w:eastAsia="Arial" w:hAnsi="Arial"/>
                <w:sz w:val="14"/>
                <w:szCs w:val="14"/>
                <w:color w:val="auto"/>
              </w:rPr>
              <w:t>DVANSTAR</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80" w:type="dxa"/>
            <w:vAlign w:val="bottom"/>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200" w:type="dxa"/>
            <w:vAlign w:val="bottom"/>
          </w:tcPr>
          <w:p>
            <w:pPr>
              <w:spacing w:after="0"/>
              <w:rPr>
                <w:sz w:val="24"/>
                <w:szCs w:val="24"/>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3,000,000</w:t>
            </w:r>
          </w:p>
        </w:tc>
        <w:tc>
          <w:tcPr>
            <w:tcW w:w="1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1,701,231</w:t>
            </w:r>
          </w:p>
        </w:tc>
        <w:tc>
          <w:tcPr>
            <w:tcW w:w="0" w:type="dxa"/>
            <w:vAlign w:val="bottom"/>
          </w:tcPr>
          <w:p>
            <w:pPr>
              <w:spacing w:after="0"/>
              <w:rPr>
                <w:sz w:val="1"/>
                <w:szCs w:val="1"/>
                <w:color w:val="auto"/>
              </w:rPr>
            </w:pPr>
          </w:p>
        </w:tc>
      </w:tr>
      <w:tr>
        <w:trPr>
          <w:trHeight w:val="116"/>
        </w:trPr>
        <w:tc>
          <w:tcPr>
            <w:tcW w:w="86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Total Common Equity/Partnership Interests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133,708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9,266,000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7,777,797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First Lien Secured Debt –</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60" w:type="dxa"/>
            <w:vAlign w:val="bottom"/>
          </w:tcPr>
          <w:p>
            <w:pPr>
              <w:spacing w:after="0"/>
              <w:rPr>
                <w:sz w:val="20"/>
                <w:szCs w:val="20"/>
                <w:color w:val="auto"/>
              </w:rPr>
            </w:pPr>
            <w:r>
              <w:rPr>
                <w:rFonts w:ascii="Arial" w:cs="Arial" w:eastAsia="Arial" w:hAnsi="Arial"/>
                <w:sz w:val="18"/>
                <w:szCs w:val="18"/>
                <w:b w:val="1"/>
                <w:bCs w:val="1"/>
                <w:color w:val="auto"/>
              </w:rPr>
              <w:t>62.0%</w:t>
            </w:r>
          </w:p>
        </w:tc>
        <w:tc>
          <w:tcPr>
            <w:tcW w:w="2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rPr>
              <w:t>Par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ERRY</w:t>
            </w:r>
            <w:r>
              <w:rPr>
                <w:rFonts w:ascii="Arial" w:cs="Arial" w:eastAsia="Arial" w:hAnsi="Arial"/>
                <w:sz w:val="18"/>
                <w:szCs w:val="18"/>
                <w:color w:val="auto"/>
              </w:rPr>
              <w:t xml:space="preserve"> P</w:t>
            </w:r>
            <w:r>
              <w:rPr>
                <w:rFonts w:ascii="Arial" w:cs="Arial" w:eastAsia="Arial" w:hAnsi="Arial"/>
                <w:sz w:val="14"/>
                <w:szCs w:val="14"/>
                <w:color w:val="auto"/>
              </w:rPr>
              <w:t>LASTICS</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04/03/2015</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8"/>
              </w:rPr>
              <w:t>C</w:t>
            </w:r>
            <w:r>
              <w:rPr>
                <w:rFonts w:ascii="Arial" w:cs="Arial" w:eastAsia="Arial" w:hAnsi="Arial"/>
                <w:sz w:val="14"/>
                <w:szCs w:val="14"/>
                <w:color w:val="auto"/>
                <w:w w:val="98"/>
              </w:rPr>
              <w:t>ONTAINERS</w:t>
            </w:r>
            <w:r>
              <w:rPr>
                <w:rFonts w:ascii="Arial" w:cs="Arial" w:eastAsia="Arial" w:hAnsi="Arial"/>
                <w:sz w:val="18"/>
                <w:szCs w:val="18"/>
                <w:color w:val="auto"/>
                <w:w w:val="98"/>
              </w:rPr>
              <w:t>,</w:t>
            </w:r>
          </w:p>
        </w:tc>
        <w:tc>
          <w:tcPr>
            <w:tcW w:w="1100" w:type="dxa"/>
            <w:vAlign w:val="bottom"/>
            <w:gridSpan w:val="3"/>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5.10%</w:t>
            </w:r>
          </w:p>
        </w:tc>
        <w:tc>
          <w:tcPr>
            <w:tcW w:w="68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4"/>
              </w:rPr>
              <w:t>L+200</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7,425,000</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7,425,000</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6,309,186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ACKAGING</w:t>
            </w:r>
            <w:r>
              <w:rPr>
                <w:rFonts w:ascii="Arial" w:cs="Arial" w:eastAsia="Arial" w:hAnsi="Arial"/>
                <w:sz w:val="18"/>
                <w:szCs w:val="18"/>
                <w:color w:val="auto"/>
              </w:rPr>
              <w:t xml:space="preserve"> &amp;</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G</w:t>
            </w:r>
            <w:r>
              <w:rPr>
                <w:rFonts w:ascii="Arial" w:cs="Arial" w:eastAsia="Arial" w:hAnsi="Arial"/>
                <w:sz w:val="14"/>
                <w:szCs w:val="14"/>
                <w:color w:val="auto"/>
                <w:w w:val="96"/>
              </w:rPr>
              <w:t>LASS</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56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RAND</w:t>
            </w:r>
            <w:r>
              <w:rPr>
                <w:rFonts w:ascii="Arial" w:cs="Arial" w:eastAsia="Arial" w:hAnsi="Arial"/>
                <w:sz w:val="18"/>
                <w:szCs w:val="18"/>
                <w:color w:val="auto"/>
              </w:rPr>
              <w:t xml:space="preserve"> E</w:t>
            </w:r>
            <w:r>
              <w:rPr>
                <w:rFonts w:ascii="Arial" w:cs="Arial" w:eastAsia="Arial" w:hAnsi="Arial"/>
                <w:sz w:val="14"/>
                <w:szCs w:val="14"/>
                <w:color w:val="auto"/>
              </w:rPr>
              <w:t>NERGY</w:t>
            </w:r>
            <w:r>
              <w:rPr>
                <w:rFonts w:ascii="Arial" w:cs="Arial" w:eastAsia="Arial" w:hAnsi="Arial"/>
                <w:sz w:val="18"/>
                <w:szCs w:val="18"/>
                <w:color w:val="auto"/>
              </w:rPr>
              <w:t xml:space="preserve"> &amp; I</w:t>
            </w:r>
            <w:r>
              <w:rPr>
                <w:rFonts w:ascii="Arial" w:cs="Arial" w:eastAsia="Arial" w:hAnsi="Arial"/>
                <w:sz w:val="14"/>
                <w:szCs w:val="14"/>
                <w:color w:val="auto"/>
              </w:rPr>
              <w:t>NFRASTRUCTURE</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02/07/2014</w:t>
            </w:r>
          </w:p>
        </w:tc>
        <w:tc>
          <w:tcPr>
            <w:tcW w:w="18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NERGY</w:t>
            </w:r>
            <w:r>
              <w:rPr>
                <w:rFonts w:ascii="Arial" w:cs="Arial" w:eastAsia="Arial" w:hAnsi="Arial"/>
                <w:sz w:val="18"/>
                <w:szCs w:val="18"/>
                <w:color w:val="auto"/>
              </w:rPr>
              <w:t xml:space="preserve"> /U</w:t>
            </w:r>
            <w:r>
              <w:rPr>
                <w:rFonts w:ascii="Arial" w:cs="Arial" w:eastAsia="Arial" w:hAnsi="Arial"/>
                <w:sz w:val="14"/>
                <w:szCs w:val="14"/>
                <w:color w:val="auto"/>
              </w:rPr>
              <w:t>TILITIES</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5.03%</w:t>
            </w: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L+225</w:t>
            </w:r>
          </w:p>
        </w:tc>
        <w:tc>
          <w:tcPr>
            <w:tcW w:w="10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1,980,000</w:t>
            </w:r>
          </w:p>
        </w:tc>
        <w:tc>
          <w:tcPr>
            <w:tcW w:w="10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1,980,000</w:t>
            </w:r>
          </w:p>
        </w:tc>
        <w:tc>
          <w:tcPr>
            <w:tcW w:w="1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1,841,400</w:t>
            </w:r>
          </w:p>
        </w:tc>
        <w:tc>
          <w:tcPr>
            <w:tcW w:w="0" w:type="dxa"/>
            <w:vAlign w:val="bottom"/>
          </w:tcPr>
          <w:p>
            <w:pPr>
              <w:spacing w:after="0"/>
              <w:rPr>
                <w:sz w:val="1"/>
                <w:szCs w:val="1"/>
                <w:color w:val="auto"/>
              </w:rPr>
            </w:pPr>
          </w:p>
        </w:tc>
      </w:tr>
      <w:tr>
        <w:trPr>
          <w:trHeight w:val="222"/>
        </w:trPr>
        <w:tc>
          <w:tcPr>
            <w:tcW w:w="3560" w:type="dxa"/>
            <w:vAlign w:val="bottom"/>
            <w:gridSpan w:val="2"/>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URLINGTON</w:t>
            </w:r>
            <w:r>
              <w:rPr>
                <w:rFonts w:ascii="Arial" w:cs="Arial" w:eastAsia="Arial" w:hAnsi="Arial"/>
                <w:sz w:val="18"/>
                <w:szCs w:val="18"/>
                <w:color w:val="auto"/>
              </w:rPr>
              <w:t xml:space="preserve"> C</w:t>
            </w:r>
            <w:r>
              <w:rPr>
                <w:rFonts w:ascii="Arial" w:cs="Arial" w:eastAsia="Arial" w:hAnsi="Arial"/>
                <w:sz w:val="14"/>
                <w:szCs w:val="14"/>
                <w:color w:val="auto"/>
              </w:rPr>
              <w:t>OAT</w:t>
            </w:r>
            <w:r>
              <w:rPr>
                <w:rFonts w:ascii="Arial" w:cs="Arial" w:eastAsia="Arial" w:hAnsi="Arial"/>
                <w:sz w:val="18"/>
                <w:szCs w:val="18"/>
                <w:color w:val="auto"/>
              </w:rPr>
              <w:t xml:space="preserve"> F</w:t>
            </w:r>
            <w:r>
              <w:rPr>
                <w:rFonts w:ascii="Arial" w:cs="Arial" w:eastAsia="Arial" w:hAnsi="Arial"/>
                <w:sz w:val="14"/>
                <w:szCs w:val="14"/>
                <w:color w:val="auto"/>
              </w:rPr>
              <w:t>ACTORY</w:t>
            </w:r>
            <w:r>
              <w:rPr>
                <w:rFonts w:ascii="Arial" w:cs="Arial" w:eastAsia="Arial" w:hAnsi="Arial"/>
                <w:sz w:val="18"/>
                <w:szCs w:val="18"/>
                <w:color w:val="auto"/>
              </w:rPr>
              <w:t xml:space="preserve"> W</w:t>
            </w:r>
            <w:r>
              <w:rPr>
                <w:rFonts w:ascii="Arial" w:cs="Arial" w:eastAsia="Arial" w:hAnsi="Arial"/>
                <w:sz w:val="14"/>
                <w:szCs w:val="14"/>
                <w:color w:val="auto"/>
              </w:rPr>
              <w:t>AREHOUSE</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05/28/2013</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R</w:t>
            </w:r>
            <w:r>
              <w:rPr>
                <w:rFonts w:ascii="Arial" w:cs="Arial" w:eastAsia="Arial" w:hAnsi="Arial"/>
                <w:sz w:val="14"/>
                <w:szCs w:val="14"/>
                <w:color w:val="auto"/>
                <w:w w:val="96"/>
              </w:rPr>
              <w:t>ETAIL</w:t>
            </w:r>
            <w:r>
              <w:rPr>
                <w:rFonts w:ascii="Arial" w:cs="Arial" w:eastAsia="Arial" w:hAnsi="Arial"/>
                <w:sz w:val="18"/>
                <w:szCs w:val="18"/>
                <w:color w:val="auto"/>
                <w:w w:val="96"/>
              </w:rPr>
              <w:t xml:space="preserve"> S</w:t>
            </w:r>
            <w:r>
              <w:rPr>
                <w:rFonts w:ascii="Arial" w:cs="Arial" w:eastAsia="Arial" w:hAnsi="Arial"/>
                <w:sz w:val="14"/>
                <w:szCs w:val="14"/>
                <w:color w:val="auto"/>
                <w:w w:val="96"/>
              </w:rPr>
              <w:t>TORE</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5.34%</w:t>
            </w:r>
          </w:p>
        </w:tc>
        <w:tc>
          <w:tcPr>
            <w:tcW w:w="6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4"/>
              </w:rPr>
              <w:t>L+225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7,896,473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7,888,328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6,556,544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ORP</w:t>
            </w: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56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HARTER</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03/06/2014</w:t>
            </w:r>
          </w:p>
        </w:tc>
        <w:tc>
          <w:tcPr>
            <w:tcW w:w="18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ABLE</w:t>
            </w:r>
            <w:r>
              <w:rPr>
                <w:rFonts w:ascii="Arial" w:cs="Arial" w:eastAsia="Arial" w:hAnsi="Arial"/>
                <w:sz w:val="18"/>
                <w:szCs w:val="18"/>
                <w:color w:val="auto"/>
              </w:rPr>
              <w:t xml:space="preserve"> T</w:t>
            </w:r>
            <w:r>
              <w:rPr>
                <w:rFonts w:ascii="Arial" w:cs="Arial" w:eastAsia="Arial" w:hAnsi="Arial"/>
                <w:sz w:val="14"/>
                <w:szCs w:val="14"/>
                <w:color w:val="auto"/>
              </w:rPr>
              <w:t>ELEVISION</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5.26%</w:t>
            </w: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L+200</w:t>
            </w:r>
          </w:p>
        </w:tc>
        <w:tc>
          <w:tcPr>
            <w:tcW w:w="10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14,962,500</w:t>
            </w:r>
          </w:p>
        </w:tc>
        <w:tc>
          <w:tcPr>
            <w:tcW w:w="10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14,955,821</w:t>
            </w:r>
          </w:p>
        </w:tc>
        <w:tc>
          <w:tcPr>
            <w:tcW w:w="1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12,627,722</w:t>
            </w:r>
          </w:p>
        </w:tc>
        <w:tc>
          <w:tcPr>
            <w:tcW w:w="0" w:type="dxa"/>
            <w:vAlign w:val="bottom"/>
          </w:tcPr>
          <w:p>
            <w:pPr>
              <w:spacing w:after="0"/>
              <w:rPr>
                <w:sz w:val="1"/>
                <w:szCs w:val="1"/>
                <w:color w:val="auto"/>
              </w:rPr>
            </w:pPr>
          </w:p>
        </w:tc>
      </w:tr>
      <w:tr>
        <w:trPr>
          <w:trHeight w:val="222"/>
        </w:trPr>
        <w:tc>
          <w:tcPr>
            <w:tcW w:w="3560" w:type="dxa"/>
            <w:vAlign w:val="bottom"/>
            <w:gridSpan w:val="2"/>
          </w:tcPr>
          <w:p>
            <w:pPr>
              <w:ind w:left="220"/>
              <w:spacing w:after="0"/>
              <w:rPr>
                <w:sz w:val="20"/>
                <w:szCs w:val="20"/>
                <w:color w:val="auto"/>
              </w:rPr>
            </w:pPr>
            <w:r>
              <w:rPr>
                <w:rFonts w:ascii="Arial" w:cs="Arial" w:eastAsia="Arial" w:hAnsi="Arial"/>
                <w:sz w:val="18"/>
                <w:szCs w:val="18"/>
                <w:color w:val="auto"/>
              </w:rPr>
              <w:t>L.L.C.</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Basis</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Point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Spread</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60" w:type="dxa"/>
            <w:vAlign w:val="bottom"/>
            <w:vMerge w:val="restart"/>
          </w:tcPr>
          <w:p>
            <w:pPr>
              <w:spacing w:after="0"/>
              <w:rPr>
                <w:sz w:val="20"/>
                <w:szCs w:val="20"/>
                <w:color w:val="auto"/>
              </w:rPr>
            </w:pPr>
            <w:r>
              <w:rPr>
                <w:rFonts w:ascii="Arial" w:cs="Arial" w:eastAsia="Arial" w:hAnsi="Arial"/>
                <w:sz w:val="13"/>
                <w:szCs w:val="13"/>
                <w:b w:val="1"/>
                <w:bCs w:val="1"/>
                <w:color w:val="auto"/>
                <w:w w:val="89"/>
              </w:rPr>
              <w:t>Issuer name</w:t>
            </w:r>
            <w:r>
              <w:rPr>
                <w:rFonts w:ascii="Arial" w:cs="Arial" w:eastAsia="Arial" w:hAnsi="Arial"/>
                <w:sz w:val="22"/>
                <w:szCs w:val="22"/>
                <w:b w:val="1"/>
                <w:bCs w:val="1"/>
                <w:color w:val="auto"/>
                <w:w w:val="89"/>
                <w:vertAlign w:val="superscript"/>
              </w:rPr>
              <w:t>(1)</w:t>
            </w:r>
          </w:p>
        </w:tc>
        <w:tc>
          <w:tcPr>
            <w:tcW w:w="3040" w:type="dxa"/>
            <w:vAlign w:val="bottom"/>
            <w:vMerge w:val="restart"/>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7"/>
              </w:rPr>
              <w:t>Current</w:t>
            </w: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Above</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860" w:type="dxa"/>
            <w:vAlign w:val="bottom"/>
            <w:vMerge w:val="continue"/>
          </w:tcPr>
          <w:p>
            <w:pPr>
              <w:spacing w:after="0"/>
              <w:rPr>
                <w:sz w:val="15"/>
                <w:szCs w:val="15"/>
                <w:color w:val="auto"/>
              </w:rPr>
            </w:pPr>
          </w:p>
        </w:tc>
        <w:tc>
          <w:tcPr>
            <w:tcW w:w="3040" w:type="dxa"/>
            <w:vAlign w:val="bottom"/>
            <w:vMerge w:val="continue"/>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Maturity</w:t>
            </w:r>
          </w:p>
        </w:tc>
        <w:tc>
          <w:tcPr>
            <w:tcW w:w="22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2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93"/>
              </w:rPr>
              <w:t>Coupon</w:t>
            </w:r>
          </w:p>
        </w:tc>
        <w:tc>
          <w:tcPr>
            <w:tcW w:w="360" w:type="dxa"/>
            <w:vAlign w:val="bottom"/>
          </w:tcPr>
          <w:p>
            <w:pPr>
              <w:spacing w:after="0"/>
              <w:rPr>
                <w:sz w:val="15"/>
                <w:szCs w:val="15"/>
                <w:color w:val="auto"/>
              </w:rPr>
            </w:pPr>
          </w:p>
        </w:tc>
        <w:tc>
          <w:tcPr>
            <w:tcW w:w="620" w:type="dxa"/>
            <w:vAlign w:val="bottom"/>
            <w:gridSpan w:val="2"/>
          </w:tcPr>
          <w:p>
            <w:pPr>
              <w:jc w:val="center"/>
              <w:ind w:right="120"/>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(3)</w:t>
            </w:r>
          </w:p>
        </w:tc>
        <w:tc>
          <w:tcPr>
            <w:tcW w:w="100" w:type="dxa"/>
            <w:vAlign w:val="bottom"/>
          </w:tcPr>
          <w:p>
            <w:pPr>
              <w:spacing w:after="0"/>
              <w:rPr>
                <w:sz w:val="15"/>
                <w:szCs w:val="15"/>
                <w:color w:val="auto"/>
              </w:rPr>
            </w:pPr>
          </w:p>
        </w:tc>
        <w:tc>
          <w:tcPr>
            <w:tcW w:w="1020" w:type="dxa"/>
            <w:vAlign w:val="bottom"/>
            <w:gridSpan w:val="2"/>
          </w:tcPr>
          <w:p>
            <w:pPr>
              <w:ind w:left="300"/>
              <w:spacing w:after="0"/>
              <w:rPr>
                <w:sz w:val="20"/>
                <w:szCs w:val="20"/>
                <w:color w:val="auto"/>
              </w:rPr>
            </w:pPr>
            <w:r>
              <w:rPr>
                <w:rFonts w:ascii="Arial" w:cs="Arial" w:eastAsia="Arial" w:hAnsi="Arial"/>
                <w:sz w:val="13"/>
                <w:szCs w:val="13"/>
                <w:b w:val="1"/>
                <w:bCs w:val="1"/>
                <w:color w:val="auto"/>
              </w:rPr>
              <w:t>Par</w:t>
            </w:r>
          </w:p>
        </w:tc>
        <w:tc>
          <w:tcPr>
            <w:tcW w:w="780" w:type="dxa"/>
            <w:vAlign w:val="bottom"/>
          </w:tcPr>
          <w:p>
            <w:pPr>
              <w:jc w:val="right"/>
              <w:ind w:right="173"/>
              <w:spacing w:after="0"/>
              <w:rPr>
                <w:sz w:val="20"/>
                <w:szCs w:val="20"/>
                <w:color w:val="auto"/>
              </w:rPr>
            </w:pPr>
            <w:r>
              <w:rPr>
                <w:rFonts w:ascii="Arial" w:cs="Arial" w:eastAsia="Arial" w:hAnsi="Arial"/>
                <w:sz w:val="13"/>
                <w:szCs w:val="13"/>
                <w:b w:val="1"/>
                <w:bCs w:val="1"/>
                <w:color w:val="auto"/>
              </w:rPr>
              <w:t>Cost</w:t>
            </w:r>
          </w:p>
        </w:tc>
        <w:tc>
          <w:tcPr>
            <w:tcW w:w="2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First Lien Secured Debt—(Continued)</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90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OHR</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01/31/2013</w:t>
            </w:r>
          </w:p>
        </w:tc>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EALTHCARE</w:t>
            </w:r>
            <w:r>
              <w:rPr>
                <w:rFonts w:ascii="Arial" w:cs="Arial" w:eastAsia="Arial" w:hAnsi="Arial"/>
                <w:sz w:val="18"/>
                <w:szCs w:val="18"/>
                <w:color w:val="auto"/>
                <w:w w:val="99"/>
              </w:rPr>
              <w:t>,</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5.59%</w:t>
            </w:r>
          </w:p>
        </w:tc>
        <w:tc>
          <w:tcPr>
            <w:tcW w:w="6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L+250</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w w:val="97"/>
              </w:rPr>
              <w:t>$2,970,000</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$2,970,000</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$1,871,100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ATEHOUSE</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08/28/2014</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EDIA</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5.43%</w:t>
            </w:r>
          </w:p>
        </w:tc>
        <w:tc>
          <w:tcPr>
            <w:tcW w:w="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L+200</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7,000,000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7,000,000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90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ENERAL</w:t>
            </w:r>
            <w:r>
              <w:rPr>
                <w:rFonts w:ascii="Arial" w:cs="Arial" w:eastAsia="Arial" w:hAnsi="Arial"/>
                <w:sz w:val="18"/>
                <w:szCs w:val="18"/>
                <w:color w:val="auto"/>
              </w:rPr>
              <w:t xml:space="preserve"> N</w:t>
            </w:r>
            <w:r>
              <w:rPr>
                <w:rFonts w:ascii="Arial" w:cs="Arial" w:eastAsia="Arial" w:hAnsi="Arial"/>
                <w:sz w:val="14"/>
                <w:szCs w:val="14"/>
                <w:color w:val="auto"/>
              </w:rPr>
              <w:t>UTRITION</w:t>
            </w:r>
            <w:r>
              <w:rPr>
                <w:rFonts w:ascii="Arial" w:cs="Arial" w:eastAsia="Arial" w:hAnsi="Arial"/>
                <w:sz w:val="18"/>
                <w:szCs w:val="18"/>
                <w:color w:val="auto"/>
              </w:rPr>
              <w:t xml:space="preserve"> C</w:t>
            </w:r>
            <w:r>
              <w:rPr>
                <w:rFonts w:ascii="Arial" w:cs="Arial" w:eastAsia="Arial" w:hAnsi="Arial"/>
                <w:sz w:val="14"/>
                <w:szCs w:val="14"/>
                <w:color w:val="auto"/>
              </w:rPr>
              <w:t>ENTERS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09/16/2013</w:t>
            </w:r>
          </w:p>
        </w:tc>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6"/>
              </w:rPr>
              <w:t>R</w:t>
            </w:r>
            <w:r>
              <w:rPr>
                <w:rFonts w:ascii="Arial" w:cs="Arial" w:eastAsia="Arial" w:hAnsi="Arial"/>
                <w:sz w:val="14"/>
                <w:szCs w:val="14"/>
                <w:color w:val="auto"/>
                <w:w w:val="96"/>
              </w:rPr>
              <w:t>ETAIL</w:t>
            </w:r>
            <w:r>
              <w:rPr>
                <w:rFonts w:ascii="Arial" w:cs="Arial" w:eastAsia="Arial" w:hAnsi="Arial"/>
                <w:sz w:val="18"/>
                <w:szCs w:val="18"/>
                <w:color w:val="auto"/>
                <w:w w:val="96"/>
              </w:rPr>
              <w:t xml:space="preserve"> S</w:t>
            </w:r>
            <w:r>
              <w:rPr>
                <w:rFonts w:ascii="Arial" w:cs="Arial" w:eastAsia="Arial" w:hAnsi="Arial"/>
                <w:sz w:val="14"/>
                <w:szCs w:val="14"/>
                <w:color w:val="auto"/>
                <w:w w:val="96"/>
              </w:rPr>
              <w:t>TORE</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5.86%</w:t>
            </w:r>
          </w:p>
        </w:tc>
        <w:tc>
          <w:tcPr>
            <w:tcW w:w="6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L+225</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6,435,000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6,438,701</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5,212,350</w:t>
            </w: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REATWIDE</w:t>
            </w:r>
            <w:r>
              <w:rPr>
                <w:rFonts w:ascii="Arial" w:cs="Arial" w:eastAsia="Arial" w:hAnsi="Arial"/>
                <w:sz w:val="18"/>
                <w:szCs w:val="18"/>
                <w:color w:val="auto"/>
              </w:rPr>
              <w:t xml:space="preserve"> L</w:t>
            </w:r>
            <w:r>
              <w:rPr>
                <w:rFonts w:ascii="Arial" w:cs="Arial" w:eastAsia="Arial" w:hAnsi="Arial"/>
                <w:sz w:val="14"/>
                <w:szCs w:val="14"/>
                <w:color w:val="auto"/>
              </w:rPr>
              <w:t>OGISTICS</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12/19/2013</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ARGO</w:t>
            </w:r>
            <w:r>
              <w:rPr>
                <w:rFonts w:ascii="Arial" w:cs="Arial" w:eastAsia="Arial" w:hAnsi="Arial"/>
                <w:sz w:val="18"/>
                <w:szCs w:val="18"/>
                <w:color w:val="auto"/>
                <w:w w:val="97"/>
              </w:rPr>
              <w:t xml:space="preserve"> T</w:t>
            </w:r>
            <w:r>
              <w:rPr>
                <w:rFonts w:ascii="Arial" w:cs="Arial" w:eastAsia="Arial" w:hAnsi="Arial"/>
                <w:sz w:val="14"/>
                <w:szCs w:val="14"/>
                <w:color w:val="auto"/>
                <w:w w:val="97"/>
              </w:rPr>
              <w:t>RANSPORT</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6.20%</w:t>
            </w:r>
          </w:p>
        </w:tc>
        <w:tc>
          <w:tcPr>
            <w:tcW w:w="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L+350</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6,912,500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6,912,500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5,391,750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90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ANLEY</w:t>
            </w:r>
            <w:r>
              <w:rPr>
                <w:rFonts w:ascii="Arial" w:cs="Arial" w:eastAsia="Arial" w:hAnsi="Arial"/>
                <w:sz w:val="18"/>
                <w:szCs w:val="18"/>
                <w:color w:val="auto"/>
              </w:rPr>
              <w:t>-W</w:t>
            </w:r>
            <w:r>
              <w:rPr>
                <w:rFonts w:ascii="Arial" w:cs="Arial" w:eastAsia="Arial" w:hAnsi="Arial"/>
                <w:sz w:val="14"/>
                <w:szCs w:val="14"/>
                <w:color w:val="auto"/>
              </w:rPr>
              <w:t>OOD</w:t>
            </w:r>
            <w:r>
              <w:rPr>
                <w:rFonts w:ascii="Arial" w:cs="Arial" w:eastAsia="Arial" w:hAnsi="Arial"/>
                <w:sz w:val="18"/>
                <w:szCs w:val="18"/>
                <w:color w:val="auto"/>
              </w:rPr>
              <w:t>, L.L.C.</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03/08/2014</w:t>
            </w:r>
          </w:p>
        </w:tc>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6.74%</w:t>
            </w:r>
          </w:p>
        </w:tc>
        <w:tc>
          <w:tcPr>
            <w:tcW w:w="6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L+225</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8,955,000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8,955,000</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6,626,700</w:t>
            </w: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AWKER</w:t>
            </w:r>
            <w:r>
              <w:rPr>
                <w:rFonts w:ascii="Arial" w:cs="Arial" w:eastAsia="Arial" w:hAnsi="Arial"/>
                <w:sz w:val="18"/>
                <w:szCs w:val="18"/>
                <w:color w:val="auto"/>
              </w:rPr>
              <w:t xml:space="preserve"> B</w:t>
            </w:r>
            <w:r>
              <w:rPr>
                <w:rFonts w:ascii="Arial" w:cs="Arial" w:eastAsia="Arial" w:hAnsi="Arial"/>
                <w:sz w:val="14"/>
                <w:szCs w:val="14"/>
                <w:color w:val="auto"/>
              </w:rPr>
              <w:t>EECHCRAFT</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03/28/2014</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EROSPACE</w:t>
            </w:r>
            <w:r>
              <w:rPr>
                <w:rFonts w:ascii="Arial" w:cs="Arial" w:eastAsia="Arial" w:hAnsi="Arial"/>
                <w:sz w:val="18"/>
                <w:szCs w:val="18"/>
                <w:color w:val="auto"/>
                <w:w w:val="97"/>
              </w:rPr>
              <w:t xml:space="preserve"> &amp;</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4.91%</w:t>
            </w:r>
          </w:p>
        </w:tc>
        <w:tc>
          <w:tcPr>
            <w:tcW w:w="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L+200</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1,931,915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1,931,915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1,796,078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0" w:type="dxa"/>
            <w:vAlign w:val="bottom"/>
            <w:shd w:val="clear" w:color="auto" w:fill="CCEEFF"/>
          </w:tcPr>
          <w:p>
            <w:pPr>
              <w:spacing w:after="0"/>
              <w:rPr>
                <w:sz w:val="19"/>
                <w:szCs w:val="19"/>
                <w:color w:val="auto"/>
              </w:rPr>
            </w:pPr>
          </w:p>
        </w:tc>
        <w:tc>
          <w:tcPr>
            <w:tcW w:w="30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w:t>
            </w:r>
            <w:r>
              <w:rPr>
                <w:rFonts w:ascii="Arial" w:cs="Arial" w:eastAsia="Arial" w:hAnsi="Arial"/>
                <w:sz w:val="14"/>
                <w:szCs w:val="14"/>
                <w:color w:val="auto"/>
                <w:w w:val="95"/>
              </w:rPr>
              <w:t>EFENSE</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90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w:t>
            </w:r>
            <w:r>
              <w:rPr>
                <w:rFonts w:ascii="Arial" w:cs="Arial" w:eastAsia="Arial" w:hAnsi="Arial"/>
                <w:sz w:val="18"/>
                <w:szCs w:val="18"/>
                <w:color w:val="auto"/>
              </w:rPr>
              <w:t xml:space="preserve"> M</w:t>
            </w:r>
            <w:r>
              <w:rPr>
                <w:rFonts w:ascii="Arial" w:cs="Arial" w:eastAsia="Arial" w:hAnsi="Arial"/>
                <w:sz w:val="14"/>
                <w:szCs w:val="14"/>
                <w:color w:val="auto"/>
              </w:rPr>
              <w:t>ANAGEMENT</w:t>
            </w:r>
            <w:r>
              <w:rPr>
                <w:rFonts w:ascii="Arial" w:cs="Arial" w:eastAsia="Arial" w:hAnsi="Arial"/>
                <w:sz w:val="18"/>
                <w:szCs w:val="18"/>
                <w:color w:val="auto"/>
              </w:rPr>
              <w:t xml:space="preserve"> A</w:t>
            </w:r>
            <w:r>
              <w:rPr>
                <w:rFonts w:ascii="Arial" w:cs="Arial" w:eastAsia="Arial" w:hAnsi="Arial"/>
                <w:sz w:val="14"/>
                <w:szCs w:val="14"/>
                <w:color w:val="auto"/>
              </w:rPr>
              <w:t>SSOCIATES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02/28/2014</w:t>
            </w:r>
          </w:p>
        </w:tc>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EALTHCARE</w:t>
            </w:r>
            <w:r>
              <w:rPr>
                <w:rFonts w:ascii="Arial" w:cs="Arial" w:eastAsia="Arial" w:hAnsi="Arial"/>
                <w:sz w:val="18"/>
                <w:szCs w:val="18"/>
                <w:color w:val="auto"/>
                <w:w w:val="99"/>
              </w:rPr>
              <w:t>,</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4.45%</w:t>
            </w:r>
          </w:p>
        </w:tc>
        <w:tc>
          <w:tcPr>
            <w:tcW w:w="6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L+175</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9,718,182</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9,718,182</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8,388,006</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UGHES</w:t>
            </w:r>
            <w:r>
              <w:rPr>
                <w:rFonts w:ascii="Arial" w:cs="Arial" w:eastAsia="Arial" w:hAnsi="Arial"/>
                <w:sz w:val="18"/>
                <w:szCs w:val="18"/>
                <w:color w:val="auto"/>
              </w:rPr>
              <w:t xml:space="preserve"> N</w:t>
            </w:r>
            <w:r>
              <w:rPr>
                <w:rFonts w:ascii="Arial" w:cs="Arial" w:eastAsia="Arial" w:hAnsi="Arial"/>
                <w:sz w:val="14"/>
                <w:szCs w:val="14"/>
                <w:color w:val="auto"/>
              </w:rPr>
              <w:t>ETWORK</w:t>
            </w:r>
            <w:r>
              <w:rPr>
                <w:rFonts w:ascii="Arial" w:cs="Arial" w:eastAsia="Arial" w:hAnsi="Arial"/>
                <w:sz w:val="18"/>
                <w:szCs w:val="18"/>
                <w:color w:val="auto"/>
              </w:rPr>
              <w:t xml:space="preserve"> S</w:t>
            </w:r>
            <w:r>
              <w:rPr>
                <w:rFonts w:ascii="Arial" w:cs="Arial" w:eastAsia="Arial" w:hAnsi="Arial"/>
                <w:sz w:val="14"/>
                <w:szCs w:val="14"/>
                <w:color w:val="auto"/>
              </w:rPr>
              <w:t>YSTEMS</w:t>
            </w:r>
            <w:r>
              <w:rPr>
                <w:rFonts w:ascii="Arial" w:cs="Arial" w:eastAsia="Arial" w:hAnsi="Arial"/>
                <w:sz w:val="18"/>
                <w:szCs w:val="18"/>
                <w:color w:val="auto"/>
              </w:rPr>
              <w:t>, L.L.C.</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04/15/2014</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5.63%</w:t>
            </w:r>
          </w:p>
        </w:tc>
        <w:tc>
          <w:tcPr>
            <w:tcW w:w="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L+250</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5,000,000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5,000,000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900" w:type="dxa"/>
            <w:vAlign w:val="bottom"/>
            <w:gridSpan w:val="2"/>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ACUZZI</w:t>
            </w:r>
            <w:r>
              <w:rPr>
                <w:rFonts w:ascii="Arial" w:cs="Arial" w:eastAsia="Arial" w:hAnsi="Arial"/>
                <w:sz w:val="18"/>
                <w:szCs w:val="18"/>
                <w:color w:val="auto"/>
              </w:rPr>
              <w:t xml:space="preserve"> B</w:t>
            </w:r>
            <w:r>
              <w:rPr>
                <w:rFonts w:ascii="Arial" w:cs="Arial" w:eastAsia="Arial" w:hAnsi="Arial"/>
                <w:sz w:val="14"/>
                <w:szCs w:val="14"/>
                <w:color w:val="auto"/>
              </w:rPr>
              <w:t>RANDS</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02/07/2014</w:t>
            </w:r>
          </w:p>
        </w:tc>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5.45%</w:t>
            </w:r>
          </w:p>
        </w:tc>
        <w:tc>
          <w:tcPr>
            <w:tcW w:w="6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L+225</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9,927,027</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9,927,027</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7,882,059</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8"/>
              </w:rPr>
              <w:t>F</w:t>
            </w:r>
            <w:r>
              <w:rPr>
                <w:rFonts w:ascii="Arial" w:cs="Arial" w:eastAsia="Arial" w:hAnsi="Arial"/>
                <w:sz w:val="14"/>
                <w:szCs w:val="14"/>
                <w:color w:val="auto"/>
                <w:w w:val="98"/>
              </w:rPr>
              <w:t>URNISHINGS</w:t>
            </w:r>
            <w:r>
              <w:rPr>
                <w:rFonts w:ascii="Arial" w:cs="Arial" w:eastAsia="Arial" w:hAnsi="Arial"/>
                <w:sz w:val="18"/>
                <w:szCs w:val="18"/>
                <w:color w:val="auto"/>
                <w:w w:val="98"/>
              </w:rPr>
              <w:t>,</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6"/>
              </w:rPr>
              <w:t>H</w:t>
            </w:r>
            <w:r>
              <w:rPr>
                <w:rFonts w:ascii="Arial" w:cs="Arial" w:eastAsia="Arial" w:hAnsi="Arial"/>
                <w:sz w:val="14"/>
                <w:szCs w:val="14"/>
                <w:color w:val="auto"/>
                <w:w w:val="96"/>
              </w:rPr>
              <w:t>OUSEWARES</w:t>
            </w:r>
            <w:r>
              <w:rPr>
                <w:rFonts w:ascii="Arial" w:cs="Arial" w:eastAsia="Arial" w:hAnsi="Arial"/>
                <w:sz w:val="18"/>
                <w:szCs w:val="18"/>
                <w:color w:val="auto"/>
                <w:w w:val="96"/>
              </w:rPr>
              <w:t>, &amp;</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URABLE</w:t>
            </w:r>
            <w:r>
              <w:rPr>
                <w:rFonts w:ascii="Arial" w:cs="Arial" w:eastAsia="Arial" w:hAnsi="Arial"/>
                <w:sz w:val="18"/>
                <w:szCs w:val="18"/>
                <w:color w:val="auto"/>
                <w:w w:val="99"/>
              </w:rPr>
              <w:t xml:space="preserve"> C</w:t>
            </w:r>
            <w:r>
              <w:rPr>
                <w:rFonts w:ascii="Arial" w:cs="Arial" w:eastAsia="Arial" w:hAnsi="Arial"/>
                <w:sz w:val="14"/>
                <w:szCs w:val="14"/>
                <w:color w:val="auto"/>
                <w:w w:val="99"/>
              </w:rPr>
              <w:t>ONSUMER</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EVLAD</w:t>
            </w:r>
            <w:r>
              <w:rPr>
                <w:rFonts w:ascii="Arial" w:cs="Arial" w:eastAsia="Arial" w:hAnsi="Arial"/>
                <w:sz w:val="18"/>
                <w:szCs w:val="18"/>
                <w:color w:val="auto"/>
              </w:rPr>
              <w:t>, L.L.C.</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03/08/2014</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5.05%</w:t>
            </w:r>
          </w:p>
        </w:tc>
        <w:tc>
          <w:tcPr>
            <w:tcW w:w="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L+225</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4,818,584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4,818,584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2,939,336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90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ONGVIEW</w:t>
            </w:r>
            <w:r>
              <w:rPr>
                <w:rFonts w:ascii="Arial" w:cs="Arial" w:eastAsia="Arial" w:hAnsi="Arial"/>
                <w:sz w:val="18"/>
                <w:szCs w:val="18"/>
                <w:color w:val="auto"/>
              </w:rPr>
              <w:t xml:space="preserve"> P</w:t>
            </w:r>
            <w:r>
              <w:rPr>
                <w:rFonts w:ascii="Arial" w:cs="Arial" w:eastAsia="Arial" w:hAnsi="Arial"/>
                <w:sz w:val="14"/>
                <w:szCs w:val="14"/>
                <w:color w:val="auto"/>
              </w:rPr>
              <w:t>OWER</w:t>
            </w:r>
            <w:r>
              <w:rPr>
                <w:rFonts w:ascii="Arial" w:cs="Arial" w:eastAsia="Arial" w:hAnsi="Arial"/>
                <w:sz w:val="18"/>
                <w:szCs w:val="18"/>
                <w:color w:val="auto"/>
              </w:rPr>
              <w:t>, L.L.C.</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02/28/2014</w:t>
            </w:r>
          </w:p>
        </w:tc>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4.98%</w:t>
            </w:r>
          </w:p>
        </w:tc>
        <w:tc>
          <w:tcPr>
            <w:tcW w:w="6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L+225</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3,000,000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3,000,000</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2,550,000</w:t>
            </w: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ACH</w:t>
            </w:r>
            <w:r>
              <w:rPr>
                <w:rFonts w:ascii="Arial" w:cs="Arial" w:eastAsia="Arial" w:hAnsi="Arial"/>
                <w:sz w:val="18"/>
                <w:szCs w:val="18"/>
                <w:color w:val="auto"/>
              </w:rPr>
              <w:t xml:space="preserve"> G</w:t>
            </w:r>
            <w:r>
              <w:rPr>
                <w:rFonts w:ascii="Arial" w:cs="Arial" w:eastAsia="Arial" w:hAnsi="Arial"/>
                <w:sz w:val="14"/>
                <w:szCs w:val="14"/>
                <w:color w:val="auto"/>
              </w:rPr>
              <w:t>EN</w:t>
            </w:r>
            <w:r>
              <w:rPr>
                <w:rFonts w:ascii="Arial" w:cs="Arial" w:eastAsia="Arial" w:hAnsi="Arial"/>
                <w:sz w:val="18"/>
                <w:szCs w:val="18"/>
                <w:color w:val="auto"/>
              </w:rPr>
              <w:t>, L.L.C.</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02/22/2014</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5.06%</w:t>
            </w:r>
          </w:p>
        </w:tc>
        <w:tc>
          <w:tcPr>
            <w:tcW w:w="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L+200</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3,949,309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3,948,139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3,643,237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90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ATTRESS</w:t>
            </w:r>
            <w:r>
              <w:rPr>
                <w:rFonts w:ascii="Arial" w:cs="Arial" w:eastAsia="Arial" w:hAnsi="Arial"/>
                <w:sz w:val="18"/>
                <w:szCs w:val="18"/>
                <w:color w:val="auto"/>
              </w:rPr>
              <w:t xml:space="preserve"> H</w:t>
            </w:r>
            <w:r>
              <w:rPr>
                <w:rFonts w:ascii="Arial" w:cs="Arial" w:eastAsia="Arial" w:hAnsi="Arial"/>
                <w:sz w:val="14"/>
                <w:szCs w:val="14"/>
                <w:color w:val="auto"/>
              </w:rPr>
              <w:t>OLDING</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01/18/2014</w:t>
            </w:r>
          </w:p>
        </w:tc>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5.50%</w:t>
            </w:r>
          </w:p>
        </w:tc>
        <w:tc>
          <w:tcPr>
            <w:tcW w:w="6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L+225</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3,970,050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3,970,050</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2,659,934</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8"/>
              </w:rPr>
              <w:t>F</w:t>
            </w:r>
            <w:r>
              <w:rPr>
                <w:rFonts w:ascii="Arial" w:cs="Arial" w:eastAsia="Arial" w:hAnsi="Arial"/>
                <w:sz w:val="14"/>
                <w:szCs w:val="14"/>
                <w:color w:val="auto"/>
                <w:w w:val="98"/>
              </w:rPr>
              <w:t>URNISHINGS</w:t>
            </w:r>
            <w:r>
              <w:rPr>
                <w:rFonts w:ascii="Arial" w:cs="Arial" w:eastAsia="Arial" w:hAnsi="Arial"/>
                <w:sz w:val="18"/>
                <w:szCs w:val="18"/>
                <w:color w:val="auto"/>
                <w:w w:val="98"/>
              </w:rPr>
              <w:t>,</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6"/>
              </w:rPr>
              <w:t>H</w:t>
            </w:r>
            <w:r>
              <w:rPr>
                <w:rFonts w:ascii="Arial" w:cs="Arial" w:eastAsia="Arial" w:hAnsi="Arial"/>
                <w:sz w:val="14"/>
                <w:szCs w:val="14"/>
                <w:color w:val="auto"/>
                <w:w w:val="96"/>
              </w:rPr>
              <w:t>OUSEWARES</w:t>
            </w:r>
            <w:r>
              <w:rPr>
                <w:rFonts w:ascii="Arial" w:cs="Arial" w:eastAsia="Arial" w:hAnsi="Arial"/>
                <w:sz w:val="18"/>
                <w:szCs w:val="18"/>
                <w:color w:val="auto"/>
                <w:w w:val="96"/>
              </w:rPr>
              <w:t>, &amp;</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URABLE</w:t>
            </w:r>
            <w:r>
              <w:rPr>
                <w:rFonts w:ascii="Arial" w:cs="Arial" w:eastAsia="Arial" w:hAnsi="Arial"/>
                <w:sz w:val="18"/>
                <w:szCs w:val="18"/>
                <w:color w:val="auto"/>
                <w:w w:val="99"/>
              </w:rPr>
              <w:t xml:space="preserve"> C</w:t>
            </w:r>
            <w:r>
              <w:rPr>
                <w:rFonts w:ascii="Arial" w:cs="Arial" w:eastAsia="Arial" w:hAnsi="Arial"/>
                <w:sz w:val="14"/>
                <w:szCs w:val="14"/>
                <w:color w:val="auto"/>
                <w:w w:val="99"/>
              </w:rPr>
              <w:t>ONSUMER</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ITCHELL</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03/28/2014</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B</w:t>
            </w:r>
            <w:r>
              <w:rPr>
                <w:rFonts w:ascii="Arial" w:cs="Arial" w:eastAsia="Arial" w:hAnsi="Arial"/>
                <w:sz w:val="14"/>
                <w:szCs w:val="14"/>
                <w:color w:val="auto"/>
                <w:w w:val="96"/>
              </w:rPr>
              <w:t>USINESS</w:t>
            </w:r>
            <w:r>
              <w:rPr>
                <w:rFonts w:ascii="Arial" w:cs="Arial" w:eastAsia="Arial" w:hAnsi="Arial"/>
                <w:sz w:val="18"/>
                <w:szCs w:val="18"/>
                <w:color w:val="auto"/>
                <w:w w:val="96"/>
              </w:rPr>
              <w:t xml:space="preserve"> S</w:t>
            </w:r>
            <w:r>
              <w:rPr>
                <w:rFonts w:ascii="Arial" w:cs="Arial" w:eastAsia="Arial" w:hAnsi="Arial"/>
                <w:sz w:val="14"/>
                <w:szCs w:val="14"/>
                <w:color w:val="auto"/>
                <w:w w:val="96"/>
              </w:rPr>
              <w:t>ERVICES</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4.67%</w:t>
            </w:r>
          </w:p>
        </w:tc>
        <w:tc>
          <w:tcPr>
            <w:tcW w:w="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L+200</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3,960,000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3,960,000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3,484,800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90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ATIONAL</w:t>
            </w:r>
            <w:r>
              <w:rPr>
                <w:rFonts w:ascii="Arial" w:cs="Arial" w:eastAsia="Arial" w:hAnsi="Arial"/>
                <w:sz w:val="18"/>
                <w:szCs w:val="18"/>
                <w:color w:val="auto"/>
              </w:rPr>
              <w:t xml:space="preserve"> B</w:t>
            </w:r>
            <w:r>
              <w:rPr>
                <w:rFonts w:ascii="Arial" w:cs="Arial" w:eastAsia="Arial" w:hAnsi="Arial"/>
                <w:sz w:val="14"/>
                <w:szCs w:val="14"/>
                <w:color w:val="auto"/>
              </w:rPr>
              <w:t>EDDING</w:t>
            </w:r>
            <w:r>
              <w:rPr>
                <w:rFonts w:ascii="Arial" w:cs="Arial" w:eastAsia="Arial" w:hAnsi="Arial"/>
                <w:sz w:val="18"/>
                <w:szCs w:val="18"/>
                <w:color w:val="auto"/>
              </w:rPr>
              <w:t xml:space="preserve"> C</w:t>
            </w:r>
            <w:r>
              <w:rPr>
                <w:rFonts w:ascii="Arial" w:cs="Arial" w:eastAsia="Arial" w:hAnsi="Arial"/>
                <w:sz w:val="14"/>
                <w:szCs w:val="14"/>
                <w:color w:val="auto"/>
              </w:rPr>
              <w:t>O</w:t>
            </w:r>
            <w:r>
              <w:rPr>
                <w:rFonts w:ascii="Arial" w:cs="Arial" w:eastAsia="Arial" w:hAnsi="Arial"/>
                <w:sz w:val="18"/>
                <w:szCs w:val="18"/>
                <w:color w:val="auto"/>
              </w:rPr>
              <w:t>., L.L.C.</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02/28/2013</w:t>
            </w:r>
          </w:p>
        </w:tc>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4.74%</w:t>
            </w:r>
          </w:p>
        </w:tc>
        <w:tc>
          <w:tcPr>
            <w:tcW w:w="6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L+200</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6,912,500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6,918,718</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5,633,688</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8"/>
              </w:rPr>
              <w:t>F</w:t>
            </w:r>
            <w:r>
              <w:rPr>
                <w:rFonts w:ascii="Arial" w:cs="Arial" w:eastAsia="Arial" w:hAnsi="Arial"/>
                <w:sz w:val="14"/>
                <w:szCs w:val="14"/>
                <w:color w:val="auto"/>
                <w:w w:val="98"/>
              </w:rPr>
              <w:t>URNISHINGS</w:t>
            </w:r>
            <w:r>
              <w:rPr>
                <w:rFonts w:ascii="Arial" w:cs="Arial" w:eastAsia="Arial" w:hAnsi="Arial"/>
                <w:sz w:val="18"/>
                <w:szCs w:val="18"/>
                <w:color w:val="auto"/>
                <w:w w:val="98"/>
              </w:rPr>
              <w:t>,</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6"/>
              </w:rPr>
              <w:t>H</w:t>
            </w:r>
            <w:r>
              <w:rPr>
                <w:rFonts w:ascii="Arial" w:cs="Arial" w:eastAsia="Arial" w:hAnsi="Arial"/>
                <w:sz w:val="14"/>
                <w:szCs w:val="14"/>
                <w:color w:val="auto"/>
                <w:w w:val="96"/>
              </w:rPr>
              <w:t>OUSEWARES</w:t>
            </w:r>
            <w:r>
              <w:rPr>
                <w:rFonts w:ascii="Arial" w:cs="Arial" w:eastAsia="Arial" w:hAnsi="Arial"/>
                <w:sz w:val="18"/>
                <w:szCs w:val="18"/>
                <w:color w:val="auto"/>
                <w:w w:val="96"/>
              </w:rPr>
              <w:t>, &amp;</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URABLE</w:t>
            </w:r>
            <w:r>
              <w:rPr>
                <w:rFonts w:ascii="Arial" w:cs="Arial" w:eastAsia="Arial" w:hAnsi="Arial"/>
                <w:sz w:val="18"/>
                <w:szCs w:val="18"/>
                <w:color w:val="auto"/>
                <w:w w:val="99"/>
              </w:rPr>
              <w:t xml:space="preserve"> C</w:t>
            </w:r>
            <w:r>
              <w:rPr>
                <w:rFonts w:ascii="Arial" w:cs="Arial" w:eastAsia="Arial" w:hAnsi="Arial"/>
                <w:sz w:val="14"/>
                <w:szCs w:val="14"/>
                <w:color w:val="auto"/>
                <w:w w:val="99"/>
              </w:rPr>
              <w:t>ONSUMER</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ENTON</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02/01/2013</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4.95%</w:t>
            </w:r>
          </w:p>
        </w:tc>
        <w:tc>
          <w:tcPr>
            <w:tcW w:w="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L+225</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4,950,000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4,950,000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3,762,000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8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800" w:type="dxa"/>
            <w:vAlign w:val="bottom"/>
            <w:gridSpan w:val="6"/>
          </w:tcPr>
          <w:p>
            <w:pPr>
              <w:jc w:val="center"/>
              <w:ind w:right="340"/>
              <w:spacing w:after="0"/>
              <w:rPr>
                <w:sz w:val="20"/>
                <w:szCs w:val="20"/>
                <w:color w:val="auto"/>
              </w:rPr>
            </w:pPr>
            <w:r>
              <w:rPr>
                <w:rFonts w:ascii="Arial" w:cs="Arial" w:eastAsia="Arial" w:hAnsi="Arial"/>
                <w:sz w:val="18"/>
                <w:szCs w:val="18"/>
                <w:color w:val="auto"/>
                <w:w w:val="93"/>
              </w:rPr>
              <w:t>SEE NOTES TO FINANCIAL STATEMENTS</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40" w:type="dxa"/>
            <w:vAlign w:val="bottom"/>
            <w:gridSpan w:val="2"/>
          </w:tcPr>
          <w:p>
            <w:pPr>
              <w:jc w:val="right"/>
              <w:ind w:right="893"/>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Basis</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Point</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Spread</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60" w:type="dxa"/>
            <w:vAlign w:val="bottom"/>
            <w:vMerge w:val="restart"/>
          </w:tcPr>
          <w:p>
            <w:pPr>
              <w:spacing w:after="0"/>
              <w:rPr>
                <w:sz w:val="20"/>
                <w:szCs w:val="20"/>
                <w:color w:val="auto"/>
              </w:rPr>
            </w:pPr>
            <w:r>
              <w:rPr>
                <w:rFonts w:ascii="Arial" w:cs="Arial" w:eastAsia="Arial" w:hAnsi="Arial"/>
                <w:sz w:val="13"/>
                <w:szCs w:val="13"/>
                <w:b w:val="1"/>
                <w:bCs w:val="1"/>
                <w:color w:val="auto"/>
                <w:w w:val="89"/>
              </w:rPr>
              <w:t>Issuer name</w:t>
            </w:r>
            <w:r>
              <w:rPr>
                <w:rFonts w:ascii="Arial" w:cs="Arial" w:eastAsia="Arial" w:hAnsi="Arial"/>
                <w:sz w:val="22"/>
                <w:szCs w:val="22"/>
                <w:b w:val="1"/>
                <w:bCs w:val="1"/>
                <w:color w:val="auto"/>
                <w:w w:val="89"/>
                <w:vertAlign w:val="superscript"/>
              </w:rPr>
              <w:t>(1)</w:t>
            </w:r>
          </w:p>
        </w:tc>
        <w:tc>
          <w:tcPr>
            <w:tcW w:w="2720" w:type="dxa"/>
            <w:vAlign w:val="bottom"/>
            <w:vMerge w:val="restart"/>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3"/>
              </w:rPr>
              <w:t>Current</w:t>
            </w:r>
          </w:p>
        </w:tc>
        <w:tc>
          <w:tcPr>
            <w:tcW w:w="7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Above</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restart"/>
          </w:tcPr>
          <w:p>
            <w:pPr>
              <w:jc w:val="right"/>
              <w:ind w:right="213"/>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22"/>
                <w:szCs w:val="22"/>
                <w:b w:val="1"/>
                <w:bCs w:val="1"/>
                <w:color w:val="auto"/>
                <w:vertAlign w:val="superscript"/>
              </w:rPr>
              <w:t>(2)</w:t>
            </w: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60" w:type="dxa"/>
            <w:vAlign w:val="bottom"/>
            <w:tcBorders>
              <w:bottom w:val="single" w:sz="8" w:color="auto"/>
            </w:tcBorders>
            <w:vMerge w:val="continue"/>
          </w:tcPr>
          <w:p>
            <w:pPr>
              <w:spacing w:after="0"/>
              <w:rPr>
                <w:sz w:val="15"/>
                <w:szCs w:val="15"/>
                <w:color w:val="auto"/>
              </w:rPr>
            </w:pPr>
          </w:p>
        </w:tc>
        <w:tc>
          <w:tcPr>
            <w:tcW w:w="2720" w:type="dxa"/>
            <w:vAlign w:val="bottom"/>
            <w:vMerge w:val="continue"/>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Maturity</w:t>
            </w:r>
          </w:p>
        </w:tc>
        <w:tc>
          <w:tcPr>
            <w:tcW w:w="20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Industry</w:t>
            </w:r>
          </w:p>
        </w:tc>
        <w:tc>
          <w:tcPr>
            <w:tcW w:w="20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Coupon</w:t>
            </w:r>
          </w:p>
        </w:tc>
        <w:tc>
          <w:tcPr>
            <w:tcW w:w="340" w:type="dxa"/>
            <w:vAlign w:val="bottom"/>
          </w:tcPr>
          <w:p>
            <w:pPr>
              <w:spacing w:after="0"/>
              <w:rPr>
                <w:sz w:val="15"/>
                <w:szCs w:val="15"/>
                <w:color w:val="auto"/>
              </w:rPr>
            </w:pPr>
          </w:p>
        </w:tc>
        <w:tc>
          <w:tcPr>
            <w:tcW w:w="5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(3)</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b w:val="1"/>
                <w:bCs w:val="1"/>
                <w:color w:val="auto"/>
              </w:rPr>
              <w:t>Par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First Lien Secured Debt - (Continued)</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58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HILOSOPHY</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03/16/2014</w:t>
            </w:r>
          </w:p>
        </w:tc>
        <w:tc>
          <w:tcPr>
            <w:tcW w:w="2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ONSUMER</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5.16%</w:t>
            </w:r>
          </w:p>
        </w:tc>
        <w:tc>
          <w:tcPr>
            <w:tcW w:w="7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L+200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1,482,133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1,482,133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1,215,349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UESTEX</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05/04/2014</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THER</w:t>
            </w:r>
            <w:r>
              <w:rPr>
                <w:rFonts w:ascii="Arial" w:cs="Arial" w:eastAsia="Arial" w:hAnsi="Arial"/>
                <w:sz w:val="18"/>
                <w:szCs w:val="18"/>
                <w:color w:val="auto"/>
                <w:w w:val="99"/>
              </w:rPr>
              <w:t xml:space="preserve"> M</w:t>
            </w:r>
            <w:r>
              <w:rPr>
                <w:rFonts w:ascii="Arial" w:cs="Arial" w:eastAsia="Arial" w:hAnsi="Arial"/>
                <w:sz w:val="14"/>
                <w:szCs w:val="14"/>
                <w:color w:val="auto"/>
                <w:w w:val="99"/>
              </w:rPr>
              <w:t>EDIA</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6.58%</w:t>
            </w:r>
          </w:p>
        </w:tc>
        <w:tc>
          <w:tcPr>
            <w:tcW w:w="7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L+300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4,949,167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4,949,167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4,528,487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58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EADER</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D</w:t>
            </w:r>
            <w:r>
              <w:rPr>
                <w:rFonts w:ascii="Arial" w:cs="Arial" w:eastAsia="Arial" w:hAnsi="Arial"/>
                <w:sz w:val="14"/>
                <w:szCs w:val="14"/>
                <w:color w:val="auto"/>
              </w:rPr>
              <w:t>IGEST</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03/02/2014</w:t>
            </w:r>
          </w:p>
        </w:tc>
        <w:tc>
          <w:tcPr>
            <w:tcW w:w="2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r>
              <w:rPr>
                <w:rFonts w:ascii="Arial" w:cs="Arial" w:eastAsia="Arial" w:hAnsi="Arial"/>
                <w:sz w:val="18"/>
                <w:szCs w:val="18"/>
                <w:color w:val="auto"/>
              </w:rPr>
              <w:t xml:space="preserve"> &amp;</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5.08%</w:t>
            </w:r>
          </w:p>
        </w:tc>
        <w:tc>
          <w:tcPr>
            <w:tcW w:w="7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L+200</w:t>
            </w:r>
          </w:p>
        </w:tc>
        <w:tc>
          <w:tcPr>
            <w:tcW w:w="10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990,000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990,000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810,810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UBLISHING</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EXNORD</w:t>
            </w:r>
            <w:r>
              <w:rPr>
                <w:rFonts w:ascii="Arial" w:cs="Arial" w:eastAsia="Arial" w:hAnsi="Arial"/>
                <w:sz w:val="18"/>
                <w:szCs w:val="18"/>
                <w:color w:val="auto"/>
              </w:rPr>
              <w:t xml:space="preserve"> , L.L.C.</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07/19/2013</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ANUFACTURING</w:t>
            </w:r>
            <w:r>
              <w:rPr>
                <w:rFonts w:ascii="Arial" w:cs="Arial" w:eastAsia="Arial" w:hAnsi="Arial"/>
                <w:sz w:val="18"/>
                <w:szCs w:val="18"/>
                <w:color w:val="auto"/>
              </w:rPr>
              <w:t>/</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5.33%</w:t>
            </w:r>
          </w:p>
        </w:tc>
        <w:tc>
          <w:tcPr>
            <w:tcW w:w="7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L+225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4,937,500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4,937,500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ASIC</w:t>
            </w:r>
            <w:r>
              <w:rPr>
                <w:rFonts w:ascii="Arial" w:cs="Arial" w:eastAsia="Arial" w:hAnsi="Arial"/>
                <w:sz w:val="18"/>
                <w:szCs w:val="18"/>
                <w:color w:val="auto"/>
              </w:rPr>
              <w:t xml:space="preserve"> I</w:t>
            </w:r>
            <w:r>
              <w:rPr>
                <w:rFonts w:ascii="Arial" w:cs="Arial" w:eastAsia="Arial" w:hAnsi="Arial"/>
                <w:sz w:val="14"/>
                <w:szCs w:val="14"/>
                <w:color w:val="auto"/>
              </w:rPr>
              <w:t>NDUSTRY</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5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ITEL</w:t>
            </w:r>
            <w:r>
              <w:rPr>
                <w:rFonts w:ascii="Arial" w:cs="Arial" w:eastAsia="Arial" w:hAnsi="Arial"/>
                <w:sz w:val="18"/>
                <w:szCs w:val="18"/>
                <w:color w:val="auto"/>
              </w:rPr>
              <w:t>, L.L.C.</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01/30/2014</w:t>
            </w:r>
          </w:p>
        </w:tc>
        <w:tc>
          <w:tcPr>
            <w:tcW w:w="2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B</w:t>
            </w:r>
            <w:r>
              <w:rPr>
                <w:rFonts w:ascii="Arial" w:cs="Arial" w:eastAsia="Arial" w:hAnsi="Arial"/>
                <w:sz w:val="14"/>
                <w:szCs w:val="14"/>
                <w:color w:val="auto"/>
                <w:w w:val="97"/>
              </w:rPr>
              <w:t>USINESS</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5.14%</w:t>
            </w:r>
          </w:p>
        </w:tc>
        <w:tc>
          <w:tcPr>
            <w:tcW w:w="7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L+250</w:t>
            </w:r>
          </w:p>
        </w:tc>
        <w:tc>
          <w:tcPr>
            <w:tcW w:w="10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2,867,302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2,867,302</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2,265,169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S</w:t>
            </w:r>
            <w:r>
              <w:rPr>
                <w:rFonts w:ascii="Arial" w:cs="Arial" w:eastAsia="Arial" w:hAnsi="Arial"/>
                <w:sz w:val="14"/>
                <w:szCs w:val="14"/>
                <w:color w:val="auto"/>
                <w:w w:val="92"/>
              </w:rPr>
              <w:t>ERVICES</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NIVISION</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09/29/2014</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ROADCASTING</w:t>
            </w:r>
            <w:r>
              <w:rPr>
                <w:rFonts w:ascii="Arial" w:cs="Arial" w:eastAsia="Arial" w:hAnsi="Arial"/>
                <w:sz w:val="18"/>
                <w:szCs w:val="18"/>
                <w:color w:val="auto"/>
              </w:rPr>
              <w:t xml:space="preserve"> &amp;</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5.48%</w:t>
            </w:r>
          </w:p>
        </w:tc>
        <w:tc>
          <w:tcPr>
            <w:tcW w:w="7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L+225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14,496,644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14,496,644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11,389,752</w:t>
            </w:r>
          </w:p>
        </w:tc>
        <w:tc>
          <w:tcPr>
            <w:tcW w:w="0" w:type="dxa"/>
            <w:vAlign w:val="bottom"/>
          </w:tcPr>
          <w:p>
            <w:pPr>
              <w:spacing w:after="0"/>
              <w:rPr>
                <w:sz w:val="1"/>
                <w:szCs w:val="1"/>
                <w:color w:val="auto"/>
              </w:rPr>
            </w:pPr>
          </w:p>
        </w:tc>
      </w:tr>
      <w:tr>
        <w:trPr>
          <w:trHeight w:val="224"/>
        </w:trPr>
        <w:tc>
          <w:tcPr>
            <w:tcW w:w="86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58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NIVISION</w:t>
            </w:r>
            <w:r>
              <w:rPr>
                <w:rFonts w:ascii="Arial" w:cs="Arial" w:eastAsia="Arial" w:hAnsi="Arial"/>
                <w:sz w:val="18"/>
                <w:szCs w:val="18"/>
                <w:color w:val="auto"/>
              </w:rPr>
              <w:t xml:space="preserve"> Communications Inc.(4)</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09/29/2014</w:t>
            </w:r>
          </w:p>
        </w:tc>
        <w:tc>
          <w:tcPr>
            <w:tcW w:w="2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ROADCASTING</w:t>
            </w:r>
            <w:r>
              <w:rPr>
                <w:rFonts w:ascii="Arial" w:cs="Arial" w:eastAsia="Arial" w:hAnsi="Arial"/>
                <w:sz w:val="18"/>
                <w:szCs w:val="18"/>
                <w:color w:val="auto"/>
              </w:rPr>
              <w:t xml:space="preserve"> &amp;</w:t>
            </w:r>
          </w:p>
        </w:tc>
        <w:tc>
          <w:tcPr>
            <w:tcW w:w="200" w:type="dxa"/>
            <w:vAlign w:val="bottom"/>
          </w:tcPr>
          <w:p>
            <w:pPr>
              <w:spacing w:after="0"/>
              <w:rPr>
                <w:sz w:val="24"/>
                <w:szCs w:val="2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503,356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503,356</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395,478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ALASSIS</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03/02/2014</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r>
              <w:rPr>
                <w:rFonts w:ascii="Arial" w:cs="Arial" w:eastAsia="Arial" w:hAnsi="Arial"/>
                <w:sz w:val="18"/>
                <w:szCs w:val="18"/>
                <w:color w:val="auto"/>
              </w:rPr>
              <w:t xml:space="preserve"> &amp;</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4.45%</w:t>
            </w:r>
          </w:p>
        </w:tc>
        <w:tc>
          <w:tcPr>
            <w:tcW w:w="7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L+175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6,365,637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6,365,637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5,856,386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UBLISHING</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580" w:type="dxa"/>
            <w:vAlign w:val="bottom"/>
            <w:gridSpan w:val="2"/>
          </w:tcPr>
          <w:p>
            <w:pPr>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ALASSIS</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.(4)</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03/02/2014</w:t>
            </w:r>
          </w:p>
        </w:tc>
        <w:tc>
          <w:tcPr>
            <w:tcW w:w="2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r>
              <w:rPr>
                <w:rFonts w:ascii="Arial" w:cs="Arial" w:eastAsia="Arial" w:hAnsi="Arial"/>
                <w:sz w:val="18"/>
                <w:szCs w:val="18"/>
                <w:color w:val="auto"/>
              </w:rPr>
              <w:t xml:space="preserve"> &amp;</w:t>
            </w:r>
          </w:p>
        </w:tc>
        <w:tc>
          <w:tcPr>
            <w:tcW w:w="200" w:type="dxa"/>
            <w:vAlign w:val="bottom"/>
          </w:tcPr>
          <w:p>
            <w:pPr>
              <w:spacing w:after="0"/>
              <w:rPr>
                <w:sz w:val="24"/>
                <w:szCs w:val="2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2,103,908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2,103,908</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1,935,596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UBLISHING</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ESTERN</w:t>
            </w:r>
            <w:r>
              <w:rPr>
                <w:rFonts w:ascii="Arial" w:cs="Arial" w:eastAsia="Arial" w:hAnsi="Arial"/>
                <w:sz w:val="18"/>
                <w:szCs w:val="18"/>
                <w:color w:val="auto"/>
              </w:rPr>
              <w:t xml:space="preserve"> R</w:t>
            </w:r>
            <w:r>
              <w:rPr>
                <w:rFonts w:ascii="Arial" w:cs="Arial" w:eastAsia="Arial" w:hAnsi="Arial"/>
                <w:sz w:val="14"/>
                <w:szCs w:val="14"/>
                <w:color w:val="auto"/>
              </w:rPr>
              <w:t>EFINING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05/30/2014</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IL</w:t>
            </w:r>
            <w:r>
              <w:rPr>
                <w:rFonts w:ascii="Arial" w:cs="Arial" w:eastAsia="Arial" w:hAnsi="Arial"/>
                <w:sz w:val="18"/>
                <w:szCs w:val="18"/>
                <w:color w:val="auto"/>
                <w:w w:val="99"/>
              </w:rPr>
              <w:t xml:space="preserve"> &amp; G</w:t>
            </w:r>
            <w:r>
              <w:rPr>
                <w:rFonts w:ascii="Arial" w:cs="Arial" w:eastAsia="Arial" w:hAnsi="Arial"/>
                <w:sz w:val="14"/>
                <w:szCs w:val="14"/>
                <w:color w:val="auto"/>
                <w:w w:val="99"/>
              </w:rPr>
              <w:t>AS</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4.99%</w:t>
            </w:r>
          </w:p>
        </w:tc>
        <w:tc>
          <w:tcPr>
            <w:tcW w:w="7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L+175</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3,686,429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3,686,429</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3,174,937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Total First Lien Secured Debt</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165,056,116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165,050,041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134,126,292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8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OTAL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NVESTMENTS</w:t>
            </w:r>
            <w:r>
              <w:rPr>
                <w:rFonts w:ascii="Arial" w:cs="Arial" w:eastAsia="Arial" w:hAnsi="Arial"/>
                <w:sz w:val="18"/>
                <w:szCs w:val="18"/>
                <w:b w:val="1"/>
                <w:bCs w:val="1"/>
                <w:color w:val="auto"/>
              </w:rPr>
              <w:t xml:space="preserve"> – 155.3%</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413,632,567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335,883,881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Equivalents – 37.6%</w:t>
            </w: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58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ONEY</w:t>
            </w:r>
            <w:r>
              <w:rPr>
                <w:rFonts w:ascii="Arial" w:cs="Arial" w:eastAsia="Arial" w:hAnsi="Arial"/>
                <w:sz w:val="18"/>
                <w:szCs w:val="18"/>
                <w:color w:val="auto"/>
              </w:rPr>
              <w:t xml:space="preserve"> M</w:t>
            </w:r>
            <w:r>
              <w:rPr>
                <w:rFonts w:ascii="Arial" w:cs="Arial" w:eastAsia="Arial" w:hAnsi="Arial"/>
                <w:sz w:val="14"/>
                <w:szCs w:val="14"/>
                <w:color w:val="auto"/>
              </w:rPr>
              <w:t>ARKET</w:t>
            </w:r>
            <w:r>
              <w:rPr>
                <w:rFonts w:ascii="Arial" w:cs="Arial" w:eastAsia="Arial" w:hAnsi="Arial"/>
                <w:sz w:val="18"/>
                <w:szCs w:val="18"/>
                <w:color w:val="auto"/>
              </w:rPr>
              <w:t xml:space="preserve"> – M</w:t>
            </w:r>
            <w:r>
              <w:rPr>
                <w:rFonts w:ascii="Arial" w:cs="Arial" w:eastAsia="Arial" w:hAnsi="Arial"/>
                <w:sz w:val="14"/>
                <w:szCs w:val="14"/>
                <w:color w:val="auto"/>
              </w:rPr>
              <w:t>UTUAL</w:t>
            </w:r>
            <w:r>
              <w:rPr>
                <w:rFonts w:ascii="Arial" w:cs="Arial" w:eastAsia="Arial" w:hAnsi="Arial"/>
                <w:sz w:val="18"/>
                <w:szCs w:val="18"/>
                <w:color w:val="auto"/>
              </w:rPr>
              <w:t xml:space="preserve"> F</w:t>
            </w:r>
            <w:r>
              <w:rPr>
                <w:rFonts w:ascii="Arial" w:cs="Arial" w:eastAsia="Arial" w:hAnsi="Arial"/>
                <w:sz w:val="14"/>
                <w:szCs w:val="14"/>
                <w:color w:val="auto"/>
              </w:rPr>
              <w:t>UNDS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81,249,903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81,249,903</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81,249,903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Total Cash Equivalents</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81,249,903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81,249,903</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81,249,903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8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3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8"/>
              </w:rPr>
              <w:t>Total Investments and Cash Equivalents –</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494,882,470</w:t>
            </w:r>
          </w:p>
        </w:tc>
        <w:tc>
          <w:tcPr>
            <w:tcW w:w="2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3"/>
              </w:rPr>
              <w:t>417,133,784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192.9%</w:t>
            </w:r>
          </w:p>
        </w:tc>
        <w:tc>
          <w:tcPr>
            <w:tcW w:w="27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In Excess of Other Assets –</w:t>
            </w: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58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89"/>
              </w:rPr>
              <w:t>(200,876,279)</w:t>
            </w:r>
          </w:p>
        </w:tc>
        <w:tc>
          <w:tcPr>
            <w:tcW w:w="0" w:type="dxa"/>
            <w:vAlign w:val="bottom"/>
          </w:tcPr>
          <w:p>
            <w:pPr>
              <w:spacing w:after="0"/>
              <w:rPr>
                <w:sz w:val="1"/>
                <w:szCs w:val="1"/>
                <w:color w:val="auto"/>
              </w:rPr>
            </w:pPr>
          </w:p>
        </w:tc>
      </w:tr>
      <w:tr>
        <w:trPr>
          <w:trHeight w:val="229"/>
        </w:trPr>
        <w:tc>
          <w:tcPr>
            <w:tcW w:w="860" w:type="dxa"/>
            <w:vAlign w:val="bottom"/>
          </w:tcPr>
          <w:p>
            <w:pPr>
              <w:ind w:left="220"/>
              <w:spacing w:after="0"/>
              <w:rPr>
                <w:sz w:val="20"/>
                <w:szCs w:val="20"/>
                <w:color w:val="auto"/>
              </w:rPr>
            </w:pPr>
            <w:r>
              <w:rPr>
                <w:rFonts w:ascii="Arial" w:cs="Arial" w:eastAsia="Arial" w:hAnsi="Arial"/>
                <w:sz w:val="18"/>
                <w:szCs w:val="18"/>
                <w:b w:val="1"/>
                <w:bCs w:val="1"/>
                <w:color w:val="auto"/>
                <w:w w:val="98"/>
              </w:rPr>
              <w:t>(92.9%)</w:t>
            </w:r>
          </w:p>
        </w:tc>
        <w:tc>
          <w:tcPr>
            <w:tcW w:w="2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8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Assets – 100.0%</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216,257,505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2008</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05" w:lineRule="exact"/>
        <w:rPr>
          <w:sz w:val="20"/>
          <w:szCs w:val="20"/>
          <w:color w:val="auto"/>
        </w:rPr>
      </w:pPr>
    </w:p>
    <w:p>
      <w:pPr>
        <w:jc w:val="both"/>
        <w:ind w:left="460" w:right="22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do not “control” and are not an “affiliate” of any of our portfolio companies, each as defined in the 1940 Act. In general, under the 1940 Act, we would be presumed to “control” a portfolio company if we owned 25% or more of its voting securities and would be deemed to be an “affiliate” of a portfolio company if we owned 5% or more of its voting securities.</w:t>
      </w:r>
    </w:p>
    <w:p>
      <w:pPr>
        <w:spacing w:after="0" w:line="18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Valued based on our accounting policy (see note 2 to our financial statements).</w:t>
      </w:r>
    </w:p>
    <w:p>
      <w:pPr>
        <w:spacing w:after="0" w:line="211"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floating rate instruments that accrue interest at a predetermined spread relative to an index, typically the applicable London Interbank Offer Rate (LIBOR or “L”).</w:t>
      </w:r>
    </w:p>
    <w:p>
      <w:pPr>
        <w:spacing w:after="0" w:line="172"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purchases of securities with delayed draws. These securities do not have a basis point spread above index.</w:t>
      </w:r>
    </w:p>
    <w:p>
      <w:pPr>
        <w:spacing w:after="0" w:line="211"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17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Coupon payable in cash or payment-in-kind (“PIK”).</w:t>
      </w:r>
    </w:p>
    <w:p>
      <w:pPr>
        <w:spacing w:after="0" w:line="21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Non-income producing.</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Basis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Point</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Spread</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60" w:type="dxa"/>
            <w:vAlign w:val="bottom"/>
            <w:vMerge w:val="restart"/>
          </w:tcPr>
          <w:p>
            <w:pPr>
              <w:spacing w:after="0"/>
              <w:rPr>
                <w:sz w:val="20"/>
                <w:szCs w:val="20"/>
                <w:color w:val="auto"/>
              </w:rPr>
            </w:pPr>
            <w:r>
              <w:rPr>
                <w:rFonts w:ascii="Arial" w:cs="Arial" w:eastAsia="Arial" w:hAnsi="Arial"/>
                <w:sz w:val="13"/>
                <w:szCs w:val="13"/>
                <w:b w:val="1"/>
                <w:bCs w:val="1"/>
                <w:color w:val="auto"/>
                <w:w w:val="89"/>
              </w:rPr>
              <w:t>Issuer name</w:t>
            </w:r>
            <w:r>
              <w:rPr>
                <w:rFonts w:ascii="Arial" w:cs="Arial" w:eastAsia="Arial" w:hAnsi="Arial"/>
                <w:sz w:val="22"/>
                <w:szCs w:val="22"/>
                <w:b w:val="1"/>
                <w:bCs w:val="1"/>
                <w:color w:val="auto"/>
                <w:w w:val="89"/>
                <w:vertAlign w:val="superscript"/>
              </w:rPr>
              <w:t>(1)</w:t>
            </w:r>
          </w:p>
        </w:tc>
        <w:tc>
          <w:tcPr>
            <w:tcW w:w="2500" w:type="dxa"/>
            <w:vAlign w:val="bottom"/>
            <w:vMerge w:val="restart"/>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7"/>
              </w:rPr>
              <w:t>Current</w:t>
            </w:r>
          </w:p>
        </w:tc>
        <w:tc>
          <w:tcPr>
            <w:tcW w:w="7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Above</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ind w:right="134"/>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22"/>
                <w:szCs w:val="22"/>
                <w:b w:val="1"/>
                <w:bCs w:val="1"/>
                <w:color w:val="auto"/>
                <w:vertAlign w:val="superscript"/>
              </w:rPr>
              <w:t>(2)</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60" w:type="dxa"/>
            <w:vAlign w:val="bottom"/>
            <w:tcBorders>
              <w:bottom w:val="single" w:sz="8" w:color="auto"/>
            </w:tcBorders>
            <w:vMerge w:val="continue"/>
          </w:tcPr>
          <w:p>
            <w:pPr>
              <w:spacing w:after="0"/>
              <w:rPr>
                <w:sz w:val="15"/>
                <w:szCs w:val="15"/>
                <w:color w:val="auto"/>
              </w:rPr>
            </w:pPr>
          </w:p>
        </w:tc>
        <w:tc>
          <w:tcPr>
            <w:tcW w:w="2500" w:type="dxa"/>
            <w:vAlign w:val="bottom"/>
            <w:vMerge w:val="continue"/>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Maturity</w:t>
            </w:r>
          </w:p>
        </w:tc>
        <w:tc>
          <w:tcPr>
            <w:tcW w:w="200" w:type="dxa"/>
            <w:vAlign w:val="bottom"/>
          </w:tcPr>
          <w:p>
            <w:pPr>
              <w:spacing w:after="0"/>
              <w:rPr>
                <w:sz w:val="15"/>
                <w:szCs w:val="15"/>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Industry</w:t>
            </w:r>
          </w:p>
        </w:tc>
        <w:tc>
          <w:tcPr>
            <w:tcW w:w="20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Coupon</w:t>
            </w:r>
          </w:p>
        </w:tc>
        <w:tc>
          <w:tcPr>
            <w:tcW w:w="440" w:type="dxa"/>
            <w:vAlign w:val="bottom"/>
          </w:tcPr>
          <w:p>
            <w:pPr>
              <w:spacing w:after="0"/>
              <w:rPr>
                <w:sz w:val="15"/>
                <w:szCs w:val="15"/>
                <w:color w:val="auto"/>
              </w:rPr>
            </w:pPr>
          </w:p>
        </w:tc>
        <w:tc>
          <w:tcPr>
            <w:tcW w:w="5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(3)</w:t>
            </w:r>
          </w:p>
        </w:tc>
        <w:tc>
          <w:tcPr>
            <w:tcW w:w="200" w:type="dxa"/>
            <w:vAlign w:val="bottom"/>
          </w:tcPr>
          <w:p>
            <w:pPr>
              <w:spacing w:after="0"/>
              <w:rPr>
                <w:sz w:val="15"/>
                <w:szCs w:val="15"/>
                <w:color w:val="auto"/>
              </w:rPr>
            </w:pPr>
          </w:p>
        </w:tc>
        <w:tc>
          <w:tcPr>
            <w:tcW w:w="90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Par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222"/>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36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Subordinated Debt / Corporate Notes –</w:t>
            </w: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21.2%</w:t>
            </w:r>
          </w:p>
        </w:tc>
        <w:tc>
          <w:tcPr>
            <w:tcW w:w="2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336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DVANSTAR</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11/30/2015</w:t>
            </w:r>
          </w:p>
        </w:tc>
        <w:tc>
          <w:tcPr>
            <w:tcW w:w="2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THER</w:t>
            </w:r>
            <w:r>
              <w:rPr>
                <w:rFonts w:ascii="Arial" w:cs="Arial" w:eastAsia="Arial" w:hAnsi="Arial"/>
                <w:sz w:val="18"/>
                <w:szCs w:val="18"/>
                <w:color w:val="auto"/>
                <w:w w:val="99"/>
              </w:rPr>
              <w:t xml:space="preserve"> M</w:t>
            </w:r>
            <w:r>
              <w:rPr>
                <w:rFonts w:ascii="Arial" w:cs="Arial" w:eastAsia="Arial" w:hAnsi="Arial"/>
                <w:sz w:val="14"/>
                <w:szCs w:val="14"/>
                <w:color w:val="auto"/>
                <w:w w:val="99"/>
              </w:rPr>
              <w:t>EDIA</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12.20%*</w:t>
            </w:r>
          </w:p>
        </w:tc>
        <w:tc>
          <w:tcPr>
            <w:tcW w:w="7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L+700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$14,580,690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$14,580,690</w:t>
            </w:r>
          </w:p>
        </w:tc>
        <w:tc>
          <w:tcPr>
            <w:tcW w:w="2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$14,580,690</w:t>
            </w: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FFINION</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03/01/2012</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C</w:t>
            </w:r>
            <w:r>
              <w:rPr>
                <w:rFonts w:ascii="Arial" w:cs="Arial" w:eastAsia="Arial" w:hAnsi="Arial"/>
                <w:sz w:val="14"/>
                <w:szCs w:val="14"/>
                <w:color w:val="auto"/>
                <w:w w:val="96"/>
              </w:rPr>
              <w:t>ONSUMER</w:t>
            </w:r>
            <w:r>
              <w:rPr>
                <w:rFonts w:ascii="Arial" w:cs="Arial" w:eastAsia="Arial" w:hAnsi="Arial"/>
                <w:sz w:val="18"/>
                <w:szCs w:val="18"/>
                <w:color w:val="auto"/>
                <w:w w:val="96"/>
              </w:rPr>
              <w:t xml:space="preserve"> P</w:t>
            </w:r>
            <w:r>
              <w:rPr>
                <w:rFonts w:ascii="Arial" w:cs="Arial" w:eastAsia="Arial" w:hAnsi="Arial"/>
                <w:sz w:val="14"/>
                <w:szCs w:val="14"/>
                <w:color w:val="auto"/>
                <w:w w:val="96"/>
              </w:rPr>
              <w:t>RODUCTS</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11.68%*</w:t>
            </w:r>
          </w:p>
        </w:tc>
        <w:tc>
          <w:tcPr>
            <w:tcW w:w="7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L+625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18,500,000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18,106,103</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17,760,000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36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07/02/2014</w:t>
            </w:r>
          </w:p>
        </w:tc>
        <w:tc>
          <w:tcPr>
            <w:tcW w:w="2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L</w:t>
            </w:r>
            <w:r>
              <w:rPr>
                <w:rFonts w:ascii="Arial" w:cs="Arial" w:eastAsia="Arial" w:hAnsi="Arial"/>
                <w:sz w:val="14"/>
                <w:szCs w:val="14"/>
                <w:color w:val="auto"/>
                <w:w w:val="99"/>
              </w:rPr>
              <w:t>EISURE</w:t>
            </w:r>
            <w:r>
              <w:rPr>
                <w:rFonts w:ascii="Arial" w:cs="Arial" w:eastAsia="Arial" w:hAnsi="Arial"/>
                <w:sz w:val="18"/>
                <w:szCs w:val="18"/>
                <w:color w:val="auto"/>
                <w:w w:val="99"/>
              </w:rPr>
              <w:t>, A</w:t>
            </w:r>
            <w:r>
              <w:rPr>
                <w:rFonts w:ascii="Arial" w:cs="Arial" w:eastAsia="Arial" w:hAnsi="Arial"/>
                <w:sz w:val="14"/>
                <w:szCs w:val="14"/>
                <w:color w:val="auto"/>
                <w:w w:val="99"/>
              </w:rPr>
              <w:t>MUSEMENT</w:t>
            </w:r>
            <w:r>
              <w:rPr>
                <w:rFonts w:ascii="Arial" w:cs="Arial" w:eastAsia="Arial" w:hAnsi="Arial"/>
                <w:sz w:val="18"/>
                <w:szCs w:val="18"/>
                <w:color w:val="auto"/>
                <w:w w:val="99"/>
              </w:rPr>
              <w:t>,</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14.25%*</w:t>
            </w: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3,837,578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3,592,573</w:t>
            </w:r>
          </w:p>
        </w:tc>
        <w:tc>
          <w:tcPr>
            <w:tcW w:w="2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3,837,578</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8"/>
              </w:rPr>
              <w:t>M</w:t>
            </w:r>
            <w:r>
              <w:rPr>
                <w:rFonts w:ascii="Arial" w:cs="Arial" w:eastAsia="Arial" w:hAnsi="Arial"/>
                <w:sz w:val="14"/>
                <w:szCs w:val="14"/>
                <w:color w:val="auto"/>
                <w:w w:val="98"/>
              </w:rPr>
              <w:t>OTION</w:t>
            </w:r>
            <w:r>
              <w:rPr>
                <w:rFonts w:ascii="Arial" w:cs="Arial" w:eastAsia="Arial" w:hAnsi="Arial"/>
                <w:sz w:val="18"/>
                <w:szCs w:val="18"/>
                <w:color w:val="auto"/>
                <w:w w:val="98"/>
              </w:rPr>
              <w:t xml:space="preserve"> P</w:t>
            </w:r>
            <w:r>
              <w:rPr>
                <w:rFonts w:ascii="Arial" w:cs="Arial" w:eastAsia="Arial" w:hAnsi="Arial"/>
                <w:sz w:val="14"/>
                <w:szCs w:val="14"/>
                <w:color w:val="auto"/>
                <w:w w:val="98"/>
              </w:rPr>
              <w:t>ICTURES</w:t>
            </w:r>
            <w:r>
              <w:rPr>
                <w:rFonts w:ascii="Arial" w:cs="Arial" w:eastAsia="Arial" w:hAnsi="Arial"/>
                <w:sz w:val="18"/>
                <w:szCs w:val="18"/>
                <w:color w:val="auto"/>
                <w:w w:val="98"/>
              </w:rPr>
              <w:t>,</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8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EALOGY</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.(5)</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04/15/2015</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UILDINGS</w:t>
            </w:r>
            <w:r>
              <w:rPr>
                <w:rFonts w:ascii="Arial" w:cs="Arial" w:eastAsia="Arial" w:hAnsi="Arial"/>
                <w:sz w:val="18"/>
                <w:szCs w:val="18"/>
                <w:color w:val="auto"/>
              </w:rPr>
              <w:t xml:space="preserve"> &amp; R</w:t>
            </w:r>
            <w:r>
              <w:rPr>
                <w:rFonts w:ascii="Arial" w:cs="Arial" w:eastAsia="Arial" w:hAnsi="Arial"/>
                <w:sz w:val="14"/>
                <w:szCs w:val="14"/>
                <w:color w:val="auto"/>
              </w:rPr>
              <w:t>EAL</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12.38%</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28,000,000</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26,117,780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21,140,000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E</w:t>
            </w:r>
            <w:r>
              <w:rPr>
                <w:rFonts w:ascii="Arial" w:cs="Arial" w:eastAsia="Arial" w:hAnsi="Arial"/>
                <w:sz w:val="14"/>
                <w:szCs w:val="14"/>
                <w:color w:val="auto"/>
                <w:w w:val="90"/>
              </w:rPr>
              <w:t>STATE</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Total Subordinated Debt / Corporate</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64,918,268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62,397,146</w:t>
            </w:r>
          </w:p>
        </w:tc>
        <w:tc>
          <w:tcPr>
            <w:tcW w:w="2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57,318,268</w:t>
            </w:r>
          </w:p>
        </w:tc>
        <w:tc>
          <w:tcPr>
            <w:tcW w:w="0" w:type="dxa"/>
            <w:vAlign w:val="bottom"/>
          </w:tcPr>
          <w:p>
            <w:pPr>
              <w:spacing w:after="0"/>
              <w:rPr>
                <w:sz w:val="1"/>
                <w:szCs w:val="1"/>
                <w:color w:val="auto"/>
              </w:rPr>
            </w:pPr>
          </w:p>
        </w:tc>
      </w:tr>
      <w:tr>
        <w:trPr>
          <w:trHeight w:val="229"/>
        </w:trPr>
        <w:tc>
          <w:tcPr>
            <w:tcW w:w="3360" w:type="dxa"/>
            <w:vAlign w:val="bottom"/>
            <w:gridSpan w:val="2"/>
          </w:tcPr>
          <w:p>
            <w:pPr>
              <w:ind w:left="220"/>
              <w:spacing w:after="0"/>
              <w:rPr>
                <w:sz w:val="20"/>
                <w:szCs w:val="20"/>
                <w:color w:val="auto"/>
              </w:rPr>
            </w:pPr>
            <w:r>
              <w:rPr>
                <w:rFonts w:ascii="Arial" w:cs="Arial" w:eastAsia="Arial" w:hAnsi="Arial"/>
                <w:sz w:val="18"/>
                <w:szCs w:val="18"/>
                <w:b w:val="1"/>
                <w:bCs w:val="1"/>
                <w:color w:val="auto"/>
              </w:rPr>
              <w:t>Notes</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8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Second Lien Secured Debt – 25.0%</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36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07/02/2014</w:t>
            </w:r>
          </w:p>
        </w:tc>
        <w:tc>
          <w:tcPr>
            <w:tcW w:w="2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L</w:t>
            </w:r>
            <w:r>
              <w:rPr>
                <w:rFonts w:ascii="Arial" w:cs="Arial" w:eastAsia="Arial" w:hAnsi="Arial"/>
                <w:sz w:val="14"/>
                <w:szCs w:val="14"/>
                <w:color w:val="auto"/>
                <w:w w:val="99"/>
              </w:rPr>
              <w:t>EISURE</w:t>
            </w:r>
            <w:r>
              <w:rPr>
                <w:rFonts w:ascii="Arial" w:cs="Arial" w:eastAsia="Arial" w:hAnsi="Arial"/>
                <w:sz w:val="18"/>
                <w:szCs w:val="18"/>
                <w:color w:val="auto"/>
                <w:w w:val="99"/>
              </w:rPr>
              <w:t>, A</w:t>
            </w:r>
            <w:r>
              <w:rPr>
                <w:rFonts w:ascii="Arial" w:cs="Arial" w:eastAsia="Arial" w:hAnsi="Arial"/>
                <w:sz w:val="14"/>
                <w:szCs w:val="14"/>
                <w:color w:val="auto"/>
                <w:w w:val="99"/>
              </w:rPr>
              <w:t>MUSEMENT</w:t>
            </w:r>
            <w:r>
              <w:rPr>
                <w:rFonts w:ascii="Arial" w:cs="Arial" w:eastAsia="Arial" w:hAnsi="Arial"/>
                <w:sz w:val="18"/>
                <w:szCs w:val="18"/>
                <w:color w:val="auto"/>
                <w:w w:val="99"/>
              </w:rPr>
              <w:t>,</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11.11%</w:t>
            </w:r>
          </w:p>
        </w:tc>
        <w:tc>
          <w:tcPr>
            <w:tcW w:w="7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L+575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8,750,000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8,750,000</w:t>
            </w:r>
          </w:p>
        </w:tc>
        <w:tc>
          <w:tcPr>
            <w:tcW w:w="2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8,750,000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8"/>
              </w:rPr>
              <w:t>M</w:t>
            </w:r>
            <w:r>
              <w:rPr>
                <w:rFonts w:ascii="Arial" w:cs="Arial" w:eastAsia="Arial" w:hAnsi="Arial"/>
                <w:sz w:val="14"/>
                <w:szCs w:val="14"/>
                <w:color w:val="auto"/>
                <w:w w:val="98"/>
              </w:rPr>
              <w:t>OTION</w:t>
            </w:r>
            <w:r>
              <w:rPr>
                <w:rFonts w:ascii="Arial" w:cs="Arial" w:eastAsia="Arial" w:hAnsi="Arial"/>
                <w:sz w:val="18"/>
                <w:szCs w:val="18"/>
                <w:color w:val="auto"/>
                <w:w w:val="98"/>
              </w:rPr>
              <w:t xml:space="preserve"> P</w:t>
            </w:r>
            <w:r>
              <w:rPr>
                <w:rFonts w:ascii="Arial" w:cs="Arial" w:eastAsia="Arial" w:hAnsi="Arial"/>
                <w:sz w:val="14"/>
                <w:szCs w:val="14"/>
                <w:color w:val="auto"/>
                <w:w w:val="98"/>
              </w:rPr>
              <w:t>ICTURES</w:t>
            </w:r>
            <w:r>
              <w:rPr>
                <w:rFonts w:ascii="Arial" w:cs="Arial" w:eastAsia="Arial" w:hAnsi="Arial"/>
                <w:sz w:val="18"/>
                <w:szCs w:val="18"/>
                <w:color w:val="auto"/>
                <w:w w:val="98"/>
              </w:rPr>
              <w:t>,</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8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UESTEX</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11/04/2014</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THER</w:t>
            </w:r>
            <w:r>
              <w:rPr>
                <w:rFonts w:ascii="Arial" w:cs="Arial" w:eastAsia="Arial" w:hAnsi="Arial"/>
                <w:sz w:val="18"/>
                <w:szCs w:val="18"/>
                <w:color w:val="auto"/>
                <w:w w:val="99"/>
              </w:rPr>
              <w:t xml:space="preserve"> M</w:t>
            </w:r>
            <w:r>
              <w:rPr>
                <w:rFonts w:ascii="Arial" w:cs="Arial" w:eastAsia="Arial" w:hAnsi="Arial"/>
                <w:sz w:val="14"/>
                <w:szCs w:val="14"/>
                <w:color w:val="auto"/>
                <w:w w:val="99"/>
              </w:rPr>
              <w:t>EDIA</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12.08%</w:t>
            </w:r>
          </w:p>
        </w:tc>
        <w:tc>
          <w:tcPr>
            <w:tcW w:w="7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L+650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10,000,000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3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AINT</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.(5)</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05/15/2015</w:t>
            </w:r>
          </w:p>
        </w:tc>
        <w:tc>
          <w:tcPr>
            <w:tcW w:w="2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RANSPORTATION</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13.31%</w:t>
            </w:r>
          </w:p>
        </w:tc>
        <w:tc>
          <w:tcPr>
            <w:tcW w:w="7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L+775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10,000,000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9,932,321</w:t>
            </w:r>
          </w:p>
        </w:tc>
        <w:tc>
          <w:tcPr>
            <w:tcW w:w="2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6,800,000</w:t>
            </w: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AINT</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.(5)</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05/15/2017</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RANSPORTATION</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12.50%</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19,000,000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16,198,167</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12,730,000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3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PECIALIZED</w:t>
            </w:r>
            <w:r>
              <w:rPr>
                <w:rFonts w:ascii="Arial" w:cs="Arial" w:eastAsia="Arial" w:hAnsi="Arial"/>
                <w:sz w:val="18"/>
                <w:szCs w:val="18"/>
                <w:color w:val="auto"/>
              </w:rPr>
              <w:t xml:space="preserve"> T</w:t>
            </w:r>
            <w:r>
              <w:rPr>
                <w:rFonts w:ascii="Arial" w:cs="Arial" w:eastAsia="Arial" w:hAnsi="Arial"/>
                <w:sz w:val="14"/>
                <w:szCs w:val="14"/>
                <w:color w:val="auto"/>
              </w:rPr>
              <w:t>ECHNOLOGY</w:t>
            </w:r>
            <w:r>
              <w:rPr>
                <w:rFonts w:ascii="Arial" w:cs="Arial" w:eastAsia="Arial" w:hAnsi="Arial"/>
                <w:sz w:val="18"/>
                <w:szCs w:val="18"/>
                <w:color w:val="auto"/>
              </w:rPr>
              <w:t xml:space="preserve"> R</w:t>
            </w:r>
            <w:r>
              <w:rPr>
                <w:rFonts w:ascii="Arial" w:cs="Arial" w:eastAsia="Arial" w:hAnsi="Arial"/>
                <w:sz w:val="14"/>
                <w:szCs w:val="14"/>
                <w:color w:val="auto"/>
              </w:rPr>
              <w:t>ESOURCES</w:t>
            </w:r>
            <w:r>
              <w:rPr>
                <w:rFonts w:ascii="Arial" w:cs="Arial" w:eastAsia="Arial" w:hAnsi="Arial"/>
                <w:sz w:val="18"/>
                <w:szCs w:val="18"/>
                <w:color w:val="auto"/>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12/15/2014</w:t>
            </w:r>
          </w:p>
        </w:tc>
        <w:tc>
          <w:tcPr>
            <w:tcW w:w="2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HEMICAL</w:t>
            </w:r>
            <w:r>
              <w:rPr>
                <w:rFonts w:ascii="Arial" w:cs="Arial" w:eastAsia="Arial" w:hAnsi="Arial"/>
                <w:sz w:val="18"/>
                <w:szCs w:val="18"/>
                <w:color w:val="auto"/>
              </w:rPr>
              <w:t>, P</w:t>
            </w:r>
            <w:r>
              <w:rPr>
                <w:rFonts w:ascii="Arial" w:cs="Arial" w:eastAsia="Arial" w:hAnsi="Arial"/>
                <w:sz w:val="14"/>
                <w:szCs w:val="14"/>
                <w:color w:val="auto"/>
              </w:rPr>
              <w:t>LASTICS</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12.13%</w:t>
            </w:r>
          </w:p>
        </w:tc>
        <w:tc>
          <w:tcPr>
            <w:tcW w:w="7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L+700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17,500,000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17,493,750</w:t>
            </w:r>
          </w:p>
        </w:tc>
        <w:tc>
          <w:tcPr>
            <w:tcW w:w="2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17,237,500</w:t>
            </w:r>
          </w:p>
        </w:tc>
        <w:tc>
          <w:tcPr>
            <w:tcW w:w="0" w:type="dxa"/>
            <w:vAlign w:val="bottom"/>
          </w:tcPr>
          <w:p>
            <w:pPr>
              <w:spacing w:after="0"/>
              <w:rPr>
                <w:sz w:val="1"/>
                <w:szCs w:val="1"/>
                <w:color w:val="auto"/>
              </w:rPr>
            </w:pPr>
          </w:p>
        </w:tc>
      </w:tr>
      <w:tr>
        <w:trPr>
          <w:trHeight w:val="222"/>
        </w:trPr>
        <w:tc>
          <w:tcPr>
            <w:tcW w:w="3360" w:type="dxa"/>
            <w:vAlign w:val="bottom"/>
            <w:gridSpan w:val="2"/>
          </w:tcPr>
          <w:p>
            <w:pPr>
              <w:ind w:left="22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w:t>
            </w: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&amp; R</w:t>
            </w:r>
            <w:r>
              <w:rPr>
                <w:rFonts w:ascii="Arial" w:cs="Arial" w:eastAsia="Arial" w:hAnsi="Arial"/>
                <w:sz w:val="14"/>
                <w:szCs w:val="14"/>
                <w:color w:val="auto"/>
              </w:rPr>
              <w:t>UBBER</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8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RANSFIRST</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06/15/2015</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11.30%*</w:t>
            </w:r>
          </w:p>
        </w:tc>
        <w:tc>
          <w:tcPr>
            <w:tcW w:w="7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L+600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13,000,000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12,886,250</w:t>
            </w:r>
          </w:p>
        </w:tc>
        <w:tc>
          <w:tcPr>
            <w:tcW w:w="2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12,431,250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Total Second Lien Secured Debt</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78,250,000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75,260,488</w:t>
            </w:r>
          </w:p>
        </w:tc>
        <w:tc>
          <w:tcPr>
            <w:tcW w:w="2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67,748,750</w:t>
            </w:r>
          </w:p>
        </w:tc>
        <w:tc>
          <w:tcPr>
            <w:tcW w:w="0" w:type="dxa"/>
            <w:vAlign w:val="bottom"/>
          </w:tcPr>
          <w:p>
            <w:pPr>
              <w:spacing w:after="0"/>
              <w:rPr>
                <w:sz w:val="1"/>
                <w:szCs w:val="1"/>
                <w:color w:val="auto"/>
              </w:rPr>
            </w:pPr>
          </w:p>
        </w:tc>
      </w:tr>
      <w:tr>
        <w:trPr>
          <w:trHeight w:val="427"/>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line="216" w:lineRule="exact"/>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ARTNERSHIP</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NTEREST</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 xml:space="preserve"> –</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60" w:type="dxa"/>
            <w:vAlign w:val="bottom"/>
          </w:tcPr>
          <w:p>
            <w:pPr>
              <w:spacing w:after="0"/>
              <w:rPr>
                <w:sz w:val="20"/>
                <w:szCs w:val="20"/>
                <w:color w:val="auto"/>
              </w:rPr>
            </w:pPr>
            <w:r>
              <w:rPr>
                <w:rFonts w:ascii="Arial" w:cs="Arial" w:eastAsia="Arial" w:hAnsi="Arial"/>
                <w:sz w:val="18"/>
                <w:szCs w:val="18"/>
                <w:b w:val="1"/>
                <w:bCs w:val="1"/>
                <w:color w:val="auto"/>
              </w:rPr>
              <w:t>2.6%</w:t>
            </w:r>
          </w:p>
        </w:tc>
        <w:tc>
          <w:tcPr>
            <w:tcW w:w="2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AHC M</w:t>
            </w:r>
            <w:r>
              <w:rPr>
                <w:rFonts w:ascii="Arial" w:cs="Arial" w:eastAsia="Arial" w:hAnsi="Arial"/>
                <w:sz w:val="14"/>
                <w:szCs w:val="14"/>
                <w:color w:val="auto"/>
              </w:rPr>
              <w:t>EZZANINE</w:t>
            </w:r>
            <w:r>
              <w:rPr>
                <w:rFonts w:ascii="Arial" w:cs="Arial" w:eastAsia="Arial" w:hAnsi="Arial"/>
                <w:sz w:val="18"/>
                <w:szCs w:val="18"/>
                <w:color w:val="auto"/>
              </w:rPr>
              <w:t xml:space="preserve"> (A</w:t>
            </w:r>
            <w:r>
              <w:rPr>
                <w:rFonts w:ascii="Arial" w:cs="Arial" w:eastAsia="Arial" w:hAnsi="Arial"/>
                <w:sz w:val="14"/>
                <w:szCs w:val="14"/>
                <w:color w:val="auto"/>
              </w:rPr>
              <w:t>DVANSTAR</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THER</w:t>
            </w:r>
            <w:r>
              <w:rPr>
                <w:rFonts w:ascii="Arial" w:cs="Arial" w:eastAsia="Arial" w:hAnsi="Arial"/>
                <w:sz w:val="18"/>
                <w:szCs w:val="18"/>
                <w:color w:val="auto"/>
                <w:w w:val="99"/>
              </w:rPr>
              <w:t xml:space="preserve"> M</w:t>
            </w:r>
            <w:r>
              <w:rPr>
                <w:rFonts w:ascii="Arial" w:cs="Arial" w:eastAsia="Arial" w:hAnsi="Arial"/>
                <w:sz w:val="14"/>
                <w:szCs w:val="14"/>
                <w:color w:val="auto"/>
                <w:w w:val="99"/>
              </w:rPr>
              <w:t>EDIA</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360" w:type="dxa"/>
            <w:vAlign w:val="bottom"/>
            <w:gridSpan w:val="2"/>
          </w:tcPr>
          <w:p>
            <w:pPr>
              <w:spacing w:after="0"/>
              <w:rPr>
                <w:sz w:val="20"/>
                <w:szCs w:val="20"/>
                <w:color w:val="auto"/>
              </w:rPr>
            </w:pPr>
            <w:r>
              <w:rPr>
                <w:rFonts w:ascii="Arial" w:cs="Arial" w:eastAsia="Arial" w:hAnsi="Arial"/>
                <w:sz w:val="18"/>
                <w:szCs w:val="18"/>
                <w:color w:val="auto"/>
              </w:rPr>
              <w:t>NCP-P</w:t>
            </w:r>
            <w:r>
              <w:rPr>
                <w:rFonts w:ascii="Arial" w:cs="Arial" w:eastAsia="Arial" w:hAnsi="Arial"/>
                <w:sz w:val="14"/>
                <w:szCs w:val="14"/>
                <w:color w:val="auto"/>
              </w:rPr>
              <w:t>ERFORMANCE</w:t>
            </w:r>
            <w:r>
              <w:rPr>
                <w:rFonts w:ascii="Arial" w:cs="Arial" w:eastAsia="Arial" w:hAnsi="Arial"/>
                <w:sz w:val="18"/>
                <w:szCs w:val="18"/>
                <w:color w:val="auto"/>
              </w:rPr>
              <w:t xml:space="preserve"> (P</w:t>
            </w:r>
            <w:r>
              <w:rPr>
                <w:rFonts w:ascii="Arial" w:cs="Arial" w:eastAsia="Arial" w:hAnsi="Arial"/>
                <w:sz w:val="14"/>
                <w:szCs w:val="14"/>
                <w:color w:val="auto"/>
              </w:rPr>
              <w:t>ERFORMANCE</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L</w:t>
            </w:r>
            <w:r>
              <w:rPr>
                <w:rFonts w:ascii="Arial" w:cs="Arial" w:eastAsia="Arial" w:hAnsi="Arial"/>
                <w:sz w:val="14"/>
                <w:szCs w:val="14"/>
                <w:color w:val="auto"/>
                <w:w w:val="99"/>
              </w:rPr>
              <w:t>EISURE</w:t>
            </w:r>
            <w:r>
              <w:rPr>
                <w:rFonts w:ascii="Arial" w:cs="Arial" w:eastAsia="Arial" w:hAnsi="Arial"/>
                <w:sz w:val="18"/>
                <w:szCs w:val="18"/>
                <w:color w:val="auto"/>
                <w:w w:val="99"/>
              </w:rPr>
              <w:t>, A</w:t>
            </w:r>
            <w:r>
              <w:rPr>
                <w:rFonts w:ascii="Arial" w:cs="Arial" w:eastAsia="Arial" w:hAnsi="Arial"/>
                <w:sz w:val="14"/>
                <w:szCs w:val="14"/>
                <w:color w:val="auto"/>
                <w:w w:val="99"/>
              </w:rPr>
              <w:t>MUSEMENT</w:t>
            </w: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37,500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3,750,000</w:t>
            </w:r>
          </w:p>
        </w:tc>
        <w:tc>
          <w:tcPr>
            <w:tcW w:w="2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3,750,000</w:t>
            </w:r>
          </w:p>
        </w:tc>
        <w:tc>
          <w:tcPr>
            <w:tcW w:w="0" w:type="dxa"/>
            <w:vAlign w:val="bottom"/>
          </w:tcPr>
          <w:p>
            <w:pPr>
              <w:spacing w:after="0"/>
              <w:rPr>
                <w:sz w:val="1"/>
                <w:szCs w:val="1"/>
                <w:color w:val="auto"/>
              </w:rPr>
            </w:pPr>
          </w:p>
        </w:tc>
      </w:tr>
      <w:tr>
        <w:trPr>
          <w:trHeight w:val="216"/>
        </w:trPr>
        <w:tc>
          <w:tcPr>
            <w:tcW w:w="3360" w:type="dxa"/>
            <w:vAlign w:val="bottom"/>
            <w:gridSpan w:val="2"/>
          </w:tcPr>
          <w:p>
            <w:pPr>
              <w:ind w:left="220"/>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8"/>
              </w:rPr>
              <w:t>M</w:t>
            </w:r>
            <w:r>
              <w:rPr>
                <w:rFonts w:ascii="Arial" w:cs="Arial" w:eastAsia="Arial" w:hAnsi="Arial"/>
                <w:sz w:val="14"/>
                <w:szCs w:val="14"/>
                <w:color w:val="auto"/>
                <w:w w:val="98"/>
              </w:rPr>
              <w:t>OTION</w:t>
            </w:r>
            <w:r>
              <w:rPr>
                <w:rFonts w:ascii="Arial" w:cs="Arial" w:eastAsia="Arial" w:hAnsi="Arial"/>
                <w:sz w:val="18"/>
                <w:szCs w:val="18"/>
                <w:color w:val="auto"/>
                <w:w w:val="98"/>
              </w:rPr>
              <w:t xml:space="preserve"> P</w:t>
            </w:r>
            <w:r>
              <w:rPr>
                <w:rFonts w:ascii="Arial" w:cs="Arial" w:eastAsia="Arial" w:hAnsi="Arial"/>
                <w:sz w:val="14"/>
                <w:szCs w:val="14"/>
                <w:color w:val="auto"/>
                <w:w w:val="98"/>
              </w:rPr>
              <w:t>ICTURES</w:t>
            </w:r>
            <w:r>
              <w:rPr>
                <w:rFonts w:ascii="Arial" w:cs="Arial" w:eastAsia="Arial" w:hAnsi="Arial"/>
                <w:sz w:val="18"/>
                <w:szCs w:val="18"/>
                <w:color w:val="auto"/>
                <w:w w:val="98"/>
              </w:rPr>
              <w:t>,</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Common Equity/Partnership</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6,750,000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Interest</w:t>
            </w: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Basis</w:t>
            </w: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Point</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Spread</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60" w:type="dxa"/>
            <w:vAlign w:val="bottom"/>
            <w:vMerge w:val="restart"/>
          </w:tcPr>
          <w:p>
            <w:pPr>
              <w:spacing w:after="0"/>
              <w:rPr>
                <w:sz w:val="20"/>
                <w:szCs w:val="20"/>
                <w:color w:val="auto"/>
              </w:rPr>
            </w:pPr>
            <w:r>
              <w:rPr>
                <w:rFonts w:ascii="Arial" w:cs="Arial" w:eastAsia="Arial" w:hAnsi="Arial"/>
                <w:sz w:val="13"/>
                <w:szCs w:val="13"/>
                <w:b w:val="1"/>
                <w:bCs w:val="1"/>
                <w:color w:val="auto"/>
                <w:w w:val="89"/>
              </w:rPr>
              <w:t>Issuer name</w:t>
            </w:r>
            <w:r>
              <w:rPr>
                <w:rFonts w:ascii="Arial" w:cs="Arial" w:eastAsia="Arial" w:hAnsi="Arial"/>
                <w:sz w:val="22"/>
                <w:szCs w:val="22"/>
                <w:b w:val="1"/>
                <w:bCs w:val="1"/>
                <w:color w:val="auto"/>
                <w:w w:val="89"/>
                <w:vertAlign w:val="superscript"/>
              </w:rPr>
              <w:t>(1)</w:t>
            </w:r>
          </w:p>
        </w:tc>
        <w:tc>
          <w:tcPr>
            <w:tcW w:w="2700" w:type="dxa"/>
            <w:vAlign w:val="bottom"/>
            <w:vMerge w:val="restart"/>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3"/>
              </w:rPr>
              <w:t>Current</w:t>
            </w:r>
          </w:p>
        </w:tc>
        <w:tc>
          <w:tcPr>
            <w:tcW w:w="6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Above</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ind w:right="134"/>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22"/>
                <w:szCs w:val="22"/>
                <w:b w:val="1"/>
                <w:bCs w:val="1"/>
                <w:color w:val="auto"/>
                <w:vertAlign w:val="superscript"/>
              </w:rPr>
              <w:t>(2)</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60" w:type="dxa"/>
            <w:vAlign w:val="bottom"/>
            <w:tcBorders>
              <w:bottom w:val="single" w:sz="8" w:color="auto"/>
            </w:tcBorders>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Maturity</w:t>
            </w:r>
          </w:p>
        </w:tc>
        <w:tc>
          <w:tcPr>
            <w:tcW w:w="180" w:type="dxa"/>
            <w:vAlign w:val="bottom"/>
          </w:tcPr>
          <w:p>
            <w:pPr>
              <w:spacing w:after="0"/>
              <w:rPr>
                <w:sz w:val="15"/>
                <w:szCs w:val="15"/>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20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Coupon</w:t>
            </w:r>
          </w:p>
        </w:tc>
        <w:tc>
          <w:tcPr>
            <w:tcW w:w="340" w:type="dxa"/>
            <w:vAlign w:val="bottom"/>
          </w:tcPr>
          <w:p>
            <w:pPr>
              <w:spacing w:after="0"/>
              <w:rPr>
                <w:sz w:val="15"/>
                <w:szCs w:val="15"/>
                <w:color w:val="auto"/>
              </w:rPr>
            </w:pPr>
          </w:p>
        </w:tc>
        <w:tc>
          <w:tcPr>
            <w:tcW w:w="5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(3)</w:t>
            </w:r>
          </w:p>
        </w:tc>
        <w:tc>
          <w:tcPr>
            <w:tcW w:w="180" w:type="dxa"/>
            <w:vAlign w:val="bottom"/>
          </w:tcPr>
          <w:p>
            <w:pPr>
              <w:spacing w:after="0"/>
              <w:rPr>
                <w:sz w:val="15"/>
                <w:szCs w:val="15"/>
                <w:color w:val="auto"/>
              </w:rPr>
            </w:pPr>
          </w:p>
        </w:tc>
        <w:tc>
          <w:tcPr>
            <w:tcW w:w="90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b w:val="1"/>
                <w:bCs w:val="1"/>
                <w:color w:val="auto"/>
              </w:rPr>
              <w:t>Par</w:t>
            </w:r>
          </w:p>
        </w:tc>
        <w:tc>
          <w:tcPr>
            <w:tcW w:w="180" w:type="dxa"/>
            <w:vAlign w:val="bottom"/>
          </w:tcPr>
          <w:p>
            <w:pPr>
              <w:spacing w:after="0"/>
              <w:rPr>
                <w:sz w:val="15"/>
                <w:szCs w:val="15"/>
                <w:color w:val="auto"/>
              </w:rPr>
            </w:pPr>
          </w:p>
        </w:tc>
        <w:tc>
          <w:tcPr>
            <w:tcW w:w="90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First Lien Secured Debt – 58.8%</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56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ERRY</w:t>
            </w:r>
            <w:r>
              <w:rPr>
                <w:rFonts w:ascii="Arial" w:cs="Arial" w:eastAsia="Arial" w:hAnsi="Arial"/>
                <w:sz w:val="18"/>
                <w:szCs w:val="18"/>
                <w:color w:val="auto"/>
              </w:rPr>
              <w:t xml:space="preserve"> P</w:t>
            </w:r>
            <w:r>
              <w:rPr>
                <w:rFonts w:ascii="Arial" w:cs="Arial" w:eastAsia="Arial" w:hAnsi="Arial"/>
                <w:sz w:val="14"/>
                <w:szCs w:val="14"/>
                <w:color w:val="auto"/>
              </w:rPr>
              <w:t>LASTICS</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04/03/2015</w:t>
            </w:r>
          </w:p>
        </w:tc>
        <w:tc>
          <w:tcPr>
            <w:tcW w:w="1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8"/>
              </w:rPr>
              <w:t>C</w:t>
            </w:r>
            <w:r>
              <w:rPr>
                <w:rFonts w:ascii="Arial" w:cs="Arial" w:eastAsia="Arial" w:hAnsi="Arial"/>
                <w:sz w:val="14"/>
                <w:szCs w:val="14"/>
                <w:color w:val="auto"/>
                <w:w w:val="98"/>
              </w:rPr>
              <w:t>ONTAINERS</w:t>
            </w:r>
            <w:r>
              <w:rPr>
                <w:rFonts w:ascii="Arial" w:cs="Arial" w:eastAsia="Arial" w:hAnsi="Arial"/>
                <w:sz w:val="18"/>
                <w:szCs w:val="18"/>
                <w:color w:val="auto"/>
                <w:w w:val="98"/>
              </w:rPr>
              <w:t>,</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7.34%</w:t>
            </w:r>
          </w:p>
        </w:tc>
        <w:tc>
          <w:tcPr>
            <w:tcW w:w="6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L+200</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$ 7,462,500</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$ 7,462,500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$ 7,274,602</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ACKAGING</w:t>
            </w:r>
            <w:r>
              <w:rPr>
                <w:rFonts w:ascii="Arial" w:cs="Arial" w:eastAsia="Arial" w:hAnsi="Arial"/>
                <w:sz w:val="18"/>
                <w:szCs w:val="18"/>
                <w:color w:val="auto"/>
              </w:rPr>
              <w:t xml:space="preserve"> &amp; G</w:t>
            </w:r>
            <w:r>
              <w:rPr>
                <w:rFonts w:ascii="Arial" w:cs="Arial" w:eastAsia="Arial" w:hAnsi="Arial"/>
                <w:sz w:val="14"/>
                <w:szCs w:val="14"/>
                <w:color w:val="auto"/>
              </w:rPr>
              <w:t>LASS</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URLINGTON</w:t>
            </w:r>
            <w:r>
              <w:rPr>
                <w:rFonts w:ascii="Arial" w:cs="Arial" w:eastAsia="Arial" w:hAnsi="Arial"/>
                <w:sz w:val="18"/>
                <w:szCs w:val="18"/>
                <w:color w:val="auto"/>
              </w:rPr>
              <w:t xml:space="preserve"> C</w:t>
            </w:r>
            <w:r>
              <w:rPr>
                <w:rFonts w:ascii="Arial" w:cs="Arial" w:eastAsia="Arial" w:hAnsi="Arial"/>
                <w:sz w:val="14"/>
                <w:szCs w:val="14"/>
                <w:color w:val="auto"/>
              </w:rPr>
              <w:t>OAT</w:t>
            </w:r>
            <w:r>
              <w:rPr>
                <w:rFonts w:ascii="Arial" w:cs="Arial" w:eastAsia="Arial" w:hAnsi="Arial"/>
                <w:sz w:val="18"/>
                <w:szCs w:val="18"/>
                <w:color w:val="auto"/>
              </w:rPr>
              <w:t xml:space="preserve"> F</w:t>
            </w:r>
            <w:r>
              <w:rPr>
                <w:rFonts w:ascii="Arial" w:cs="Arial" w:eastAsia="Arial" w:hAnsi="Arial"/>
                <w:sz w:val="14"/>
                <w:szCs w:val="14"/>
                <w:color w:val="auto"/>
              </w:rPr>
              <w:t>ACTORY</w:t>
            </w:r>
            <w:r>
              <w:rPr>
                <w:rFonts w:ascii="Arial" w:cs="Arial" w:eastAsia="Arial" w:hAnsi="Arial"/>
                <w:sz w:val="18"/>
                <w:szCs w:val="18"/>
                <w:color w:val="auto"/>
              </w:rPr>
              <w:t xml:space="preserve"> W</w:t>
            </w:r>
            <w:r>
              <w:rPr>
                <w:rFonts w:ascii="Arial" w:cs="Arial" w:eastAsia="Arial" w:hAnsi="Arial"/>
                <w:sz w:val="14"/>
                <w:szCs w:val="14"/>
                <w:color w:val="auto"/>
              </w:rPr>
              <w:t>AREHOUSE</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05/28/2013</w:t>
            </w: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R</w:t>
            </w:r>
            <w:r>
              <w:rPr>
                <w:rFonts w:ascii="Arial" w:cs="Arial" w:eastAsia="Arial" w:hAnsi="Arial"/>
                <w:sz w:val="14"/>
                <w:szCs w:val="14"/>
                <w:color w:val="auto"/>
                <w:w w:val="96"/>
              </w:rPr>
              <w:t>ETAIL</w:t>
            </w:r>
            <w:r>
              <w:rPr>
                <w:rFonts w:ascii="Arial" w:cs="Arial" w:eastAsia="Arial" w:hAnsi="Arial"/>
                <w:sz w:val="18"/>
                <w:szCs w:val="18"/>
                <w:color w:val="auto"/>
                <w:w w:val="96"/>
              </w:rPr>
              <w:t xml:space="preserve"> S</w:t>
            </w:r>
            <w:r>
              <w:rPr>
                <w:rFonts w:ascii="Arial" w:cs="Arial" w:eastAsia="Arial" w:hAnsi="Arial"/>
                <w:sz w:val="14"/>
                <w:szCs w:val="14"/>
                <w:color w:val="auto"/>
                <w:w w:val="96"/>
              </w:rPr>
              <w:t>TORE</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7.76%</w:t>
            </w:r>
          </w:p>
        </w:tc>
        <w:tc>
          <w:tcPr>
            <w:tcW w:w="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L+225</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7,896,473</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7,887,537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7,571,975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ORP</w:t>
            </w: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56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HARTER</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03/06/2014</w:t>
            </w:r>
          </w:p>
        </w:tc>
        <w:tc>
          <w:tcPr>
            <w:tcW w:w="1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ABLE</w:t>
            </w:r>
            <w:r>
              <w:rPr>
                <w:rFonts w:ascii="Arial" w:cs="Arial" w:eastAsia="Arial" w:hAnsi="Arial"/>
                <w:sz w:val="18"/>
                <w:szCs w:val="18"/>
                <w:color w:val="auto"/>
              </w:rPr>
              <w:t xml:space="preserve"> T</w:t>
            </w:r>
            <w:r>
              <w:rPr>
                <w:rFonts w:ascii="Arial" w:cs="Arial" w:eastAsia="Arial" w:hAnsi="Arial"/>
                <w:sz w:val="14"/>
                <w:szCs w:val="14"/>
                <w:color w:val="auto"/>
              </w:rPr>
              <w:t>ELEVISION</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7.13%</w:t>
            </w:r>
          </w:p>
        </w:tc>
        <w:tc>
          <w:tcPr>
            <w:tcW w:w="6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L+200</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15,000,000</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14,992,740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14,468,310</w:t>
            </w:r>
          </w:p>
        </w:tc>
        <w:tc>
          <w:tcPr>
            <w:tcW w:w="0" w:type="dxa"/>
            <w:vAlign w:val="bottom"/>
          </w:tcPr>
          <w:p>
            <w:pPr>
              <w:spacing w:after="0"/>
              <w:rPr>
                <w:sz w:val="1"/>
                <w:szCs w:val="1"/>
                <w:color w:val="auto"/>
              </w:rPr>
            </w:pPr>
          </w:p>
        </w:tc>
      </w:tr>
      <w:tr>
        <w:trPr>
          <w:trHeight w:val="222"/>
        </w:trPr>
        <w:tc>
          <w:tcPr>
            <w:tcW w:w="3560" w:type="dxa"/>
            <w:vAlign w:val="bottom"/>
            <w:gridSpan w:val="2"/>
          </w:tcPr>
          <w:p>
            <w:pPr>
              <w:ind w:left="220"/>
              <w:spacing w:after="0"/>
              <w:rPr>
                <w:sz w:val="20"/>
                <w:szCs w:val="20"/>
                <w:color w:val="auto"/>
              </w:rPr>
            </w:pPr>
            <w:r>
              <w:rPr>
                <w:rFonts w:ascii="Arial" w:cs="Arial" w:eastAsia="Arial" w:hAnsi="Arial"/>
                <w:sz w:val="18"/>
                <w:szCs w:val="18"/>
                <w:color w:val="auto"/>
              </w:rPr>
              <w:t>L.L.C.</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OHR</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01/31/2013</w:t>
            </w: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EALTHCARE</w:t>
            </w:r>
            <w:r>
              <w:rPr>
                <w:rFonts w:ascii="Arial" w:cs="Arial" w:eastAsia="Arial" w:hAnsi="Arial"/>
                <w:sz w:val="18"/>
                <w:szCs w:val="18"/>
                <w:color w:val="auto"/>
                <w:w w:val="99"/>
              </w:rPr>
              <w:t>,</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8.04%</w:t>
            </w:r>
          </w:p>
        </w:tc>
        <w:tc>
          <w:tcPr>
            <w:tcW w:w="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L+250</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2,985,000</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2,985,000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3560" w:type="dxa"/>
            <w:vAlign w:val="bottom"/>
            <w:gridSpan w:val="2"/>
          </w:tcPr>
          <w:p>
            <w:pPr>
              <w:spacing w:after="0"/>
              <w:rPr>
                <w:sz w:val="20"/>
                <w:szCs w:val="20"/>
                <w:color w:val="auto"/>
              </w:rPr>
            </w:pPr>
            <w:r>
              <w:rPr>
                <w:rFonts w:ascii="Arial" w:cs="Arial" w:eastAsia="Arial" w:hAnsi="Arial"/>
                <w:sz w:val="18"/>
                <w:szCs w:val="18"/>
                <w:color w:val="auto"/>
              </w:rPr>
              <w:t>FR B</w:t>
            </w:r>
            <w:r>
              <w:rPr>
                <w:rFonts w:ascii="Arial" w:cs="Arial" w:eastAsia="Arial" w:hAnsi="Arial"/>
                <w:sz w:val="14"/>
                <w:szCs w:val="14"/>
                <w:color w:val="auto"/>
              </w:rPr>
              <w:t>RAND</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02/07/2014</w:t>
            </w:r>
          </w:p>
        </w:tc>
        <w:tc>
          <w:tcPr>
            <w:tcW w:w="1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NERGY</w:t>
            </w:r>
            <w:r>
              <w:rPr>
                <w:rFonts w:ascii="Arial" w:cs="Arial" w:eastAsia="Arial" w:hAnsi="Arial"/>
                <w:sz w:val="18"/>
                <w:szCs w:val="18"/>
                <w:color w:val="auto"/>
              </w:rPr>
              <w:t xml:space="preserve"> / U</w:t>
            </w:r>
            <w:r>
              <w:rPr>
                <w:rFonts w:ascii="Arial" w:cs="Arial" w:eastAsia="Arial" w:hAnsi="Arial"/>
                <w:sz w:val="14"/>
                <w:szCs w:val="14"/>
                <w:color w:val="auto"/>
              </w:rPr>
              <w:t>TILITIES</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7.53%</w:t>
            </w:r>
          </w:p>
        </w:tc>
        <w:tc>
          <w:tcPr>
            <w:tcW w:w="6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L+225</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1,990,000</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1,990,000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1,887,183</w:t>
            </w: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ATEHOUSE</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08/28/2014</w:t>
            </w: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EDIA</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7.47%</w:t>
            </w:r>
          </w:p>
        </w:tc>
        <w:tc>
          <w:tcPr>
            <w:tcW w:w="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L+200</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7,000,000</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7,000,000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6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ENERAL</w:t>
            </w:r>
            <w:r>
              <w:rPr>
                <w:rFonts w:ascii="Arial" w:cs="Arial" w:eastAsia="Arial" w:hAnsi="Arial"/>
                <w:sz w:val="18"/>
                <w:szCs w:val="18"/>
                <w:color w:val="auto"/>
              </w:rPr>
              <w:t xml:space="preserve"> N</w:t>
            </w:r>
            <w:r>
              <w:rPr>
                <w:rFonts w:ascii="Arial" w:cs="Arial" w:eastAsia="Arial" w:hAnsi="Arial"/>
                <w:sz w:val="14"/>
                <w:szCs w:val="14"/>
                <w:color w:val="auto"/>
              </w:rPr>
              <w:t>UTRITION</w:t>
            </w:r>
            <w:r>
              <w:rPr>
                <w:rFonts w:ascii="Arial" w:cs="Arial" w:eastAsia="Arial" w:hAnsi="Arial"/>
                <w:sz w:val="18"/>
                <w:szCs w:val="18"/>
                <w:color w:val="auto"/>
              </w:rPr>
              <w:t xml:space="preserve"> C</w:t>
            </w:r>
            <w:r>
              <w:rPr>
                <w:rFonts w:ascii="Arial" w:cs="Arial" w:eastAsia="Arial" w:hAnsi="Arial"/>
                <w:sz w:val="14"/>
                <w:szCs w:val="14"/>
                <w:color w:val="auto"/>
              </w:rPr>
              <w:t>ENTERS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09/16/2013</w:t>
            </w:r>
          </w:p>
        </w:tc>
        <w:tc>
          <w:tcPr>
            <w:tcW w:w="1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6"/>
              </w:rPr>
              <w:t>R</w:t>
            </w:r>
            <w:r>
              <w:rPr>
                <w:rFonts w:ascii="Arial" w:cs="Arial" w:eastAsia="Arial" w:hAnsi="Arial"/>
                <w:sz w:val="14"/>
                <w:szCs w:val="14"/>
                <w:color w:val="auto"/>
                <w:w w:val="96"/>
              </w:rPr>
              <w:t>ETAIL</w:t>
            </w:r>
            <w:r>
              <w:rPr>
                <w:rFonts w:ascii="Arial" w:cs="Arial" w:eastAsia="Arial" w:hAnsi="Arial"/>
                <w:sz w:val="18"/>
                <w:szCs w:val="18"/>
                <w:color w:val="auto"/>
                <w:w w:val="96"/>
              </w:rPr>
              <w:t xml:space="preserve"> S</w:t>
            </w:r>
            <w:r>
              <w:rPr>
                <w:rFonts w:ascii="Arial" w:cs="Arial" w:eastAsia="Arial" w:hAnsi="Arial"/>
                <w:sz w:val="14"/>
                <w:szCs w:val="14"/>
                <w:color w:val="auto"/>
                <w:w w:val="96"/>
              </w:rPr>
              <w:t>TORE</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7.61%</w:t>
            </w:r>
          </w:p>
        </w:tc>
        <w:tc>
          <w:tcPr>
            <w:tcW w:w="6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L+225</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6,483,750</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6,487,788</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6,147,405</w:t>
            </w: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REATWIDE</w:t>
            </w:r>
            <w:r>
              <w:rPr>
                <w:rFonts w:ascii="Arial" w:cs="Arial" w:eastAsia="Arial" w:hAnsi="Arial"/>
                <w:sz w:val="18"/>
                <w:szCs w:val="18"/>
                <w:color w:val="auto"/>
              </w:rPr>
              <w:t xml:space="preserve"> L</w:t>
            </w:r>
            <w:r>
              <w:rPr>
                <w:rFonts w:ascii="Arial" w:cs="Arial" w:eastAsia="Arial" w:hAnsi="Arial"/>
                <w:sz w:val="14"/>
                <w:szCs w:val="14"/>
                <w:color w:val="auto"/>
              </w:rPr>
              <w:t>OGISTICS</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12/19/2013</w:t>
            </w: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ARGO</w:t>
            </w:r>
            <w:r>
              <w:rPr>
                <w:rFonts w:ascii="Arial" w:cs="Arial" w:eastAsia="Arial" w:hAnsi="Arial"/>
                <w:sz w:val="18"/>
                <w:szCs w:val="18"/>
                <w:color w:val="auto"/>
                <w:w w:val="97"/>
              </w:rPr>
              <w:t xml:space="preserve"> T</w:t>
            </w:r>
            <w:r>
              <w:rPr>
                <w:rFonts w:ascii="Arial" w:cs="Arial" w:eastAsia="Arial" w:hAnsi="Arial"/>
                <w:sz w:val="14"/>
                <w:szCs w:val="14"/>
                <w:color w:val="auto"/>
                <w:w w:val="97"/>
              </w:rPr>
              <w:t>RANSPORT</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8.70%</w:t>
            </w:r>
          </w:p>
        </w:tc>
        <w:tc>
          <w:tcPr>
            <w:tcW w:w="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L+350</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6,947,500</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6,947,500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6,079,062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6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ANLEY</w:t>
            </w:r>
            <w:r>
              <w:rPr>
                <w:rFonts w:ascii="Arial" w:cs="Arial" w:eastAsia="Arial" w:hAnsi="Arial"/>
                <w:sz w:val="18"/>
                <w:szCs w:val="18"/>
                <w:color w:val="auto"/>
              </w:rPr>
              <w:t>-W</w:t>
            </w:r>
            <w:r>
              <w:rPr>
                <w:rFonts w:ascii="Arial" w:cs="Arial" w:eastAsia="Arial" w:hAnsi="Arial"/>
                <w:sz w:val="14"/>
                <w:szCs w:val="14"/>
                <w:color w:val="auto"/>
              </w:rPr>
              <w:t>OOD</w:t>
            </w:r>
            <w:r>
              <w:rPr>
                <w:rFonts w:ascii="Arial" w:cs="Arial" w:eastAsia="Arial" w:hAnsi="Arial"/>
                <w:sz w:val="18"/>
                <w:szCs w:val="18"/>
                <w:color w:val="auto"/>
              </w:rPr>
              <w:t>, L.L.C.</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03/08/2014</w:t>
            </w:r>
          </w:p>
        </w:tc>
        <w:tc>
          <w:tcPr>
            <w:tcW w:w="1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7.60%</w:t>
            </w:r>
          </w:p>
        </w:tc>
        <w:tc>
          <w:tcPr>
            <w:tcW w:w="6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L+225</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9,000,000</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9,000,000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7,845,003</w:t>
            </w: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AWKER</w:t>
            </w:r>
            <w:r>
              <w:rPr>
                <w:rFonts w:ascii="Arial" w:cs="Arial" w:eastAsia="Arial" w:hAnsi="Arial"/>
                <w:sz w:val="18"/>
                <w:szCs w:val="18"/>
                <w:color w:val="auto"/>
              </w:rPr>
              <w:t xml:space="preserve"> B</w:t>
            </w:r>
            <w:r>
              <w:rPr>
                <w:rFonts w:ascii="Arial" w:cs="Arial" w:eastAsia="Arial" w:hAnsi="Arial"/>
                <w:sz w:val="14"/>
                <w:szCs w:val="14"/>
                <w:color w:val="auto"/>
              </w:rPr>
              <w:t>EECHCRAFT</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03/28/2014</w:t>
            </w: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EROSPACE</w:t>
            </w:r>
            <w:r>
              <w:rPr>
                <w:rFonts w:ascii="Arial" w:cs="Arial" w:eastAsia="Arial" w:hAnsi="Arial"/>
                <w:sz w:val="18"/>
                <w:szCs w:val="18"/>
                <w:color w:val="auto"/>
                <w:w w:val="97"/>
              </w:rPr>
              <w:t xml:space="preserve"> &amp; D</w:t>
            </w:r>
            <w:r>
              <w:rPr>
                <w:rFonts w:ascii="Arial" w:cs="Arial" w:eastAsia="Arial" w:hAnsi="Arial"/>
                <w:sz w:val="14"/>
                <w:szCs w:val="14"/>
                <w:color w:val="auto"/>
                <w:w w:val="97"/>
              </w:rPr>
              <w:t>EFENSE</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7.21%</w:t>
            </w:r>
          </w:p>
        </w:tc>
        <w:tc>
          <w:tcPr>
            <w:tcW w:w="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L+200</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1,990,780</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1,990,780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1,930,226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56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w:t>
            </w:r>
            <w:r>
              <w:rPr>
                <w:rFonts w:ascii="Arial" w:cs="Arial" w:eastAsia="Arial" w:hAnsi="Arial"/>
                <w:sz w:val="18"/>
                <w:szCs w:val="18"/>
                <w:color w:val="auto"/>
              </w:rPr>
              <w:t xml:space="preserve"> M</w:t>
            </w:r>
            <w:r>
              <w:rPr>
                <w:rFonts w:ascii="Arial" w:cs="Arial" w:eastAsia="Arial" w:hAnsi="Arial"/>
                <w:sz w:val="14"/>
                <w:szCs w:val="14"/>
                <w:color w:val="auto"/>
              </w:rPr>
              <w:t>ANAGEMENT</w:t>
            </w:r>
            <w:r>
              <w:rPr>
                <w:rFonts w:ascii="Arial" w:cs="Arial" w:eastAsia="Arial" w:hAnsi="Arial"/>
                <w:sz w:val="18"/>
                <w:szCs w:val="18"/>
                <w:color w:val="auto"/>
              </w:rPr>
              <w:t xml:space="preserve"> A</w:t>
            </w:r>
            <w:r>
              <w:rPr>
                <w:rFonts w:ascii="Arial" w:cs="Arial" w:eastAsia="Arial" w:hAnsi="Arial"/>
                <w:sz w:val="14"/>
                <w:szCs w:val="14"/>
                <w:color w:val="auto"/>
              </w:rPr>
              <w:t>SSOCIATES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02/28/2014</w:t>
            </w:r>
          </w:p>
        </w:tc>
        <w:tc>
          <w:tcPr>
            <w:tcW w:w="1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EALTHCARE</w:t>
            </w:r>
            <w:r>
              <w:rPr>
                <w:rFonts w:ascii="Arial" w:cs="Arial" w:eastAsia="Arial" w:hAnsi="Arial"/>
                <w:sz w:val="18"/>
                <w:szCs w:val="18"/>
                <w:color w:val="auto"/>
                <w:w w:val="99"/>
              </w:rPr>
              <w:t>,</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6.95%</w:t>
            </w:r>
          </w:p>
        </w:tc>
        <w:tc>
          <w:tcPr>
            <w:tcW w:w="6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L+175</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9,950,000</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9,950,000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9,441,615</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UGHES</w:t>
            </w:r>
            <w:r>
              <w:rPr>
                <w:rFonts w:ascii="Arial" w:cs="Arial" w:eastAsia="Arial" w:hAnsi="Arial"/>
                <w:sz w:val="18"/>
                <w:szCs w:val="18"/>
                <w:color w:val="auto"/>
              </w:rPr>
              <w:t xml:space="preserve"> N</w:t>
            </w:r>
            <w:r>
              <w:rPr>
                <w:rFonts w:ascii="Arial" w:cs="Arial" w:eastAsia="Arial" w:hAnsi="Arial"/>
                <w:sz w:val="14"/>
                <w:szCs w:val="14"/>
                <w:color w:val="auto"/>
              </w:rPr>
              <w:t>ETWORK</w:t>
            </w:r>
            <w:r>
              <w:rPr>
                <w:rFonts w:ascii="Arial" w:cs="Arial" w:eastAsia="Arial" w:hAnsi="Arial"/>
                <w:sz w:val="18"/>
                <w:szCs w:val="18"/>
                <w:color w:val="auto"/>
              </w:rPr>
              <w:t xml:space="preserve"> S</w:t>
            </w:r>
            <w:r>
              <w:rPr>
                <w:rFonts w:ascii="Arial" w:cs="Arial" w:eastAsia="Arial" w:hAnsi="Arial"/>
                <w:sz w:val="14"/>
                <w:szCs w:val="14"/>
                <w:color w:val="auto"/>
              </w:rPr>
              <w:t>YSTEMS</w:t>
            </w:r>
            <w:r>
              <w:rPr>
                <w:rFonts w:ascii="Arial" w:cs="Arial" w:eastAsia="Arial" w:hAnsi="Arial"/>
                <w:sz w:val="18"/>
                <w:szCs w:val="18"/>
                <w:color w:val="auto"/>
              </w:rPr>
              <w:t>, L.L.C.</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04/15/2014</w:t>
            </w: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8.06%</w:t>
            </w:r>
          </w:p>
        </w:tc>
        <w:tc>
          <w:tcPr>
            <w:tcW w:w="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L+250</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5,000,000</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560" w:type="dxa"/>
            <w:vAlign w:val="bottom"/>
            <w:gridSpan w:val="2"/>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ACUZZI</w:t>
            </w:r>
            <w:r>
              <w:rPr>
                <w:rFonts w:ascii="Arial" w:cs="Arial" w:eastAsia="Arial" w:hAnsi="Arial"/>
                <w:sz w:val="18"/>
                <w:szCs w:val="18"/>
                <w:color w:val="auto"/>
              </w:rPr>
              <w:t xml:space="preserve"> B</w:t>
            </w:r>
            <w:r>
              <w:rPr>
                <w:rFonts w:ascii="Arial" w:cs="Arial" w:eastAsia="Arial" w:hAnsi="Arial"/>
                <w:sz w:val="14"/>
                <w:szCs w:val="14"/>
                <w:color w:val="auto"/>
              </w:rPr>
              <w:t>RANDS</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02/07/2014</w:t>
            </w:r>
          </w:p>
        </w:tc>
        <w:tc>
          <w:tcPr>
            <w:tcW w:w="1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7.44%</w:t>
            </w:r>
          </w:p>
        </w:tc>
        <w:tc>
          <w:tcPr>
            <w:tcW w:w="6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L+225</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9,963,514</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9,963,514</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8,947,235</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8"/>
              </w:rPr>
              <w:t>F</w:t>
            </w:r>
            <w:r>
              <w:rPr>
                <w:rFonts w:ascii="Arial" w:cs="Arial" w:eastAsia="Arial" w:hAnsi="Arial"/>
                <w:sz w:val="14"/>
                <w:szCs w:val="14"/>
                <w:color w:val="auto"/>
                <w:w w:val="98"/>
              </w:rPr>
              <w:t>URNISHINGS</w:t>
            </w:r>
            <w:r>
              <w:rPr>
                <w:rFonts w:ascii="Arial" w:cs="Arial" w:eastAsia="Arial" w:hAnsi="Arial"/>
                <w:sz w:val="18"/>
                <w:szCs w:val="18"/>
                <w:color w:val="auto"/>
                <w:w w:val="98"/>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OUSEWARES</w:t>
            </w:r>
            <w:r>
              <w:rPr>
                <w:rFonts w:ascii="Arial" w:cs="Arial" w:eastAsia="Arial" w:hAnsi="Arial"/>
                <w:sz w:val="18"/>
                <w:szCs w:val="18"/>
                <w:color w:val="auto"/>
                <w:w w:val="98"/>
              </w:rPr>
              <w:t>, &amp;</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URABLE</w:t>
            </w:r>
            <w:r>
              <w:rPr>
                <w:rFonts w:ascii="Arial" w:cs="Arial" w:eastAsia="Arial" w:hAnsi="Arial"/>
                <w:sz w:val="18"/>
                <w:szCs w:val="18"/>
                <w:color w:val="auto"/>
                <w:w w:val="99"/>
              </w:rPr>
              <w:t xml:space="preserve"> C</w:t>
            </w:r>
            <w:r>
              <w:rPr>
                <w:rFonts w:ascii="Arial" w:cs="Arial" w:eastAsia="Arial" w:hAnsi="Arial"/>
                <w:sz w:val="14"/>
                <w:szCs w:val="14"/>
                <w:color w:val="auto"/>
                <w:w w:val="99"/>
              </w:rPr>
              <w:t>ONSUMER</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EVEL</w:t>
            </w:r>
            <w:r>
              <w:rPr>
                <w:rFonts w:ascii="Arial" w:cs="Arial" w:eastAsia="Arial" w:hAnsi="Arial"/>
                <w:sz w:val="18"/>
                <w:szCs w:val="18"/>
                <w:color w:val="auto"/>
              </w:rPr>
              <w:t xml:space="preserve"> 3 F</w:t>
            </w:r>
            <w:r>
              <w:rPr>
                <w:rFonts w:ascii="Arial" w:cs="Arial" w:eastAsia="Arial" w:hAnsi="Arial"/>
                <w:sz w:val="14"/>
                <w:szCs w:val="14"/>
                <w:color w:val="auto"/>
              </w:rPr>
              <w:t>INANCING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03/13/2014</w:t>
            </w: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7.61%</w:t>
            </w:r>
          </w:p>
        </w:tc>
        <w:tc>
          <w:tcPr>
            <w:tcW w:w="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L+225</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2,000,000</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1,939,642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6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EVLAD</w:t>
            </w:r>
            <w:r>
              <w:rPr>
                <w:rFonts w:ascii="Arial" w:cs="Arial" w:eastAsia="Arial" w:hAnsi="Arial"/>
                <w:sz w:val="18"/>
                <w:szCs w:val="18"/>
                <w:color w:val="auto"/>
              </w:rPr>
              <w:t>, L.L.C.</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03/08/2014</w:t>
            </w:r>
          </w:p>
        </w:tc>
        <w:tc>
          <w:tcPr>
            <w:tcW w:w="1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7.58%</w:t>
            </w:r>
          </w:p>
        </w:tc>
        <w:tc>
          <w:tcPr>
            <w:tcW w:w="6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L+225</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4,842,920</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4,842,920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3,357,757</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Basis</w:t>
            </w: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Point</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Spread</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60" w:type="dxa"/>
            <w:vAlign w:val="bottom"/>
            <w:vMerge w:val="restart"/>
          </w:tcPr>
          <w:p>
            <w:pPr>
              <w:spacing w:after="0"/>
              <w:rPr>
                <w:sz w:val="20"/>
                <w:szCs w:val="20"/>
                <w:color w:val="auto"/>
              </w:rPr>
            </w:pPr>
            <w:r>
              <w:rPr>
                <w:rFonts w:ascii="Arial" w:cs="Arial" w:eastAsia="Arial" w:hAnsi="Arial"/>
                <w:sz w:val="13"/>
                <w:szCs w:val="13"/>
                <w:b w:val="1"/>
                <w:bCs w:val="1"/>
                <w:color w:val="auto"/>
                <w:w w:val="89"/>
              </w:rPr>
              <w:t>Issuer name</w:t>
            </w:r>
            <w:r>
              <w:rPr>
                <w:rFonts w:ascii="Arial" w:cs="Arial" w:eastAsia="Arial" w:hAnsi="Arial"/>
                <w:sz w:val="22"/>
                <w:szCs w:val="22"/>
                <w:b w:val="1"/>
                <w:bCs w:val="1"/>
                <w:color w:val="auto"/>
                <w:w w:val="89"/>
                <w:vertAlign w:val="superscript"/>
              </w:rPr>
              <w:t>(1)</w:t>
            </w:r>
          </w:p>
        </w:tc>
        <w:tc>
          <w:tcPr>
            <w:tcW w:w="2720" w:type="dxa"/>
            <w:vAlign w:val="bottom"/>
            <w:vMerge w:val="restart"/>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3"/>
              </w:rPr>
              <w:t>Current</w:t>
            </w:r>
          </w:p>
        </w:tc>
        <w:tc>
          <w:tcPr>
            <w:tcW w:w="6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Above</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ind w:right="133"/>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22"/>
                <w:szCs w:val="22"/>
                <w:b w:val="1"/>
                <w:bCs w:val="1"/>
                <w:color w:val="auto"/>
                <w:vertAlign w:val="superscript"/>
              </w:rPr>
              <w:t>(2)</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60" w:type="dxa"/>
            <w:vAlign w:val="bottom"/>
            <w:tcBorders>
              <w:bottom w:val="single" w:sz="8" w:color="auto"/>
            </w:tcBorders>
            <w:vMerge w:val="continue"/>
          </w:tcPr>
          <w:p>
            <w:pPr>
              <w:spacing w:after="0"/>
              <w:rPr>
                <w:sz w:val="15"/>
                <w:szCs w:val="15"/>
                <w:color w:val="auto"/>
              </w:rPr>
            </w:pPr>
          </w:p>
        </w:tc>
        <w:tc>
          <w:tcPr>
            <w:tcW w:w="2720" w:type="dxa"/>
            <w:vAlign w:val="bottom"/>
            <w:vMerge w:val="continue"/>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Maturity</w:t>
            </w:r>
          </w:p>
        </w:tc>
        <w:tc>
          <w:tcPr>
            <w:tcW w:w="200" w:type="dxa"/>
            <w:vAlign w:val="bottom"/>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20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Coupon</w:t>
            </w:r>
          </w:p>
        </w:tc>
        <w:tc>
          <w:tcPr>
            <w:tcW w:w="340" w:type="dxa"/>
            <w:vAlign w:val="bottom"/>
          </w:tcPr>
          <w:p>
            <w:pPr>
              <w:spacing w:after="0"/>
              <w:rPr>
                <w:sz w:val="15"/>
                <w:szCs w:val="15"/>
                <w:color w:val="auto"/>
              </w:rPr>
            </w:pPr>
          </w:p>
        </w:tc>
        <w:tc>
          <w:tcPr>
            <w:tcW w:w="5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(3)</w:t>
            </w:r>
          </w:p>
        </w:tc>
        <w:tc>
          <w:tcPr>
            <w:tcW w:w="180" w:type="dxa"/>
            <w:vAlign w:val="bottom"/>
          </w:tcPr>
          <w:p>
            <w:pPr>
              <w:spacing w:after="0"/>
              <w:rPr>
                <w:sz w:val="15"/>
                <w:szCs w:val="15"/>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Par</w:t>
            </w:r>
          </w:p>
        </w:tc>
        <w:tc>
          <w:tcPr>
            <w:tcW w:w="180" w:type="dxa"/>
            <w:vAlign w:val="bottom"/>
          </w:tcPr>
          <w:p>
            <w:pPr>
              <w:spacing w:after="0"/>
              <w:rPr>
                <w:sz w:val="15"/>
                <w:szCs w:val="15"/>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First Lien Secured Debt - (Continued)</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8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ONGVIEW</w:t>
            </w:r>
            <w:r>
              <w:rPr>
                <w:rFonts w:ascii="Arial" w:cs="Arial" w:eastAsia="Arial" w:hAnsi="Arial"/>
                <w:sz w:val="18"/>
                <w:szCs w:val="18"/>
                <w:color w:val="auto"/>
              </w:rPr>
              <w:t xml:space="preserve"> P</w:t>
            </w:r>
            <w:r>
              <w:rPr>
                <w:rFonts w:ascii="Arial" w:cs="Arial" w:eastAsia="Arial" w:hAnsi="Arial"/>
                <w:sz w:val="14"/>
                <w:szCs w:val="14"/>
                <w:color w:val="auto"/>
              </w:rPr>
              <w:t>OWER</w:t>
            </w:r>
            <w:r>
              <w:rPr>
                <w:rFonts w:ascii="Arial" w:cs="Arial" w:eastAsia="Arial" w:hAnsi="Arial"/>
                <w:sz w:val="18"/>
                <w:szCs w:val="18"/>
                <w:color w:val="auto"/>
              </w:rPr>
              <w:t>, L.L.C.</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02/28/2014</w:t>
            </w:r>
          </w:p>
        </w:tc>
        <w:tc>
          <w:tcPr>
            <w:tcW w:w="20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7.56%</w:t>
            </w:r>
          </w:p>
        </w:tc>
        <w:tc>
          <w:tcPr>
            <w:tcW w:w="6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L+225</w:t>
            </w:r>
          </w:p>
        </w:tc>
        <w:tc>
          <w:tcPr>
            <w:tcW w:w="900" w:type="dxa"/>
            <w:vAlign w:val="bottom"/>
          </w:tcPr>
          <w:p>
            <w:pPr>
              <w:jc w:val="right"/>
              <w:spacing w:after="0"/>
              <w:rPr>
                <w:sz w:val="20"/>
                <w:szCs w:val="20"/>
                <w:color w:val="auto"/>
              </w:rPr>
            </w:pPr>
            <w:r>
              <w:rPr>
                <w:rFonts w:ascii="Arial" w:cs="Arial" w:eastAsia="Arial" w:hAnsi="Arial"/>
                <w:sz w:val="18"/>
                <w:szCs w:val="18"/>
                <w:color w:val="auto"/>
                <w:w w:val="92"/>
              </w:rPr>
              <w:t>$ 2,020,000</w:t>
            </w:r>
          </w:p>
        </w:tc>
        <w:tc>
          <w:tcPr>
            <w:tcW w:w="18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$ 2,020,000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$ 1,939,200</w:t>
            </w: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ONGVIEW</w:t>
            </w:r>
            <w:r>
              <w:rPr>
                <w:rFonts w:ascii="Arial" w:cs="Arial" w:eastAsia="Arial" w:hAnsi="Arial"/>
                <w:sz w:val="18"/>
                <w:szCs w:val="18"/>
                <w:color w:val="auto"/>
              </w:rPr>
              <w:t xml:space="preserve"> P</w:t>
            </w:r>
            <w:r>
              <w:rPr>
                <w:rFonts w:ascii="Arial" w:cs="Arial" w:eastAsia="Arial" w:hAnsi="Arial"/>
                <w:sz w:val="14"/>
                <w:szCs w:val="14"/>
                <w:color w:val="auto"/>
              </w:rPr>
              <w:t>OWER</w:t>
            </w:r>
            <w:r>
              <w:rPr>
                <w:rFonts w:ascii="Arial" w:cs="Arial" w:eastAsia="Arial" w:hAnsi="Arial"/>
                <w:sz w:val="18"/>
                <w:szCs w:val="18"/>
                <w:color w:val="auto"/>
              </w:rPr>
              <w:t>, L.L.C.(4)</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02/28/2014</w:t>
            </w: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980,000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940,800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8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ACH</w:t>
            </w:r>
            <w:r>
              <w:rPr>
                <w:rFonts w:ascii="Arial" w:cs="Arial" w:eastAsia="Arial" w:hAnsi="Arial"/>
                <w:sz w:val="18"/>
                <w:szCs w:val="18"/>
                <w:color w:val="auto"/>
              </w:rPr>
              <w:t xml:space="preserve"> G</w:t>
            </w:r>
            <w:r>
              <w:rPr>
                <w:rFonts w:ascii="Arial" w:cs="Arial" w:eastAsia="Arial" w:hAnsi="Arial"/>
                <w:sz w:val="14"/>
                <w:szCs w:val="14"/>
                <w:color w:val="auto"/>
              </w:rPr>
              <w:t>EN</w:t>
            </w:r>
            <w:r>
              <w:rPr>
                <w:rFonts w:ascii="Arial" w:cs="Arial" w:eastAsia="Arial" w:hAnsi="Arial"/>
                <w:sz w:val="18"/>
                <w:szCs w:val="18"/>
                <w:color w:val="auto"/>
              </w:rPr>
              <w:t>, L.L.C.</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02/22/2014</w:t>
            </w:r>
          </w:p>
        </w:tc>
        <w:tc>
          <w:tcPr>
            <w:tcW w:w="20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7.34%</w:t>
            </w:r>
          </w:p>
        </w:tc>
        <w:tc>
          <w:tcPr>
            <w:tcW w:w="6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L+200</w:t>
            </w:r>
          </w:p>
        </w:tc>
        <w:tc>
          <w:tcPr>
            <w:tcW w:w="900" w:type="dxa"/>
            <w:vAlign w:val="bottom"/>
          </w:tcPr>
          <w:p>
            <w:pPr>
              <w:jc w:val="right"/>
              <w:spacing w:after="0"/>
              <w:rPr>
                <w:sz w:val="20"/>
                <w:szCs w:val="20"/>
                <w:color w:val="auto"/>
              </w:rPr>
            </w:pPr>
            <w:r>
              <w:rPr>
                <w:rFonts w:ascii="Arial" w:cs="Arial" w:eastAsia="Arial" w:hAnsi="Arial"/>
                <w:sz w:val="18"/>
                <w:szCs w:val="18"/>
                <w:color w:val="auto"/>
              </w:rPr>
              <w:t>3,972,813</w:t>
            </w:r>
          </w:p>
        </w:tc>
        <w:tc>
          <w:tcPr>
            <w:tcW w:w="18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3,971,545</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3,845,683</w:t>
            </w: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ATTRESS</w:t>
            </w:r>
            <w:r>
              <w:rPr>
                <w:rFonts w:ascii="Arial" w:cs="Arial" w:eastAsia="Arial" w:hAnsi="Arial"/>
                <w:sz w:val="18"/>
                <w:szCs w:val="18"/>
                <w:color w:val="auto"/>
              </w:rPr>
              <w:t xml:space="preserve"> H</w:t>
            </w:r>
            <w:r>
              <w:rPr>
                <w:rFonts w:ascii="Arial" w:cs="Arial" w:eastAsia="Arial" w:hAnsi="Arial"/>
                <w:sz w:val="14"/>
                <w:szCs w:val="14"/>
                <w:color w:val="auto"/>
              </w:rPr>
              <w:t>OLDING</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01/18/2014</w:t>
            </w: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OME</w:t>
            </w:r>
            <w:r>
              <w:rPr>
                <w:rFonts w:ascii="Arial" w:cs="Arial" w:eastAsia="Arial" w:hAnsi="Arial"/>
                <w:sz w:val="18"/>
                <w:szCs w:val="18"/>
                <w:color w:val="auto"/>
              </w:rPr>
              <w:t xml:space="preserve"> &amp; O</w:t>
            </w:r>
            <w:r>
              <w:rPr>
                <w:rFonts w:ascii="Arial" w:cs="Arial" w:eastAsia="Arial" w:hAnsi="Arial"/>
                <w:sz w:val="14"/>
                <w:szCs w:val="14"/>
                <w:color w:val="auto"/>
              </w:rPr>
              <w:t>FFICE</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7.61%</w:t>
            </w:r>
          </w:p>
        </w:tc>
        <w:tc>
          <w:tcPr>
            <w:tcW w:w="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L+225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3,990,000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3,990,000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3,740,625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F</w:t>
            </w:r>
            <w:r>
              <w:rPr>
                <w:rFonts w:ascii="Arial" w:cs="Arial" w:eastAsia="Arial" w:hAnsi="Arial"/>
                <w:sz w:val="14"/>
                <w:szCs w:val="14"/>
                <w:color w:val="auto"/>
                <w:w w:val="98"/>
              </w:rPr>
              <w:t>URNISHINGS</w:t>
            </w:r>
            <w:r>
              <w:rPr>
                <w:rFonts w:ascii="Arial" w:cs="Arial" w:eastAsia="Arial" w:hAnsi="Arial"/>
                <w:sz w:val="18"/>
                <w:szCs w:val="18"/>
                <w:color w:val="auto"/>
                <w:w w:val="98"/>
              </w:rPr>
              <w:t>,</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H</w:t>
            </w:r>
            <w:r>
              <w:rPr>
                <w:rFonts w:ascii="Arial" w:cs="Arial" w:eastAsia="Arial" w:hAnsi="Arial"/>
                <w:sz w:val="14"/>
                <w:szCs w:val="14"/>
                <w:color w:val="auto"/>
                <w:w w:val="96"/>
              </w:rPr>
              <w:t>OUSEWARES</w:t>
            </w:r>
            <w:r>
              <w:rPr>
                <w:rFonts w:ascii="Arial" w:cs="Arial" w:eastAsia="Arial" w:hAnsi="Arial"/>
                <w:sz w:val="18"/>
                <w:szCs w:val="18"/>
                <w:color w:val="auto"/>
                <w:w w:val="96"/>
              </w:rPr>
              <w:t>, &amp;</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URABLE</w:t>
            </w:r>
            <w:r>
              <w:rPr>
                <w:rFonts w:ascii="Arial" w:cs="Arial" w:eastAsia="Arial" w:hAnsi="Arial"/>
                <w:sz w:val="18"/>
                <w:szCs w:val="18"/>
                <w:color w:val="auto"/>
                <w:w w:val="99"/>
              </w:rPr>
              <w:t xml:space="preserve"> C</w:t>
            </w:r>
            <w:r>
              <w:rPr>
                <w:rFonts w:ascii="Arial" w:cs="Arial" w:eastAsia="Arial" w:hAnsi="Arial"/>
                <w:sz w:val="14"/>
                <w:szCs w:val="14"/>
                <w:color w:val="auto"/>
                <w:w w:val="99"/>
              </w:rPr>
              <w:t>ONSUMER</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358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C</w:t>
            </w:r>
            <w:r>
              <w:rPr>
                <w:rFonts w:ascii="Arial" w:cs="Arial" w:eastAsia="Arial" w:hAnsi="Arial"/>
                <w:sz w:val="18"/>
                <w:szCs w:val="18"/>
                <w:color w:val="auto"/>
              </w:rPr>
              <w:t>J</w:t>
            </w:r>
            <w:r>
              <w:rPr>
                <w:rFonts w:ascii="Arial" w:cs="Arial" w:eastAsia="Arial" w:hAnsi="Arial"/>
                <w:sz w:val="14"/>
                <w:szCs w:val="14"/>
                <w:color w:val="auto"/>
              </w:rPr>
              <w:t>UNKIN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01/31/2014</w:t>
            </w:r>
          </w:p>
        </w:tc>
        <w:tc>
          <w:tcPr>
            <w:tcW w:w="20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IL</w:t>
            </w:r>
            <w:r>
              <w:rPr>
                <w:rFonts w:ascii="Arial" w:cs="Arial" w:eastAsia="Arial" w:hAnsi="Arial"/>
                <w:sz w:val="18"/>
                <w:szCs w:val="18"/>
                <w:color w:val="auto"/>
              </w:rPr>
              <w:t xml:space="preserve"> &amp; G</w:t>
            </w:r>
            <w:r>
              <w:rPr>
                <w:rFonts w:ascii="Arial" w:cs="Arial" w:eastAsia="Arial" w:hAnsi="Arial"/>
                <w:sz w:val="14"/>
                <w:szCs w:val="14"/>
                <w:color w:val="auto"/>
              </w:rPr>
              <w:t>AS</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7.45%</w:t>
            </w:r>
          </w:p>
        </w:tc>
        <w:tc>
          <w:tcPr>
            <w:tcW w:w="6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L+225</w:t>
            </w:r>
          </w:p>
        </w:tc>
        <w:tc>
          <w:tcPr>
            <w:tcW w:w="900" w:type="dxa"/>
            <w:vAlign w:val="bottom"/>
          </w:tcPr>
          <w:p>
            <w:pPr>
              <w:jc w:val="right"/>
              <w:spacing w:after="0"/>
              <w:rPr>
                <w:sz w:val="20"/>
                <w:szCs w:val="20"/>
                <w:color w:val="auto"/>
              </w:rPr>
            </w:pPr>
            <w:r>
              <w:rPr>
                <w:rFonts w:ascii="Arial" w:cs="Arial" w:eastAsia="Arial" w:hAnsi="Arial"/>
                <w:sz w:val="18"/>
                <w:szCs w:val="18"/>
                <w:color w:val="auto"/>
              </w:rPr>
              <w:t>982,525</w:t>
            </w:r>
          </w:p>
        </w:tc>
        <w:tc>
          <w:tcPr>
            <w:tcW w:w="18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982,525</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965,331</w:t>
            </w: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ITCHELL</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03/28/2014</w:t>
            </w: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B</w:t>
            </w:r>
            <w:r>
              <w:rPr>
                <w:rFonts w:ascii="Arial" w:cs="Arial" w:eastAsia="Arial" w:hAnsi="Arial"/>
                <w:sz w:val="14"/>
                <w:szCs w:val="14"/>
                <w:color w:val="auto"/>
                <w:w w:val="96"/>
              </w:rPr>
              <w:t>USINESS</w:t>
            </w:r>
            <w:r>
              <w:rPr>
                <w:rFonts w:ascii="Arial" w:cs="Arial" w:eastAsia="Arial" w:hAnsi="Arial"/>
                <w:sz w:val="18"/>
                <w:szCs w:val="18"/>
                <w:color w:val="auto"/>
                <w:w w:val="96"/>
              </w:rPr>
              <w:t xml:space="preserve"> S</w:t>
            </w:r>
            <w:r>
              <w:rPr>
                <w:rFonts w:ascii="Arial" w:cs="Arial" w:eastAsia="Arial" w:hAnsi="Arial"/>
                <w:sz w:val="14"/>
                <w:szCs w:val="14"/>
                <w:color w:val="auto"/>
                <w:w w:val="96"/>
              </w:rPr>
              <w:t>ERVICES</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7.20%</w:t>
            </w:r>
          </w:p>
        </w:tc>
        <w:tc>
          <w:tcPr>
            <w:tcW w:w="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L+200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3,980,000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3,980,000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3,835,725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58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ATIONAL</w:t>
            </w:r>
            <w:r>
              <w:rPr>
                <w:rFonts w:ascii="Arial" w:cs="Arial" w:eastAsia="Arial" w:hAnsi="Arial"/>
                <w:sz w:val="18"/>
                <w:szCs w:val="18"/>
                <w:color w:val="auto"/>
              </w:rPr>
              <w:t xml:space="preserve"> B</w:t>
            </w:r>
            <w:r>
              <w:rPr>
                <w:rFonts w:ascii="Arial" w:cs="Arial" w:eastAsia="Arial" w:hAnsi="Arial"/>
                <w:sz w:val="14"/>
                <w:szCs w:val="14"/>
                <w:color w:val="auto"/>
              </w:rPr>
              <w:t>EDDING</w:t>
            </w:r>
            <w:r>
              <w:rPr>
                <w:rFonts w:ascii="Arial" w:cs="Arial" w:eastAsia="Arial" w:hAnsi="Arial"/>
                <w:sz w:val="18"/>
                <w:szCs w:val="18"/>
                <w:color w:val="auto"/>
              </w:rPr>
              <w:t xml:space="preserve"> C</w:t>
            </w:r>
            <w:r>
              <w:rPr>
                <w:rFonts w:ascii="Arial" w:cs="Arial" w:eastAsia="Arial" w:hAnsi="Arial"/>
                <w:sz w:val="14"/>
                <w:szCs w:val="14"/>
                <w:color w:val="auto"/>
              </w:rPr>
              <w:t>O</w:t>
            </w:r>
            <w:r>
              <w:rPr>
                <w:rFonts w:ascii="Arial" w:cs="Arial" w:eastAsia="Arial" w:hAnsi="Arial"/>
                <w:sz w:val="18"/>
                <w:szCs w:val="18"/>
                <w:color w:val="auto"/>
              </w:rPr>
              <w:t>., L.L.C.</w:t>
            </w: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08/31/2011</w:t>
            </w:r>
          </w:p>
        </w:tc>
        <w:tc>
          <w:tcPr>
            <w:tcW w:w="20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OME</w:t>
            </w:r>
            <w:r>
              <w:rPr>
                <w:rFonts w:ascii="Arial" w:cs="Arial" w:eastAsia="Arial" w:hAnsi="Arial"/>
                <w:sz w:val="18"/>
                <w:szCs w:val="18"/>
                <w:color w:val="auto"/>
              </w:rPr>
              <w:t xml:space="preserve"> &amp; O</w:t>
            </w:r>
            <w:r>
              <w:rPr>
                <w:rFonts w:ascii="Arial" w:cs="Arial" w:eastAsia="Arial" w:hAnsi="Arial"/>
                <w:sz w:val="14"/>
                <w:szCs w:val="14"/>
                <w:color w:val="auto"/>
              </w:rPr>
              <w:t>FFICE</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7.43%</w:t>
            </w:r>
          </w:p>
        </w:tc>
        <w:tc>
          <w:tcPr>
            <w:tcW w:w="6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L+200</w:t>
            </w:r>
          </w:p>
        </w:tc>
        <w:tc>
          <w:tcPr>
            <w:tcW w:w="900" w:type="dxa"/>
            <w:vAlign w:val="bottom"/>
          </w:tcPr>
          <w:p>
            <w:pPr>
              <w:jc w:val="right"/>
              <w:spacing w:after="0"/>
              <w:rPr>
                <w:sz w:val="20"/>
                <w:szCs w:val="20"/>
                <w:color w:val="auto"/>
              </w:rPr>
            </w:pPr>
            <w:r>
              <w:rPr>
                <w:rFonts w:ascii="Arial" w:cs="Arial" w:eastAsia="Arial" w:hAnsi="Arial"/>
                <w:sz w:val="18"/>
                <w:szCs w:val="18"/>
                <w:color w:val="auto"/>
              </w:rPr>
              <w:t>6,965,000</w:t>
            </w:r>
          </w:p>
        </w:tc>
        <w:tc>
          <w:tcPr>
            <w:tcW w:w="18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6,971,653</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6,668,988</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8"/>
              </w:rPr>
              <w:t>F</w:t>
            </w:r>
            <w:r>
              <w:rPr>
                <w:rFonts w:ascii="Arial" w:cs="Arial" w:eastAsia="Arial" w:hAnsi="Arial"/>
                <w:sz w:val="14"/>
                <w:szCs w:val="14"/>
                <w:color w:val="auto"/>
                <w:w w:val="98"/>
              </w:rPr>
              <w:t>URNISHINGS</w:t>
            </w:r>
            <w:r>
              <w:rPr>
                <w:rFonts w:ascii="Arial" w:cs="Arial" w:eastAsia="Arial" w:hAnsi="Arial"/>
                <w:sz w:val="18"/>
                <w:szCs w:val="18"/>
                <w:color w:val="auto"/>
                <w:w w:val="98"/>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6"/>
              </w:rPr>
              <w:t>H</w:t>
            </w:r>
            <w:r>
              <w:rPr>
                <w:rFonts w:ascii="Arial" w:cs="Arial" w:eastAsia="Arial" w:hAnsi="Arial"/>
                <w:sz w:val="14"/>
                <w:szCs w:val="14"/>
                <w:color w:val="auto"/>
                <w:w w:val="96"/>
              </w:rPr>
              <w:t>OUSEWARES</w:t>
            </w:r>
            <w:r>
              <w:rPr>
                <w:rFonts w:ascii="Arial" w:cs="Arial" w:eastAsia="Arial" w:hAnsi="Arial"/>
                <w:sz w:val="18"/>
                <w:szCs w:val="18"/>
                <w:color w:val="auto"/>
                <w:w w:val="96"/>
              </w:rPr>
              <w:t>, &amp;</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URABLE</w:t>
            </w:r>
            <w:r>
              <w:rPr>
                <w:rFonts w:ascii="Arial" w:cs="Arial" w:eastAsia="Arial" w:hAnsi="Arial"/>
                <w:sz w:val="18"/>
                <w:szCs w:val="18"/>
                <w:color w:val="auto"/>
                <w:w w:val="99"/>
              </w:rPr>
              <w:t xml:space="preserve"> C</w:t>
            </w:r>
            <w:r>
              <w:rPr>
                <w:rFonts w:ascii="Arial" w:cs="Arial" w:eastAsia="Arial" w:hAnsi="Arial"/>
                <w:sz w:val="14"/>
                <w:szCs w:val="14"/>
                <w:color w:val="auto"/>
                <w:w w:val="99"/>
              </w:rPr>
              <w:t>ONSUMER</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8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ENTON</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02/01/2013</w:t>
            </w: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7.59%</w:t>
            </w:r>
          </w:p>
        </w:tc>
        <w:tc>
          <w:tcPr>
            <w:tcW w:w="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L+225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4,975,000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4,975,000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4,716,922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8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HILOSOPHY</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03/16/2014</w:t>
            </w:r>
          </w:p>
        </w:tc>
        <w:tc>
          <w:tcPr>
            <w:tcW w:w="20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7.36%</w:t>
            </w:r>
          </w:p>
        </w:tc>
        <w:tc>
          <w:tcPr>
            <w:tcW w:w="6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L+200</w:t>
            </w:r>
          </w:p>
        </w:tc>
        <w:tc>
          <w:tcPr>
            <w:tcW w:w="900" w:type="dxa"/>
            <w:vAlign w:val="bottom"/>
          </w:tcPr>
          <w:p>
            <w:pPr>
              <w:jc w:val="right"/>
              <w:spacing w:after="0"/>
              <w:rPr>
                <w:sz w:val="20"/>
                <w:szCs w:val="20"/>
                <w:color w:val="auto"/>
              </w:rPr>
            </w:pPr>
            <w:r>
              <w:rPr>
                <w:rFonts w:ascii="Arial" w:cs="Arial" w:eastAsia="Arial" w:hAnsi="Arial"/>
                <w:sz w:val="18"/>
                <w:szCs w:val="18"/>
                <w:color w:val="auto"/>
              </w:rPr>
              <w:t>1,493,333</w:t>
            </w:r>
          </w:p>
        </w:tc>
        <w:tc>
          <w:tcPr>
            <w:tcW w:w="18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1,493,333</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1,344,000</w:t>
            </w: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ROQUEST</w:t>
            </w:r>
            <w:r>
              <w:rPr>
                <w:rFonts w:ascii="Arial" w:cs="Arial" w:eastAsia="Arial" w:hAnsi="Arial"/>
                <w:sz w:val="18"/>
                <w:szCs w:val="18"/>
                <w:color w:val="auto"/>
              </w:rPr>
              <w:t xml:space="preserve"> C</w:t>
            </w:r>
            <w:r>
              <w:rPr>
                <w:rFonts w:ascii="Arial" w:cs="Arial" w:eastAsia="Arial" w:hAnsi="Arial"/>
                <w:sz w:val="14"/>
                <w:szCs w:val="14"/>
                <w:color w:val="auto"/>
              </w:rPr>
              <w:t>SA</w:t>
            </w:r>
            <w:r>
              <w:rPr>
                <w:rFonts w:ascii="Arial" w:cs="Arial" w:eastAsia="Arial" w:hAnsi="Arial"/>
                <w:sz w:val="18"/>
                <w:szCs w:val="18"/>
                <w:color w:val="auto"/>
              </w:rPr>
              <w:t>, L.L.C.</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02/09/2014</w:t>
            </w: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8.20%</w:t>
            </w:r>
          </w:p>
        </w:tc>
        <w:tc>
          <w:tcPr>
            <w:tcW w:w="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L+300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955,833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955,833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936,716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80" w:type="dxa"/>
            <w:vAlign w:val="bottom"/>
            <w:gridSpan w:val="2"/>
          </w:tcPr>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UESTEX</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05/04/2014</w:t>
            </w:r>
          </w:p>
        </w:tc>
        <w:tc>
          <w:tcPr>
            <w:tcW w:w="20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8.56%</w:t>
            </w:r>
          </w:p>
        </w:tc>
        <w:tc>
          <w:tcPr>
            <w:tcW w:w="6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L+300</w:t>
            </w:r>
          </w:p>
        </w:tc>
        <w:tc>
          <w:tcPr>
            <w:tcW w:w="900" w:type="dxa"/>
            <w:vAlign w:val="bottom"/>
          </w:tcPr>
          <w:p>
            <w:pPr>
              <w:jc w:val="right"/>
              <w:spacing w:after="0"/>
              <w:rPr>
                <w:sz w:val="20"/>
                <w:szCs w:val="20"/>
                <w:color w:val="auto"/>
              </w:rPr>
            </w:pPr>
            <w:r>
              <w:rPr>
                <w:rFonts w:ascii="Arial" w:cs="Arial" w:eastAsia="Arial" w:hAnsi="Arial"/>
                <w:sz w:val="18"/>
                <w:szCs w:val="18"/>
                <w:color w:val="auto"/>
              </w:rPr>
              <w:t>4,974,167</w:t>
            </w:r>
          </w:p>
        </w:tc>
        <w:tc>
          <w:tcPr>
            <w:tcW w:w="18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4,974,167</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4,839,742</w:t>
            </w: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EADER</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D</w:t>
            </w:r>
            <w:r>
              <w:rPr>
                <w:rFonts w:ascii="Arial" w:cs="Arial" w:eastAsia="Arial" w:hAnsi="Arial"/>
                <w:sz w:val="14"/>
                <w:szCs w:val="14"/>
                <w:color w:val="auto"/>
              </w:rPr>
              <w:t>IGEST</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03/02/2014</w:t>
            </w: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P</w:t>
            </w:r>
            <w:r>
              <w:rPr>
                <w:rFonts w:ascii="Arial" w:cs="Arial" w:eastAsia="Arial" w:hAnsi="Arial"/>
                <w:sz w:val="14"/>
                <w:szCs w:val="14"/>
                <w:color w:val="auto"/>
                <w:w w:val="99"/>
              </w:rPr>
              <w:t>RINTING</w:t>
            </w:r>
            <w:r>
              <w:rPr>
                <w:rFonts w:ascii="Arial" w:cs="Arial" w:eastAsia="Arial" w:hAnsi="Arial"/>
                <w:sz w:val="18"/>
                <w:szCs w:val="18"/>
                <w:color w:val="auto"/>
                <w:w w:val="99"/>
              </w:rPr>
              <w:t xml:space="preserve"> &amp;</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7.43%</w:t>
            </w:r>
          </w:p>
        </w:tc>
        <w:tc>
          <w:tcPr>
            <w:tcW w:w="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L+200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995,006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995,006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940,281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UBLISHING</w:t>
            </w: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58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EXNORD</w:t>
            </w:r>
            <w:r>
              <w:rPr>
                <w:rFonts w:ascii="Arial" w:cs="Arial" w:eastAsia="Arial" w:hAnsi="Arial"/>
                <w:sz w:val="18"/>
                <w:szCs w:val="18"/>
                <w:color w:val="auto"/>
              </w:rPr>
              <w:t xml:space="preserve"> , L.L.C.</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07/19/2013</w:t>
            </w:r>
          </w:p>
        </w:tc>
        <w:tc>
          <w:tcPr>
            <w:tcW w:w="20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ANUFACTURING</w:t>
            </w:r>
            <w:r>
              <w:rPr>
                <w:rFonts w:ascii="Arial" w:cs="Arial" w:eastAsia="Arial" w:hAnsi="Arial"/>
                <w:sz w:val="18"/>
                <w:szCs w:val="18"/>
                <w:color w:val="auto"/>
              </w:rPr>
              <w:t>/</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7.64%</w:t>
            </w:r>
          </w:p>
        </w:tc>
        <w:tc>
          <w:tcPr>
            <w:tcW w:w="6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L+225</w:t>
            </w:r>
          </w:p>
        </w:tc>
        <w:tc>
          <w:tcPr>
            <w:tcW w:w="900" w:type="dxa"/>
            <w:vAlign w:val="bottom"/>
          </w:tcPr>
          <w:p>
            <w:pPr>
              <w:jc w:val="right"/>
              <w:spacing w:after="0"/>
              <w:rPr>
                <w:sz w:val="20"/>
                <w:szCs w:val="20"/>
                <w:color w:val="auto"/>
              </w:rPr>
            </w:pPr>
            <w:r>
              <w:rPr>
                <w:rFonts w:ascii="Arial" w:cs="Arial" w:eastAsia="Arial" w:hAnsi="Arial"/>
                <w:sz w:val="18"/>
                <w:szCs w:val="18"/>
                <w:color w:val="auto"/>
              </w:rPr>
              <w:t>4,937,500</w:t>
            </w:r>
          </w:p>
        </w:tc>
        <w:tc>
          <w:tcPr>
            <w:tcW w:w="18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4,937,500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4,835,664</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9"/>
              </w:rPr>
              <w:t>B</w:t>
            </w:r>
            <w:r>
              <w:rPr>
                <w:rFonts w:ascii="Arial" w:cs="Arial" w:eastAsia="Arial" w:hAnsi="Arial"/>
                <w:sz w:val="14"/>
                <w:szCs w:val="14"/>
                <w:color w:val="auto"/>
                <w:w w:val="99"/>
              </w:rPr>
              <w:t>ASIC</w:t>
            </w:r>
            <w:r>
              <w:rPr>
                <w:rFonts w:ascii="Arial" w:cs="Arial" w:eastAsia="Arial" w:hAnsi="Arial"/>
                <w:sz w:val="18"/>
                <w:szCs w:val="18"/>
                <w:color w:val="auto"/>
                <w:w w:val="99"/>
              </w:rPr>
              <w:t xml:space="preserve"> I</w:t>
            </w:r>
            <w:r>
              <w:rPr>
                <w:rFonts w:ascii="Arial" w:cs="Arial" w:eastAsia="Arial" w:hAnsi="Arial"/>
                <w:sz w:val="14"/>
                <w:szCs w:val="14"/>
                <w:color w:val="auto"/>
                <w:w w:val="99"/>
              </w:rPr>
              <w:t>NDUSTRY</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8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ITEL</w:t>
            </w:r>
            <w:r>
              <w:rPr>
                <w:rFonts w:ascii="Arial" w:cs="Arial" w:eastAsia="Arial" w:hAnsi="Arial"/>
                <w:sz w:val="18"/>
                <w:szCs w:val="18"/>
                <w:color w:val="auto"/>
              </w:rPr>
              <w:t>, L.L.C.</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01/30/2014</w:t>
            </w: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B</w:t>
            </w:r>
            <w:r>
              <w:rPr>
                <w:rFonts w:ascii="Arial" w:cs="Arial" w:eastAsia="Arial" w:hAnsi="Arial"/>
                <w:sz w:val="14"/>
                <w:szCs w:val="14"/>
                <w:color w:val="auto"/>
                <w:w w:val="96"/>
              </w:rPr>
              <w:t>USINESS</w:t>
            </w:r>
            <w:r>
              <w:rPr>
                <w:rFonts w:ascii="Arial" w:cs="Arial" w:eastAsia="Arial" w:hAnsi="Arial"/>
                <w:sz w:val="18"/>
                <w:szCs w:val="18"/>
                <w:color w:val="auto"/>
                <w:w w:val="96"/>
              </w:rPr>
              <w:t xml:space="preserve"> S</w:t>
            </w:r>
            <w:r>
              <w:rPr>
                <w:rFonts w:ascii="Arial" w:cs="Arial" w:eastAsia="Arial" w:hAnsi="Arial"/>
                <w:sz w:val="14"/>
                <w:szCs w:val="14"/>
                <w:color w:val="auto"/>
                <w:w w:val="96"/>
              </w:rPr>
              <w:t>ERVICES</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7.78%</w:t>
            </w:r>
          </w:p>
        </w:tc>
        <w:tc>
          <w:tcPr>
            <w:tcW w:w="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L+250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2,867,302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2,867,302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2,680,927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58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NIVISION</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09/29/2014</w:t>
            </w:r>
          </w:p>
        </w:tc>
        <w:tc>
          <w:tcPr>
            <w:tcW w:w="20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ROADCASTING</w:t>
            </w:r>
            <w:r>
              <w:rPr>
                <w:rFonts w:ascii="Arial" w:cs="Arial" w:eastAsia="Arial" w:hAnsi="Arial"/>
                <w:sz w:val="18"/>
                <w:szCs w:val="18"/>
                <w:color w:val="auto"/>
              </w:rPr>
              <w:t xml:space="preserve"> &amp;</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7.57%</w:t>
            </w:r>
          </w:p>
        </w:tc>
        <w:tc>
          <w:tcPr>
            <w:tcW w:w="6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L+225</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14,093,960</w:t>
            </w:r>
          </w:p>
        </w:tc>
        <w:tc>
          <w:tcPr>
            <w:tcW w:w="18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14,093,960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13,389,262</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8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NIVISION</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.(4)</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09/29/2014</w:t>
            </w: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ROADCASTING</w:t>
            </w:r>
            <w:r>
              <w:rPr>
                <w:rFonts w:ascii="Arial" w:cs="Arial" w:eastAsia="Arial" w:hAnsi="Arial"/>
                <w:sz w:val="18"/>
                <w:szCs w:val="18"/>
                <w:color w:val="auto"/>
              </w:rPr>
              <w:t xml:space="preserve"> &amp;</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906,040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906,040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860,738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580" w:type="dxa"/>
            <w:vAlign w:val="bottom"/>
            <w:gridSpan w:val="2"/>
          </w:tcPr>
          <w:p>
            <w:pPr>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ALASSIS</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03/02/2014</w:t>
            </w:r>
          </w:p>
        </w:tc>
        <w:tc>
          <w:tcPr>
            <w:tcW w:w="20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9"/>
              </w:rPr>
              <w:t>P</w:t>
            </w:r>
            <w:r>
              <w:rPr>
                <w:rFonts w:ascii="Arial" w:cs="Arial" w:eastAsia="Arial" w:hAnsi="Arial"/>
                <w:sz w:val="14"/>
                <w:szCs w:val="14"/>
                <w:color w:val="auto"/>
                <w:w w:val="99"/>
              </w:rPr>
              <w:t>RINTING</w:t>
            </w:r>
            <w:r>
              <w:rPr>
                <w:rFonts w:ascii="Arial" w:cs="Arial" w:eastAsia="Arial" w:hAnsi="Arial"/>
                <w:sz w:val="18"/>
                <w:szCs w:val="18"/>
                <w:color w:val="auto"/>
                <w:w w:val="99"/>
              </w:rPr>
              <w:t xml:space="preserve"> &amp;</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6.95%</w:t>
            </w:r>
          </w:p>
        </w:tc>
        <w:tc>
          <w:tcPr>
            <w:tcW w:w="6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L+175</w:t>
            </w:r>
          </w:p>
        </w:tc>
        <w:tc>
          <w:tcPr>
            <w:tcW w:w="900" w:type="dxa"/>
            <w:vAlign w:val="bottom"/>
          </w:tcPr>
          <w:p>
            <w:pPr>
              <w:jc w:val="right"/>
              <w:spacing w:after="0"/>
              <w:rPr>
                <w:sz w:val="20"/>
                <w:szCs w:val="20"/>
                <w:color w:val="auto"/>
              </w:rPr>
            </w:pPr>
            <w:r>
              <w:rPr>
                <w:rFonts w:ascii="Arial" w:cs="Arial" w:eastAsia="Arial" w:hAnsi="Arial"/>
                <w:sz w:val="18"/>
                <w:szCs w:val="18"/>
                <w:color w:val="auto"/>
              </w:rPr>
              <w:t>7,061,899</w:t>
            </w:r>
          </w:p>
        </w:tc>
        <w:tc>
          <w:tcPr>
            <w:tcW w:w="18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7,061,899</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6,549,911</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UBLISHING</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8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ALASSIS</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.(4)</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03/02/2014</w:t>
            </w: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P</w:t>
            </w:r>
            <w:r>
              <w:rPr>
                <w:rFonts w:ascii="Arial" w:cs="Arial" w:eastAsia="Arial" w:hAnsi="Arial"/>
                <w:sz w:val="14"/>
                <w:szCs w:val="14"/>
                <w:color w:val="auto"/>
                <w:w w:val="99"/>
              </w:rPr>
              <w:t>RINTING</w:t>
            </w:r>
            <w:r>
              <w:rPr>
                <w:rFonts w:ascii="Arial" w:cs="Arial" w:eastAsia="Arial" w:hAnsi="Arial"/>
                <w:sz w:val="18"/>
                <w:szCs w:val="18"/>
                <w:color w:val="auto"/>
                <w:w w:val="99"/>
              </w:rPr>
              <w:t xml:space="preserve"> &amp;</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2,103,908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2,103,908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1,951,375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UBLISHING</w:t>
            </w: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358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ESTERN</w:t>
            </w:r>
            <w:r>
              <w:rPr>
                <w:rFonts w:ascii="Arial" w:cs="Arial" w:eastAsia="Arial" w:hAnsi="Arial"/>
                <w:sz w:val="18"/>
                <w:szCs w:val="18"/>
                <w:color w:val="auto"/>
              </w:rPr>
              <w:t xml:space="preserve"> R</w:t>
            </w:r>
            <w:r>
              <w:rPr>
                <w:rFonts w:ascii="Arial" w:cs="Arial" w:eastAsia="Arial" w:hAnsi="Arial"/>
                <w:sz w:val="14"/>
                <w:szCs w:val="14"/>
                <w:color w:val="auto"/>
              </w:rPr>
              <w:t>EFINING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05/30/2014</w:t>
            </w:r>
          </w:p>
        </w:tc>
        <w:tc>
          <w:tcPr>
            <w:tcW w:w="20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IL</w:t>
            </w:r>
            <w:r>
              <w:rPr>
                <w:rFonts w:ascii="Arial" w:cs="Arial" w:eastAsia="Arial" w:hAnsi="Arial"/>
                <w:sz w:val="18"/>
                <w:szCs w:val="18"/>
                <w:color w:val="auto"/>
              </w:rPr>
              <w:t xml:space="preserve"> &amp; G</w:t>
            </w:r>
            <w:r>
              <w:rPr>
                <w:rFonts w:ascii="Arial" w:cs="Arial" w:eastAsia="Arial" w:hAnsi="Arial"/>
                <w:sz w:val="14"/>
                <w:szCs w:val="14"/>
                <w:color w:val="auto"/>
              </w:rPr>
              <w:t>AS</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6.88%</w:t>
            </w:r>
          </w:p>
        </w:tc>
        <w:tc>
          <w:tcPr>
            <w:tcW w:w="6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L+175</w:t>
            </w:r>
          </w:p>
        </w:tc>
        <w:tc>
          <w:tcPr>
            <w:tcW w:w="900" w:type="dxa"/>
            <w:vAlign w:val="bottom"/>
          </w:tcPr>
          <w:p>
            <w:pPr>
              <w:jc w:val="right"/>
              <w:spacing w:after="0"/>
              <w:rPr>
                <w:sz w:val="20"/>
                <w:szCs w:val="20"/>
                <w:color w:val="auto"/>
              </w:rPr>
            </w:pPr>
            <w:r>
              <w:rPr>
                <w:rFonts w:ascii="Arial" w:cs="Arial" w:eastAsia="Arial" w:hAnsi="Arial"/>
                <w:sz w:val="18"/>
                <w:szCs w:val="18"/>
                <w:color w:val="auto"/>
              </w:rPr>
              <w:t>3,714,286</w:t>
            </w:r>
          </w:p>
        </w:tc>
        <w:tc>
          <w:tcPr>
            <w:tcW w:w="18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3,714,286</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3,640,000</w:t>
            </w: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6"/>
              </w:rPr>
              <w:t>Basis</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2"/>
              </w:rPr>
              <w:t>Point</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5"/>
              </w:rPr>
              <w:t>Spread</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60" w:type="dxa"/>
            <w:vAlign w:val="bottom"/>
            <w:vMerge w:val="restart"/>
          </w:tcPr>
          <w:p>
            <w:pPr>
              <w:spacing w:after="0"/>
              <w:rPr>
                <w:sz w:val="20"/>
                <w:szCs w:val="20"/>
                <w:color w:val="auto"/>
              </w:rPr>
            </w:pPr>
            <w:r>
              <w:rPr>
                <w:rFonts w:ascii="Arial" w:cs="Arial" w:eastAsia="Arial" w:hAnsi="Arial"/>
                <w:sz w:val="13"/>
                <w:szCs w:val="13"/>
                <w:b w:val="1"/>
                <w:bCs w:val="1"/>
                <w:color w:val="auto"/>
                <w:w w:val="89"/>
              </w:rPr>
              <w:t>Issuer name</w:t>
            </w:r>
            <w:r>
              <w:rPr>
                <w:rFonts w:ascii="Arial" w:cs="Arial" w:eastAsia="Arial" w:hAnsi="Arial"/>
                <w:sz w:val="22"/>
                <w:szCs w:val="22"/>
                <w:b w:val="1"/>
                <w:bCs w:val="1"/>
                <w:color w:val="auto"/>
                <w:w w:val="89"/>
                <w:vertAlign w:val="superscript"/>
              </w:rPr>
              <w:t>(1)</w:t>
            </w:r>
          </w:p>
        </w:tc>
        <w:tc>
          <w:tcPr>
            <w:tcW w:w="3580" w:type="dxa"/>
            <w:vAlign w:val="bottom"/>
            <w:vMerge w:val="restart"/>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7"/>
              </w:rPr>
              <w:t>Current</w:t>
            </w: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5"/>
              </w:rPr>
              <w:t>Above</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860" w:type="dxa"/>
            <w:vAlign w:val="bottom"/>
            <w:vMerge w:val="continue"/>
          </w:tcPr>
          <w:p>
            <w:pPr>
              <w:spacing w:after="0"/>
              <w:rPr>
                <w:sz w:val="15"/>
                <w:szCs w:val="15"/>
                <w:color w:val="auto"/>
              </w:rPr>
            </w:pPr>
          </w:p>
        </w:tc>
        <w:tc>
          <w:tcPr>
            <w:tcW w:w="3580" w:type="dxa"/>
            <w:vAlign w:val="bottom"/>
            <w:vMerge w:val="continue"/>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Maturity</w:t>
            </w:r>
          </w:p>
        </w:tc>
        <w:tc>
          <w:tcPr>
            <w:tcW w:w="220" w:type="dxa"/>
            <w:vAlign w:val="bottom"/>
          </w:tcPr>
          <w:p>
            <w:pPr>
              <w:spacing w:after="0"/>
              <w:rPr>
                <w:sz w:val="15"/>
                <w:szCs w:val="15"/>
                <w:color w:val="auto"/>
              </w:rPr>
            </w:pPr>
          </w:p>
        </w:tc>
        <w:tc>
          <w:tcPr>
            <w:tcW w:w="1560" w:type="dxa"/>
            <w:vAlign w:val="bottom"/>
            <w:gridSpan w:val="4"/>
          </w:tcPr>
          <w:p>
            <w:pPr>
              <w:jc w:val="right"/>
              <w:ind w:right="380"/>
              <w:spacing w:after="0"/>
              <w:rPr>
                <w:sz w:val="20"/>
                <w:szCs w:val="20"/>
                <w:color w:val="auto"/>
              </w:rPr>
            </w:pPr>
            <w:r>
              <w:rPr>
                <w:rFonts w:ascii="Arial" w:cs="Arial" w:eastAsia="Arial" w:hAnsi="Arial"/>
                <w:sz w:val="13"/>
                <w:szCs w:val="13"/>
                <w:b w:val="1"/>
                <w:bCs w:val="1"/>
                <w:color w:val="auto"/>
              </w:rPr>
              <w:t>Industry   Coupon</w:t>
            </w:r>
          </w:p>
        </w:tc>
        <w:tc>
          <w:tcPr>
            <w:tcW w:w="500" w:type="dxa"/>
            <w:vAlign w:val="bottom"/>
          </w:tcPr>
          <w:p>
            <w:pPr>
              <w:jc w:val="center"/>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(3)</w:t>
            </w:r>
          </w:p>
        </w:tc>
        <w:tc>
          <w:tcPr>
            <w:tcW w:w="220" w:type="dxa"/>
            <w:vAlign w:val="bottom"/>
          </w:tcPr>
          <w:p>
            <w:pPr>
              <w:spacing w:after="0"/>
              <w:rPr>
                <w:sz w:val="15"/>
                <w:szCs w:val="15"/>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Par</w:t>
            </w:r>
          </w:p>
        </w:tc>
        <w:tc>
          <w:tcPr>
            <w:tcW w:w="1200" w:type="dxa"/>
            <w:vAlign w:val="bottom"/>
            <w:gridSpan w:val="2"/>
          </w:tcPr>
          <w:p>
            <w:pPr>
              <w:ind w:left="360"/>
              <w:spacing w:after="0"/>
              <w:rPr>
                <w:sz w:val="20"/>
                <w:szCs w:val="20"/>
                <w:color w:val="auto"/>
              </w:rPr>
            </w:pPr>
            <w:r>
              <w:rPr>
                <w:rFonts w:ascii="Arial" w:cs="Arial" w:eastAsia="Arial" w:hAnsi="Arial"/>
                <w:sz w:val="13"/>
                <w:szCs w:val="13"/>
                <w:b w:val="1"/>
                <w:bCs w:val="1"/>
                <w:color w:val="auto"/>
              </w:rPr>
              <w:t>Cost</w:t>
            </w: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First Lien Secured Debt</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170,481,009</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170,474,236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$ 158,929,905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OTAL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NVESTMENTS</w:t>
            </w:r>
            <w:r>
              <w:rPr>
                <w:rFonts w:ascii="Arial" w:cs="Arial" w:eastAsia="Arial" w:hAnsi="Arial"/>
                <w:sz w:val="18"/>
                <w:szCs w:val="18"/>
                <w:b w:val="1"/>
                <w:bCs w:val="1"/>
                <w:color w:val="auto"/>
              </w:rPr>
              <w:t xml:space="preserve"> – 107.6%</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314,881,870</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$ 291,016,608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Equivalents – 95.4%</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40" w:type="dxa"/>
            <w:vAlign w:val="bottom"/>
            <w:gridSpan w:val="2"/>
          </w:tcPr>
          <w:p>
            <w:pPr>
              <w:spacing w:after="0"/>
              <w:rPr>
                <w:sz w:val="20"/>
                <w:szCs w:val="20"/>
                <w:color w:val="auto"/>
              </w:rPr>
            </w:pPr>
            <w:r>
              <w:rPr>
                <w:rFonts w:ascii="Arial" w:cs="Arial" w:eastAsia="Arial" w:hAnsi="Arial"/>
                <w:sz w:val="18"/>
                <w:szCs w:val="18"/>
                <w:color w:val="auto"/>
              </w:rPr>
              <w:t>U.S. T</w:t>
            </w:r>
            <w:r>
              <w:rPr>
                <w:rFonts w:ascii="Arial" w:cs="Arial" w:eastAsia="Arial" w:hAnsi="Arial"/>
                <w:sz w:val="14"/>
                <w:szCs w:val="14"/>
                <w:color w:val="auto"/>
              </w:rPr>
              <w:t>REASURY</w:t>
            </w:r>
            <w:r>
              <w:rPr>
                <w:rFonts w:ascii="Arial" w:cs="Arial" w:eastAsia="Arial" w:hAnsi="Arial"/>
                <w:sz w:val="18"/>
                <w:szCs w:val="18"/>
                <w:color w:val="auto"/>
              </w:rPr>
              <w:t xml:space="preserve"> B</w:t>
            </w:r>
            <w:r>
              <w:rPr>
                <w:rFonts w:ascii="Arial" w:cs="Arial" w:eastAsia="Arial" w:hAnsi="Arial"/>
                <w:sz w:val="14"/>
                <w:szCs w:val="14"/>
                <w:color w:val="auto"/>
              </w:rPr>
              <w:t>ILL</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12/27/2007</w:t>
            </w:r>
          </w:p>
        </w:tc>
        <w:tc>
          <w:tcPr>
            <w:tcW w:w="1560" w:type="dxa"/>
            <w:vAlign w:val="bottom"/>
            <w:gridSpan w:val="4"/>
          </w:tcPr>
          <w:p>
            <w:pPr>
              <w:jc w:val="right"/>
              <w:ind w:right="220"/>
              <w:spacing w:after="0"/>
              <w:rPr>
                <w:sz w:val="20"/>
                <w:szCs w:val="20"/>
                <w:color w:val="auto"/>
              </w:rPr>
            </w:pPr>
            <w:r>
              <w:rPr>
                <w:rFonts w:ascii="Arial" w:cs="Arial" w:eastAsia="Arial" w:hAnsi="Arial"/>
                <w:sz w:val="18"/>
                <w:szCs w:val="18"/>
                <w:color w:val="auto"/>
              </w:rPr>
              <w:t>3.64%</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255,000,000</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252,759,931</w:t>
            </w:r>
          </w:p>
        </w:tc>
        <w:tc>
          <w:tcPr>
            <w:tcW w:w="1040" w:type="dxa"/>
            <w:vAlign w:val="bottom"/>
          </w:tcPr>
          <w:p>
            <w:pPr>
              <w:jc w:val="right"/>
              <w:spacing w:after="0"/>
              <w:rPr>
                <w:sz w:val="20"/>
                <w:szCs w:val="20"/>
                <w:color w:val="auto"/>
              </w:rPr>
            </w:pPr>
            <w:r>
              <w:rPr>
                <w:rFonts w:ascii="Arial" w:cs="Arial" w:eastAsia="Arial" w:hAnsi="Arial"/>
                <w:sz w:val="18"/>
                <w:szCs w:val="18"/>
                <w:color w:val="auto"/>
              </w:rPr>
              <w:t>252,703,215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60" w:type="dxa"/>
            <w:vAlign w:val="bottom"/>
          </w:tcPr>
          <w:p>
            <w:pPr>
              <w:spacing w:after="0"/>
              <w:rPr>
                <w:sz w:val="8"/>
                <w:szCs w:val="8"/>
                <w:color w:val="auto"/>
              </w:rPr>
            </w:pPr>
          </w:p>
        </w:tc>
        <w:tc>
          <w:tcPr>
            <w:tcW w:w="3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ONEY</w:t>
            </w:r>
            <w:r>
              <w:rPr>
                <w:rFonts w:ascii="Arial" w:cs="Arial" w:eastAsia="Arial" w:hAnsi="Arial"/>
                <w:sz w:val="18"/>
                <w:szCs w:val="18"/>
                <w:color w:val="auto"/>
              </w:rPr>
              <w:t xml:space="preserve"> M</w:t>
            </w:r>
            <w:r>
              <w:rPr>
                <w:rFonts w:ascii="Arial" w:cs="Arial" w:eastAsia="Arial" w:hAnsi="Arial"/>
                <w:sz w:val="14"/>
                <w:szCs w:val="14"/>
                <w:color w:val="auto"/>
              </w:rPr>
              <w:t>ARKET</w:t>
            </w:r>
            <w:r>
              <w:rPr>
                <w:rFonts w:ascii="Arial" w:cs="Arial" w:eastAsia="Arial" w:hAnsi="Arial"/>
                <w:sz w:val="18"/>
                <w:szCs w:val="18"/>
                <w:color w:val="auto"/>
              </w:rPr>
              <w:t xml:space="preserve"> – M</w:t>
            </w:r>
            <w:r>
              <w:rPr>
                <w:rFonts w:ascii="Arial" w:cs="Arial" w:eastAsia="Arial" w:hAnsi="Arial"/>
                <w:sz w:val="14"/>
                <w:szCs w:val="14"/>
                <w:color w:val="auto"/>
              </w:rPr>
              <w:t>UTUAL</w:t>
            </w:r>
            <w:r>
              <w:rPr>
                <w:rFonts w:ascii="Arial" w:cs="Arial" w:eastAsia="Arial" w:hAnsi="Arial"/>
                <w:sz w:val="18"/>
                <w:szCs w:val="18"/>
                <w:color w:val="auto"/>
              </w:rPr>
              <w:t xml:space="preserve"> F</w:t>
            </w:r>
            <w:r>
              <w:rPr>
                <w:rFonts w:ascii="Arial" w:cs="Arial" w:eastAsia="Arial" w:hAnsi="Arial"/>
                <w:sz w:val="14"/>
                <w:szCs w:val="14"/>
                <w:color w:val="auto"/>
              </w:rPr>
              <w:t>UNDS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5,256,420</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5,256,420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5,256,420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Cash Equivalents</w:t>
            </w: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40" w:type="dxa"/>
            <w:vAlign w:val="bottom"/>
            <w:gridSpan w:val="2"/>
            <w:vMerge w:val="continue"/>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260,256,420</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258,016,351</w:t>
            </w:r>
          </w:p>
        </w:tc>
        <w:tc>
          <w:tcPr>
            <w:tcW w:w="1040" w:type="dxa"/>
            <w:vAlign w:val="bottom"/>
          </w:tcPr>
          <w:p>
            <w:pPr>
              <w:jc w:val="right"/>
              <w:spacing w:after="0"/>
              <w:rPr>
                <w:sz w:val="20"/>
                <w:szCs w:val="20"/>
                <w:color w:val="auto"/>
              </w:rPr>
            </w:pPr>
            <w:r>
              <w:rPr>
                <w:rFonts w:ascii="Arial" w:cs="Arial" w:eastAsia="Arial" w:hAnsi="Arial"/>
                <w:sz w:val="18"/>
                <w:szCs w:val="18"/>
                <w:color w:val="auto"/>
              </w:rPr>
              <w:t>257,959,635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Investments and Cash Equivalents – 203.03%</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572,898,221</w:t>
            </w:r>
          </w:p>
        </w:tc>
        <w:tc>
          <w:tcPr>
            <w:tcW w:w="220" w:type="dxa"/>
            <w:vAlign w:val="bottom"/>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$ 548,976,243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in Excess of Other Assets – (103.0%)</w:t>
            </w: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4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6"/>
              </w:rPr>
              <w:t>(278,583,149)</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Assets – 100.0%</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$ 270,393,094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left="460" w:right="360" w:hanging="452"/>
        <w:spacing w:after="0" w:line="252"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do not “control” and are not an “affiliate” of any of our portfolio companies, each as defined in the 1940 Act. In general, under the 1940 Act, we would be presumed to “control” a portfolio company if we owned 25% or more of its voting securities and would be deemed to be an “affiliate” of a portfolio company if we owned 5% or more of its voting securities.</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Valued based on our accounting policy (see note 2 to our financial statements).</w:t>
      </w:r>
    </w:p>
    <w:p>
      <w:pPr>
        <w:spacing w:after="0" w:line="9"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floating rate instruments that accrue interest at a predetermined spread relative to an index, typically the applicable London Interbank Offer Rate (LIBOR or “L”).</w:t>
      </w: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purchases of securities with delayed draws. These securities do not have a basis point spread above index.</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Security is exempt from registration under Rule 144A promulgated under the Securities Act of 1933. The security may be resold in transactions that are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exempt from registration, normally to qualified institutional buyers.</w:t>
      </w:r>
    </w:p>
    <w:p>
      <w:pPr>
        <w:spacing w:after="0" w:line="9" w:lineRule="exact"/>
        <w:rPr>
          <w:sz w:val="20"/>
          <w:szCs w:val="20"/>
          <w:color w:val="auto"/>
        </w:rPr>
      </w:pPr>
    </w:p>
    <w:p>
      <w:pPr>
        <w:ind w:right="7060" w:firstLine="8"/>
        <w:spacing w:after="0" w:line="260" w:lineRule="auto"/>
        <w:tabs>
          <w:tab w:leader="none" w:pos="44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Coupon payable in cash or payment-in-kind (“PIK”). ** Non-income producing.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PennantPark Investment Corporation (“PennantPark Investment” or “Company”) was organized as a Maryland corporation on January 11, 2007. PennantPark Investment’s objective is to generate both current income and capital appreciation through debt and equity investments. PennantPark Investment invests primarily in U.S. middle-market companies in the form of mezzanine debt, first lien secured debt and equity investments. Before the completion of its initial public offering on April 24, 2007, PennantPark Investment had limited operations other than the sale and issuance of 80,000 shares of common stock at a price of $15.00 per share to PennantPark Investment Advisers, LLC (the “Investment Adviser” or “PennantPark Investment Advisers”), resulting in net proceeds of $1.2 million, and the purchase of first lien secured debt.</w:t>
      </w:r>
    </w:p>
    <w:p>
      <w:pPr>
        <w:spacing w:after="0" w:line="120"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On April 24, 2007 PennantPark Investment closed its Initial Public Offering and sold 20,000,000 shares of common stock at a price of $15.00 per share, resulting in net proceeds of $279.6 million. Also, on April 24, 2007 PennantPark Investment closed a private placement to officers, directors, the Investment Adviser and managers of the Investment Adviser, pursuant to Regulation D promulgated under the Securities Act of 1933, and issued an additional 320,000 shares of common stock at a price of $15.00 per share, resulting in net proceeds of $4.8 million. On May 21, 2007, the underwriters of the initial public offering exercised their over-allotment option under the Underwriting Agreement and elected to purchase 625,000 shares of common stock at a price of $15.00 per share, resulting in net proceeds of $8.8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reported amount of assets and liabilities at the date of the financial statements and the reported amounts of income and expenses during the reported period. Actual results could differ from these estimates.</w:t>
      </w:r>
    </w:p>
    <w:p>
      <w:pPr>
        <w:spacing w:after="0" w:line="140"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The financial statements are prepared in accordance with GAAP and pursuant to the requirements for reporting on Form 10-Q and Article 6 or 10 of Regulation S-X, as appropriate. In accordance with Article 6-09 of Regulation S-X under the Exchange Act, we are providing a Statement of Changes in Net Assets in lieu of a Statement of Changes in Stockholders’ Equity.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90" w:lineRule="exact"/>
        <w:rPr>
          <w:sz w:val="20"/>
          <w:szCs w:val="20"/>
          <w:color w:val="auto"/>
        </w:rPr>
      </w:pPr>
    </w:p>
    <w:p>
      <w:pPr>
        <w:ind w:left="900" w:hanging="447"/>
        <w:spacing w:after="0" w:line="285"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Security transactions are recorded on a trade-date basis.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Subordinated debt, first lien secured debt and other debt securities with maturities greater than 60 days generally are valued by an independent pricing service or at the bid prices from at least two broker/dealers (if available, otherwise by a principal market maker or a primary market dealer). We expect that there will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With respect to investments for which there is no readily available market value, valuation methods include comparisons of financial ratios of the portfolio companies that issued such private securities to peer companies that are public.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900" w:right="300"/>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are believed to be inaccurate, our board of directors undertakes a multi-step valuation process each quarter, as described below:</w:t>
      </w:r>
    </w:p>
    <w:p>
      <w:pPr>
        <w:spacing w:after="0" w:line="64" w:lineRule="exact"/>
        <w:rPr>
          <w:sz w:val="20"/>
          <w:szCs w:val="20"/>
          <w:color w:val="auto"/>
        </w:rPr>
      </w:pPr>
    </w:p>
    <w:p>
      <w:pPr>
        <w:ind w:left="1920" w:right="680" w:hanging="454"/>
        <w:spacing w:after="0" w:line="268" w:lineRule="auto"/>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1920" w:hanging="454"/>
        <w:spacing w:after="0"/>
        <w:tabs>
          <w:tab w:leader="none" w:pos="19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Preliminary valuation conclusions are then documented and discussed with the management of our Investment Adviser;</w:t>
      </w:r>
    </w:p>
    <w:p>
      <w:pPr>
        <w:spacing w:after="0" w:line="113" w:lineRule="exact"/>
        <w:rPr>
          <w:rFonts w:ascii="Arial" w:cs="Arial" w:eastAsia="Arial" w:hAnsi="Arial"/>
          <w:sz w:val="16"/>
          <w:szCs w:val="16"/>
          <w:color w:val="auto"/>
        </w:rPr>
      </w:pPr>
    </w:p>
    <w:p>
      <w:pPr>
        <w:ind w:left="1920" w:right="100" w:hanging="454"/>
        <w:spacing w:after="0" w:line="298" w:lineRule="auto"/>
        <w:tabs>
          <w:tab w:leader="none" w:pos="19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board of directors also engages one or more independent valuation firms to conduct independent appraisals of our investments for which market quotations are not readily available or are readily available but believed to be inaccurate. The independent valuation firm reviews management’s preliminary valuations in light of its own independent assessment and also in light of any market quotations obtained from an independent pricing service, broker, dealer or market maker.</w:t>
      </w:r>
    </w:p>
    <w:p>
      <w:pPr>
        <w:spacing w:after="0" w:line="31" w:lineRule="exact"/>
        <w:rPr>
          <w:rFonts w:ascii="Arial" w:cs="Arial" w:eastAsia="Arial" w:hAnsi="Arial"/>
          <w:sz w:val="16"/>
          <w:szCs w:val="16"/>
          <w:color w:val="auto"/>
        </w:rPr>
      </w:pPr>
    </w:p>
    <w:p>
      <w:pPr>
        <w:ind w:left="1920" w:right="240" w:hanging="454"/>
        <w:spacing w:after="0" w:line="259" w:lineRule="auto"/>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8" w:lineRule="exact"/>
        <w:rPr>
          <w:rFonts w:ascii="Arial" w:cs="Arial" w:eastAsia="Arial" w:hAnsi="Arial"/>
          <w:sz w:val="18"/>
          <w:szCs w:val="18"/>
          <w:color w:val="auto"/>
        </w:rPr>
      </w:pPr>
    </w:p>
    <w:p>
      <w:pPr>
        <w:ind w:left="1920" w:right="340" w:hanging="454"/>
        <w:spacing w:after="0" w:line="331" w:lineRule="auto"/>
        <w:tabs>
          <w:tab w:leader="none" w:pos="19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6" w:lineRule="exact"/>
        <w:rPr>
          <w:sz w:val="20"/>
          <w:szCs w:val="20"/>
          <w:color w:val="auto"/>
        </w:rPr>
      </w:pPr>
    </w:p>
    <w:p>
      <w:pPr>
        <w:ind w:left="900" w:right="80"/>
        <w:spacing w:after="0" w:line="306" w:lineRule="auto"/>
        <w:rPr>
          <w:sz w:val="20"/>
          <w:szCs w:val="20"/>
          <w:color w:val="auto"/>
        </w:rPr>
      </w:pPr>
      <w:r>
        <w:rPr>
          <w:rFonts w:ascii="Arial" w:cs="Arial" w:eastAsia="Arial" w:hAnsi="Arial"/>
          <w:sz w:val="16"/>
          <w:szCs w:val="16"/>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25" w:lineRule="exact"/>
        <w:rPr>
          <w:sz w:val="20"/>
          <w:szCs w:val="20"/>
          <w:color w:val="auto"/>
        </w:rPr>
      </w:pPr>
    </w:p>
    <w:p>
      <w:pPr>
        <w:ind w:left="900" w:right="280" w:hanging="447"/>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Investments purchased within 60 days of maturity are valued at cost plus accreted discount, or minus amortized premium, which approximates value.</w:t>
      </w:r>
    </w:p>
    <w:p>
      <w:pPr>
        <w:spacing w:after="0" w:line="50" w:lineRule="exact"/>
        <w:rPr>
          <w:rFonts w:ascii="Arial" w:cs="Arial" w:eastAsia="Arial" w:hAnsi="Arial"/>
          <w:sz w:val="18"/>
          <w:szCs w:val="18"/>
          <w:color w:val="auto"/>
        </w:rPr>
      </w:pPr>
    </w:p>
    <w:p>
      <w:pPr>
        <w:ind w:left="900" w:right="320" w:hanging="447"/>
        <w:spacing w:after="0" w:line="25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65" w:lineRule="exact"/>
        <w:rPr>
          <w:rFonts w:ascii="Arial" w:cs="Arial" w:eastAsia="Arial" w:hAnsi="Arial"/>
          <w:sz w:val="18"/>
          <w:szCs w:val="18"/>
          <w:color w:val="auto"/>
        </w:rPr>
      </w:pPr>
    </w:p>
    <w:p>
      <w:pPr>
        <w:ind w:left="900" w:right="60" w:hanging="447"/>
        <w:spacing w:after="0" w:line="290"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record interest income on an accrual basis to the extent that we expect to collect such amounts. For loans and debt securities with contractual payment-in-kind, or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securities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securities as interest income. Dividend income, if any, is recognized on the ex-dividend date.</w:t>
      </w:r>
    </w:p>
    <w:p>
      <w:pPr>
        <w:spacing w:after="0" w:line="36" w:lineRule="exact"/>
        <w:rPr>
          <w:rFonts w:ascii="Arial" w:cs="Arial" w:eastAsia="Arial" w:hAnsi="Arial"/>
          <w:sz w:val="16"/>
          <w:szCs w:val="16"/>
          <w:color w:val="auto"/>
        </w:rPr>
      </w:pPr>
    </w:p>
    <w:p>
      <w:pPr>
        <w:ind w:left="900" w:right="140" w:hanging="447"/>
        <w:spacing w:after="0" w:line="288"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Before May 1, 2007 PennantPark Investment was taxed as a corporation under Subchapter C of the Internal Revenue Code of 1986, as amended (the “Code”), and subject to corporate-level federal, state and local taxes. From May 1, 2007, PennantPark Investment has complied with the requirements of Subchapter M of the Code, and expects to be subject to tax as a regulated investment company, or “RIC”. As a corporation, PennantPark Investment accounted for income taxes using the asset liability method prescribed by FASB Statement No. 109, “Accounting for Income Taxes.” Under this method, income taxes were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as of its next taxable year-end, we do not anticipate paying any material corporate-level taxes in the future. The Company recognizes in its financial statements the effect of a tax position when it is more likely than not, based on the technical merits, that the position will be sustained upon examination.</w:t>
      </w:r>
    </w:p>
    <w:p>
      <w:pPr>
        <w:spacing w:after="0" w:line="37" w:lineRule="exact"/>
        <w:rPr>
          <w:rFonts w:ascii="Arial" w:cs="Arial" w:eastAsia="Arial" w:hAnsi="Arial"/>
          <w:sz w:val="16"/>
          <w:szCs w:val="16"/>
          <w:color w:val="auto"/>
        </w:rPr>
      </w:pPr>
    </w:p>
    <w:p>
      <w:pPr>
        <w:ind w:left="900" w:hanging="447"/>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320" w:top="459" w:right="3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900" w:right="60" w:hanging="447"/>
        <w:spacing w:after="0" w:line="314" w:lineRule="auto"/>
        <w:tabs>
          <w:tab w:leader="none" w:pos="900" w:val="left"/>
        </w:tabs>
        <w:numPr>
          <w:ilvl w:val="1"/>
          <w:numId w:val="12"/>
        </w:numPr>
        <w:rPr>
          <w:rFonts w:ascii="Arial" w:cs="Arial" w:eastAsia="Arial" w:hAnsi="Arial"/>
          <w:sz w:val="15"/>
          <w:szCs w:val="15"/>
          <w:color w:val="auto"/>
        </w:rPr>
      </w:pPr>
      <w:r>
        <w:rPr>
          <w:rFonts w:ascii="Arial" w:cs="Arial" w:eastAsia="Arial" w:hAnsi="Arial"/>
          <w:sz w:val="15"/>
          <w:szCs w:val="15"/>
          <w:color w:val="auto"/>
        </w:rPr>
        <w:t>In September 2006, the Financial Accounting Standards Board issued Statement of Financial Accounting Standards (“SFAS”) 157, Fair Value Measurements, which clarifies the definition of fair value and requires companies to expand their disclosure about the use of fair value 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At this time, PennantPark Investment is in the process of reviewing SFAS 157 against its valuation policies to determine its future applicability.</w:t>
      </w:r>
    </w:p>
    <w:p>
      <w:pPr>
        <w:spacing w:after="0" w:line="23" w:lineRule="exact"/>
        <w:rPr>
          <w:rFonts w:ascii="Arial" w:cs="Arial" w:eastAsia="Arial" w:hAnsi="Arial"/>
          <w:sz w:val="15"/>
          <w:szCs w:val="15"/>
          <w:color w:val="auto"/>
        </w:rPr>
      </w:pPr>
    </w:p>
    <w:p>
      <w:pPr>
        <w:ind w:left="900" w:hanging="447"/>
        <w:spacing w:after="0" w:line="291" w:lineRule="auto"/>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In February 2007, the FASB issued Statement No. 159, The Fair Value Option for Financial Assets and Financial Liabilities – Including an Amendment of FASB Statement No. 115. This statement permits an entity to choose to measure many financial instruments and certain other items at fair value. This statement applies to 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At this time, PennantPark Investment is in the process of reviewing SFAS 159 against its valuation policies to determine its future applicability.</w:t>
      </w:r>
    </w:p>
    <w:p>
      <w:pPr>
        <w:spacing w:after="0" w:line="194" w:lineRule="exact"/>
        <w:rPr>
          <w:rFonts w:ascii="Arial" w:cs="Arial" w:eastAsia="Arial" w:hAnsi="Arial"/>
          <w:sz w:val="16"/>
          <w:szCs w:val="16"/>
          <w:color w:val="auto"/>
        </w:rPr>
      </w:pPr>
    </w:p>
    <w:p>
      <w:pPr>
        <w:ind w:left="180" w:hanging="172"/>
        <w:spacing w:after="0"/>
        <w:tabs>
          <w:tab w:leader="none" w:pos="1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AGREEMENTS</w:t>
      </w:r>
    </w:p>
    <w:p>
      <w:pPr>
        <w:spacing w:after="0" w:line="96" w:lineRule="exact"/>
        <w:rPr>
          <w:sz w:val="20"/>
          <w:szCs w:val="20"/>
          <w:color w:val="auto"/>
        </w:rPr>
      </w:pPr>
    </w:p>
    <w:p>
      <w:pPr>
        <w:ind w:right="40" w:firstLine="449"/>
        <w:spacing w:after="0" w:line="298" w:lineRule="auto"/>
        <w:rPr>
          <w:sz w:val="20"/>
          <w:szCs w:val="20"/>
          <w:color w:val="auto"/>
        </w:rPr>
      </w:pPr>
      <w:r>
        <w:rPr>
          <w:rFonts w:ascii="Arial" w:cs="Arial" w:eastAsia="Arial" w:hAnsi="Arial"/>
          <w:sz w:val="16"/>
          <w:szCs w:val="16"/>
          <w:color w:val="auto"/>
        </w:rPr>
        <w:t>PennantPark Investment has entered into an Investment Management Agreement with PennantPark Investment Advisers, LLC. Under this agreement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112"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The base management fee is calculated at an annual rate of 2.00% on PennantPark Investment’s gross assets (net of U.S. Treasury Bills and/or temporary draws on the Revolving Credit Facility (“adjusted gross assets”), if any) (see note 8). Although the base management fee is 2.00% of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will equal 2.00% after March 31, 2008 and is payable quarterly in arrears. The base management fee is calculated based on the average value of adjusted gross assets at the end of the two most recently completed calendar quarters, and appropriately adjusted for any share issuances or repurchases during the current calendar quarter. For the three and six months ended March 31, 2008, the Investment Adviser received a net base management fee of $1.5 million and $2.9 million, respectively, from the Company. For the period January 11, 2007 (inception) to March 31, 2007, the Investment Adviser did not receive a base management fee from the Company.</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right="40" w:firstLine="449"/>
        <w:spacing w:after="0" w:line="307" w:lineRule="auto"/>
        <w:rPr>
          <w:sz w:val="20"/>
          <w:szCs w:val="20"/>
          <w:color w:val="auto"/>
        </w:rPr>
      </w:pPr>
      <w:r>
        <w:rPr>
          <w:rFonts w:ascii="Arial" w:cs="Arial" w:eastAsia="Arial" w:hAnsi="Arial"/>
          <w:sz w:val="15"/>
          <w:szCs w:val="15"/>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pay in kind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w:t>
      </w:r>
    </w:p>
    <w:p>
      <w:pPr>
        <w:spacing w:after="0" w:line="30" w:lineRule="exact"/>
        <w:rPr>
          <w:sz w:val="20"/>
          <w:szCs w:val="20"/>
          <w:color w:val="auto"/>
        </w:rPr>
      </w:pPr>
    </w:p>
    <w:p>
      <w:pPr>
        <w:ind w:right="40" w:firstLine="457"/>
        <w:spacing w:after="0" w:line="268" w:lineRule="auto"/>
        <w:tabs>
          <w:tab w:leader="none" w:pos="698"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PennantPark Investment’s Pre-Incentive Fee Net Investment Income does not exceed the hurdle rate of 1.75%; (2) 100% of PennantPark Investment’s Pre-Incentive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43" w:lineRule="exact"/>
        <w:rPr>
          <w:sz w:val="20"/>
          <w:szCs w:val="20"/>
          <w:color w:val="auto"/>
        </w:rPr>
      </w:pPr>
    </w:p>
    <w:p>
      <w:pPr>
        <w:ind w:right="100" w:firstLine="449"/>
        <w:spacing w:after="0" w:line="288"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commencing on 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was calculated for a period of shorter than twelve calendar months to take into account any realized capital gains computed net of all realized capital losses and unrealized capital depreciation from inception. For the three and six months ended March 31, 2008, the Adviser received an incentive fee of $1.0 million and $1.4 million, respectively, from the Company. For the period January 11, 2007 (inception) to March 31, 2007, the Investment Adviser did not receive an Incentive Fee from the Company.</w:t>
      </w:r>
    </w:p>
    <w:p>
      <w:pPr>
        <w:spacing w:after="0" w:line="124"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color w:val="auto"/>
        </w:rPr>
        <w:t>PennantPark Investment has also entered into an Administration Agreement with PennantPark Investment Administration, LLC (the “Administrator” or “PennantPark Investment Administration”) under which PennantPark Investment Administration provides administrative services for PennantPark Investment. For providing these services, facilities and personnel, PennantPark Investment reimburses the Administrator for PennantPark Investment’s allocable portion of overhead and other expenses incurred by the Administrator in performing its 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provides on PennantPark Investment’s behalf managerial assistance to portfolio companies to which PennantPark Investment is required to provide such assistance. Reimbursement for certain of these costs is included in administrative services expenses in the statement of operations. For the three and six months ended March 31, 2008, the Investment Adviser was reimbursed $0.5 million and $1.1 million, respectively, from the Company, including expenses it incurred on behalf of the Administrator, for services described above. For the period January 11, 2007 (inception) to March 31, 2007, the Investment Adviser was not reimbursed from the Company for services described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ORGANIZATIONAL AND OFFERING EXPENSES</w:t>
      </w:r>
    </w:p>
    <w:p>
      <w:pPr>
        <w:spacing w:after="0" w:line="96"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A portion of the net proceeds of the Company’s initial public offering was used for organizational, offering and other expenses. Organizational expenses were treated as expenses incurred. Offering costs of $21.3 million were charged to net assets after the completion of the initial public offering on April 24, 2007.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ASSET VALUE PER SHARE</w:t>
      </w:r>
    </w:p>
    <w:p>
      <w:pPr>
        <w:spacing w:after="0" w:line="96" w:lineRule="exact"/>
        <w:rPr>
          <w:sz w:val="20"/>
          <w:szCs w:val="20"/>
          <w:color w:val="auto"/>
        </w:rPr>
      </w:pPr>
    </w:p>
    <w:p>
      <w:pPr>
        <w:ind w:right="860" w:firstLine="449"/>
        <w:spacing w:after="0" w:line="331" w:lineRule="auto"/>
        <w:rPr>
          <w:sz w:val="20"/>
          <w:szCs w:val="20"/>
          <w:color w:val="auto"/>
        </w:rPr>
      </w:pPr>
      <w:r>
        <w:rPr>
          <w:rFonts w:ascii="Arial" w:cs="Arial" w:eastAsia="Arial" w:hAnsi="Arial"/>
          <w:sz w:val="16"/>
          <w:szCs w:val="16"/>
          <w:color w:val="auto"/>
        </w:rPr>
        <w:t>On March 31, 2008, PennantPark Investment’s total net assets and net asset value per share were $216.3 million and $10.26, respectively. On September 30, 2007, PennantPark Investment’s total net assets and net assets value per share were $270.4 million and $12.83,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LOSS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and diluted per share net decrease in net assets resulting from operations: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5"/>
              </w:rPr>
              <w:t>Period from</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94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8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94"/>
              </w:rPr>
              <w:t>January 11, 2007</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94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840" w:type="dxa"/>
            <w:vAlign w:val="bottom"/>
            <w:gridSpan w:val="3"/>
          </w:tcPr>
          <w:p>
            <w:pPr>
              <w:spacing w:after="0"/>
              <w:rPr>
                <w:sz w:val="20"/>
                <w:szCs w:val="20"/>
                <w:color w:val="auto"/>
              </w:rPr>
            </w:pPr>
            <w:r>
              <w:rPr>
                <w:rFonts w:ascii="Arial" w:cs="Arial" w:eastAsia="Arial" w:hAnsi="Arial"/>
                <w:sz w:val="13"/>
                <w:szCs w:val="13"/>
                <w:b w:val="1"/>
                <w:bCs w:val="1"/>
                <w:color w:val="auto"/>
              </w:rPr>
              <w:t>Three months ended</w:t>
            </w:r>
          </w:p>
        </w:tc>
        <w:tc>
          <w:tcPr>
            <w:tcW w:w="148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93"/>
              </w:rPr>
              <w:t>(inception) through</w:t>
            </w:r>
          </w:p>
        </w:tc>
        <w:tc>
          <w:tcPr>
            <w:tcW w:w="280" w:type="dxa"/>
            <w:vAlign w:val="bottom"/>
          </w:tcPr>
          <w:p>
            <w:pPr>
              <w:spacing w:after="0"/>
              <w:rPr>
                <w:sz w:val="12"/>
                <w:szCs w:val="12"/>
                <w:color w:val="auto"/>
              </w:rPr>
            </w:pPr>
          </w:p>
        </w:tc>
        <w:tc>
          <w:tcPr>
            <w:tcW w:w="1100" w:type="dxa"/>
            <w:vAlign w:val="bottom"/>
            <w:gridSpan w:val="3"/>
          </w:tcPr>
          <w:p>
            <w:pPr>
              <w:spacing w:after="0"/>
              <w:rPr>
                <w:sz w:val="20"/>
                <w:szCs w:val="20"/>
                <w:color w:val="auto"/>
              </w:rPr>
            </w:pPr>
            <w:r>
              <w:rPr>
                <w:rFonts w:ascii="Arial" w:cs="Arial" w:eastAsia="Arial" w:hAnsi="Arial"/>
                <w:sz w:val="13"/>
                <w:szCs w:val="13"/>
                <w:b w:val="1"/>
                <w:bCs w:val="1"/>
                <w:color w:val="auto"/>
                <w:w w:val="96"/>
              </w:rPr>
              <w:t>Six months ended</w:t>
            </w:r>
          </w:p>
        </w:tc>
      </w:tr>
      <w:tr>
        <w:trPr>
          <w:trHeight w:val="161"/>
        </w:trPr>
        <w:tc>
          <w:tcPr>
            <w:tcW w:w="9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8"/>
              </w:rPr>
              <w:t>Class and Year</w:t>
            </w:r>
          </w:p>
        </w:tc>
        <w:tc>
          <w:tcPr>
            <w:tcW w:w="5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March 31, 2008</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0"/>
              <w:spacing w:after="0"/>
              <w:rPr>
                <w:sz w:val="20"/>
                <w:szCs w:val="20"/>
                <w:color w:val="auto"/>
              </w:rPr>
            </w:pPr>
            <w:r>
              <w:rPr>
                <w:rFonts w:ascii="Arial" w:cs="Arial" w:eastAsia="Arial" w:hAnsi="Arial"/>
                <w:sz w:val="13"/>
                <w:szCs w:val="13"/>
                <w:b w:val="1"/>
                <w:bCs w:val="1"/>
                <w:color w:val="auto"/>
                <w:w w:val="95"/>
              </w:rPr>
              <w:t>March 31, 2007</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March 31, 2008</w:t>
            </w:r>
          </w:p>
        </w:tc>
        <w:tc>
          <w:tcPr>
            <w:tcW w:w="60" w:type="dxa"/>
            <w:vAlign w:val="bottom"/>
          </w:tcPr>
          <w:p>
            <w:pPr>
              <w:spacing w:after="0"/>
              <w:rPr>
                <w:sz w:val="14"/>
                <w:szCs w:val="14"/>
                <w:color w:val="auto"/>
              </w:rPr>
            </w:pPr>
          </w:p>
        </w:tc>
      </w:tr>
      <w:tr>
        <w:trPr>
          <w:trHeight w:val="210"/>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 for net decrease in net assets per share resulting from operations: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(33,328,673)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(233,546)</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(44,865,329)</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20" w:type="dxa"/>
            <w:vAlign w:val="bottom"/>
          </w:tcPr>
          <w:p>
            <w:pPr>
              <w:spacing w:after="0"/>
              <w:rPr>
                <w:sz w:val="18"/>
                <w:szCs w:val="18"/>
                <w:color w:val="auto"/>
              </w:rPr>
            </w:pPr>
          </w:p>
        </w:tc>
        <w:tc>
          <w:tcPr>
            <w:tcW w:w="1720" w:type="dxa"/>
            <w:vAlign w:val="bottom"/>
            <w:gridSpan w:val="2"/>
          </w:tcPr>
          <w:p>
            <w:pPr>
              <w:jc w:val="right"/>
              <w:ind w:right="640"/>
              <w:spacing w:after="0"/>
              <w:rPr>
                <w:sz w:val="20"/>
                <w:szCs w:val="20"/>
                <w:color w:val="auto"/>
              </w:rPr>
            </w:pPr>
            <w:r>
              <w:rPr>
                <w:rFonts w:ascii="Arial" w:cs="Arial" w:eastAsia="Arial" w:hAnsi="Arial"/>
                <w:sz w:val="18"/>
                <w:szCs w:val="18"/>
                <w:color w:val="auto"/>
              </w:rPr>
              <w:t>21,068,772</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80,000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21,068,772</w:t>
            </w:r>
          </w:p>
        </w:tc>
        <w:tc>
          <w:tcPr>
            <w:tcW w:w="60" w:type="dxa"/>
            <w:vAlign w:val="bottom"/>
          </w:tcPr>
          <w:p>
            <w:pPr>
              <w:spacing w:after="0"/>
              <w:rPr>
                <w:sz w:val="18"/>
                <w:szCs w:val="18"/>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decrease in net assets per share resulting from operations: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(2.92)</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363"/>
        </w:trPr>
        <w:tc>
          <w:tcPr>
            <w:tcW w:w="6540" w:type="dxa"/>
            <w:vAlign w:val="bottom"/>
            <w:gridSpan w:val="2"/>
          </w:tcPr>
          <w:p>
            <w:pPr>
              <w:ind w:left="554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96" w:lineRule="exact"/>
        <w:rPr>
          <w:sz w:val="20"/>
          <w:szCs w:val="20"/>
          <w:color w:val="auto"/>
        </w:rPr>
      </w:pPr>
    </w:p>
    <w:p>
      <w:pPr>
        <w:ind w:right="300" w:firstLine="449"/>
        <w:spacing w:after="0" w:line="259" w:lineRule="auto"/>
        <w:rPr>
          <w:sz w:val="20"/>
          <w:szCs w:val="20"/>
          <w:color w:val="auto"/>
        </w:rPr>
      </w:pPr>
      <w:r>
        <w:rPr>
          <w:rFonts w:ascii="Arial" w:cs="Arial" w:eastAsia="Arial" w:hAnsi="Arial"/>
          <w:sz w:val="18"/>
          <w:szCs w:val="18"/>
          <w:color w:val="auto"/>
        </w:rPr>
        <w:t>Purchases and sales/repayments of long-term investments for the three months ended March 31, 2008 totaled $31.5 million and $0.9 million, respectively. In addition, for the six months ended March 31, 2008 purchase and sales/repayments of long-term investments totaled $102.5 million and $5.2 million,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4"/>
          </w:tcPr>
          <w:p>
            <w:pPr>
              <w:jc w:val="right"/>
              <w:ind w:right="595"/>
              <w:spacing w:after="0"/>
              <w:rPr>
                <w:sz w:val="20"/>
                <w:szCs w:val="20"/>
                <w:color w:val="auto"/>
              </w:rPr>
            </w:pPr>
            <w:r>
              <w:rPr>
                <w:rFonts w:ascii="Arial" w:cs="Arial" w:eastAsia="Arial" w:hAnsi="Arial"/>
                <w:sz w:val="13"/>
                <w:szCs w:val="13"/>
                <w:b w:val="1"/>
                <w:bCs w:val="1"/>
                <w:color w:val="auto"/>
              </w:rPr>
              <w:t>March 31, 2008</w:t>
            </w:r>
          </w:p>
        </w:tc>
        <w:tc>
          <w:tcPr>
            <w:tcW w:w="220" w:type="dxa"/>
            <w:vAlign w:val="bottom"/>
          </w:tcPr>
          <w:p>
            <w:pPr>
              <w:spacing w:after="0"/>
              <w:rPr>
                <w:sz w:val="14"/>
                <w:szCs w:val="14"/>
                <w:color w:val="auto"/>
              </w:rPr>
            </w:pPr>
          </w:p>
        </w:tc>
        <w:tc>
          <w:tcPr>
            <w:tcW w:w="2300" w:type="dxa"/>
            <w:vAlign w:val="bottom"/>
            <w:gridSpan w:val="4"/>
          </w:tcPr>
          <w:p>
            <w:pPr>
              <w:ind w:left="580"/>
              <w:spacing w:after="0"/>
              <w:rPr>
                <w:sz w:val="20"/>
                <w:szCs w:val="20"/>
                <w:color w:val="auto"/>
              </w:rPr>
            </w:pPr>
            <w:r>
              <w:rPr>
                <w:rFonts w:ascii="Arial" w:cs="Arial" w:eastAsia="Arial" w:hAnsi="Arial"/>
                <w:sz w:val="13"/>
                <w:szCs w:val="13"/>
                <w:b w:val="1"/>
                <w:bCs w:val="1"/>
                <w:color w:val="auto"/>
              </w:rPr>
              <w:t>September 30, 2007</w:t>
            </w:r>
          </w:p>
        </w:tc>
      </w:tr>
      <w:tr>
        <w:trPr>
          <w:trHeight w:val="142"/>
        </w:trPr>
        <w:tc>
          <w:tcPr>
            <w:tcW w:w="4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3"/>
                <w:szCs w:val="13"/>
                <w:b w:val="1"/>
                <w:bCs w:val="1"/>
                <w:color w:val="auto"/>
              </w:rPr>
              <w:t>Cost</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302"/>
              <w:spacing w:after="0" w:line="142" w:lineRule="exact"/>
              <w:rPr>
                <w:sz w:val="20"/>
                <w:szCs w:val="20"/>
                <w:color w:val="auto"/>
              </w:rPr>
            </w:pPr>
            <w:r>
              <w:rPr>
                <w:rFonts w:ascii="Arial" w:cs="Arial" w:eastAsia="Arial" w:hAnsi="Arial"/>
                <w:sz w:val="13"/>
                <w:szCs w:val="13"/>
                <w:b w:val="1"/>
                <w:bCs w:val="1"/>
                <w:color w:val="auto"/>
              </w:rPr>
              <w:t>Cost</w:t>
            </w: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3"/>
                <w:szCs w:val="13"/>
                <w:b w:val="1"/>
                <w:bCs w:val="1"/>
                <w:color w:val="auto"/>
              </w:rPr>
              <w:t>Fair Value</w:t>
            </w:r>
          </w:p>
        </w:tc>
        <w:tc>
          <w:tcPr>
            <w:tcW w:w="20" w:type="dxa"/>
            <w:vAlign w:val="bottom"/>
          </w:tcPr>
          <w:p>
            <w:pPr>
              <w:spacing w:after="0"/>
              <w:rPr>
                <w:sz w:val="12"/>
                <w:szCs w:val="12"/>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81,249,903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81,249,903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$ 258,016,351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$ 257,959,635</w:t>
            </w:r>
          </w:p>
        </w:tc>
        <w:tc>
          <w:tcPr>
            <w:tcW w:w="2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First lien</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165,050,041</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134,126,292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170,474,236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158,929,905</w:t>
            </w:r>
          </w:p>
        </w:tc>
        <w:tc>
          <w:tcPr>
            <w:tcW w:w="2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Second lien</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127,098,402</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100,620,750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75,260,488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67,748,750</w:t>
            </w:r>
          </w:p>
        </w:tc>
        <w:tc>
          <w:tcPr>
            <w:tcW w:w="2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Subordinated debt / corporate notes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111,434,124</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92,575,042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62,397,146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57,318,268</w:t>
            </w:r>
          </w:p>
        </w:tc>
        <w:tc>
          <w:tcPr>
            <w:tcW w:w="2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Preferred equity</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784,000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784,000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Common equity</w:t>
            </w:r>
          </w:p>
        </w:tc>
        <w:tc>
          <w:tcPr>
            <w:tcW w:w="2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9,266,000</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7,777,797</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6,750,000</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7,019,685</w:t>
            </w:r>
          </w:p>
        </w:tc>
        <w:tc>
          <w:tcPr>
            <w:tcW w:w="20" w:type="dxa"/>
            <w:vAlign w:val="bottom"/>
          </w:tcPr>
          <w:p>
            <w:pPr>
              <w:spacing w:after="0"/>
              <w:rPr>
                <w:sz w:val="19"/>
                <w:szCs w:val="19"/>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494,882,470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417,133,784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$ 572,898,221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$ 548,976,243</w:t>
            </w:r>
          </w:p>
        </w:tc>
        <w:tc>
          <w:tcPr>
            <w:tcW w:w="2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cost represents the original cost adjusted for the accretion of discounts and amortization of premiums on debt investments, if any.</w:t>
      </w:r>
    </w:p>
    <w:p>
      <w:pPr>
        <w:spacing w:after="0" w:line="171" w:lineRule="exact"/>
        <w:rPr>
          <w:sz w:val="20"/>
          <w:szCs w:val="20"/>
          <w:color w:val="auto"/>
        </w:rPr>
      </w:pPr>
    </w:p>
    <w:p>
      <w:pPr>
        <w:ind w:right="80" w:firstLine="449"/>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March 31, 2008 and September 30, 2007.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8"/>
              </w:rPr>
              <w:t>Industry Classification</w:t>
            </w:r>
          </w:p>
        </w:tc>
        <w:tc>
          <w:tcPr>
            <w:tcW w:w="40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5"/>
              </w:rPr>
              <w:t>March 31, 2008</w:t>
            </w:r>
          </w:p>
        </w:tc>
        <w:tc>
          <w:tcPr>
            <w:tcW w:w="112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0"/>
              </w:rPr>
              <w:t>September 30, 2007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454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11%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Healthcare, Education &amp; Childcare</w:t>
            </w:r>
          </w:p>
        </w:tc>
        <w:tc>
          <w:tcPr>
            <w:tcW w:w="4540" w:type="dxa"/>
            <w:vAlign w:val="bottom"/>
            <w:gridSpan w:val="3"/>
          </w:tcPr>
          <w:p>
            <w:pPr>
              <w:jc w:val="right"/>
              <w:ind w:right="1120"/>
              <w:spacing w:after="0"/>
              <w:rPr>
                <w:sz w:val="20"/>
                <w:szCs w:val="20"/>
                <w:color w:val="auto"/>
              </w:rPr>
            </w:pPr>
            <w:r>
              <w:rPr>
                <w:rFonts w:ascii="Arial" w:cs="Arial" w:eastAsia="Arial" w:hAnsi="Arial"/>
                <w:sz w:val="18"/>
                <w:szCs w:val="18"/>
                <w:color w:val="auto"/>
              </w:rPr>
              <w:t>9</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454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Auto Sector</w:t>
            </w:r>
          </w:p>
        </w:tc>
        <w:tc>
          <w:tcPr>
            <w:tcW w:w="4540" w:type="dxa"/>
            <w:vAlign w:val="bottom"/>
            <w:gridSpan w:val="3"/>
          </w:tcPr>
          <w:p>
            <w:pPr>
              <w:jc w:val="right"/>
              <w:ind w:right="1120"/>
              <w:spacing w:after="0"/>
              <w:rPr>
                <w:sz w:val="20"/>
                <w:szCs w:val="20"/>
                <w:color w:val="auto"/>
              </w:rPr>
            </w:pPr>
            <w:r>
              <w:rPr>
                <w:rFonts w:ascii="Arial" w:cs="Arial" w:eastAsia="Arial" w:hAnsi="Arial"/>
                <w:sz w:val="18"/>
                <w:szCs w:val="18"/>
                <w:color w:val="auto"/>
              </w:rPr>
              <w:t>6</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 Plastic &amp; Rubber</w:t>
            </w:r>
          </w:p>
        </w:tc>
        <w:tc>
          <w:tcPr>
            <w:tcW w:w="454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4540" w:type="dxa"/>
            <w:vAlign w:val="bottom"/>
            <w:gridSpan w:val="3"/>
          </w:tcPr>
          <w:p>
            <w:pPr>
              <w:jc w:val="right"/>
              <w:ind w:right="1120"/>
              <w:spacing w:after="0"/>
              <w:rPr>
                <w:sz w:val="20"/>
                <w:szCs w:val="20"/>
                <w:color w:val="auto"/>
              </w:rPr>
            </w:pPr>
            <w:r>
              <w:rPr>
                <w:rFonts w:ascii="Arial" w:cs="Arial" w:eastAsia="Arial" w:hAnsi="Arial"/>
                <w:sz w:val="18"/>
                <w:szCs w:val="18"/>
                <w:color w:val="auto"/>
              </w:rPr>
              <w:t>6</w:t>
            </w: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/Utilities</w:t>
            </w:r>
          </w:p>
        </w:tc>
        <w:tc>
          <w:tcPr>
            <w:tcW w:w="454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6</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w w:val="90"/>
              </w:rPr>
              <w:t>Home and Office Furnishings, Housewares, &amp; Durable Consumer Products</w:t>
            </w:r>
          </w:p>
        </w:tc>
        <w:tc>
          <w:tcPr>
            <w:tcW w:w="4540" w:type="dxa"/>
            <w:vAlign w:val="bottom"/>
            <w:gridSpan w:val="3"/>
          </w:tcPr>
          <w:p>
            <w:pPr>
              <w:jc w:val="right"/>
              <w:ind w:right="1120"/>
              <w:spacing w:after="0"/>
              <w:rPr>
                <w:sz w:val="20"/>
                <w:szCs w:val="20"/>
                <w:color w:val="auto"/>
              </w:rPr>
            </w:pPr>
            <w:r>
              <w:rPr>
                <w:rFonts w:ascii="Arial" w:cs="Arial" w:eastAsia="Arial" w:hAnsi="Arial"/>
                <w:sz w:val="18"/>
                <w:szCs w:val="18"/>
                <w:color w:val="auto"/>
              </w:rPr>
              <w:t>5</w:t>
            </w: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Broadcasting and Entertainment</w:t>
            </w:r>
          </w:p>
        </w:tc>
        <w:tc>
          <w:tcPr>
            <w:tcW w:w="454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4540" w:type="dxa"/>
            <w:vAlign w:val="bottom"/>
            <w:gridSpan w:val="3"/>
          </w:tcPr>
          <w:p>
            <w:pPr>
              <w:jc w:val="right"/>
              <w:ind w:right="1120"/>
              <w:spacing w:after="0"/>
              <w:rPr>
                <w:sz w:val="20"/>
                <w:szCs w:val="20"/>
                <w:color w:val="auto"/>
              </w:rPr>
            </w:pPr>
            <w:r>
              <w:rPr>
                <w:rFonts w:ascii="Arial" w:cs="Arial" w:eastAsia="Arial" w:hAnsi="Arial"/>
                <w:sz w:val="18"/>
                <w:szCs w:val="18"/>
                <w:color w:val="auto"/>
              </w:rPr>
              <w:t>4</w:t>
            </w: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454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Cable Television</w:t>
            </w:r>
          </w:p>
        </w:tc>
        <w:tc>
          <w:tcPr>
            <w:tcW w:w="4540" w:type="dxa"/>
            <w:vAlign w:val="bottom"/>
            <w:gridSpan w:val="3"/>
          </w:tcPr>
          <w:p>
            <w:pPr>
              <w:jc w:val="right"/>
              <w:ind w:right="1120"/>
              <w:spacing w:after="0"/>
              <w:rPr>
                <w:sz w:val="20"/>
                <w:szCs w:val="20"/>
                <w:color w:val="auto"/>
              </w:rPr>
            </w:pPr>
            <w:r>
              <w:rPr>
                <w:rFonts w:ascii="Arial" w:cs="Arial" w:eastAsia="Arial" w:hAnsi="Arial"/>
                <w:sz w:val="18"/>
                <w:szCs w:val="18"/>
                <w:color w:val="auto"/>
              </w:rPr>
              <w:t>4</w:t>
            </w: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Leisure, Amusement, Motion Picture, Entertainment</w:t>
            </w:r>
          </w:p>
        </w:tc>
        <w:tc>
          <w:tcPr>
            <w:tcW w:w="454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Retail Store</w:t>
            </w:r>
          </w:p>
        </w:tc>
        <w:tc>
          <w:tcPr>
            <w:tcW w:w="4540" w:type="dxa"/>
            <w:vAlign w:val="bottom"/>
            <w:gridSpan w:val="3"/>
          </w:tcPr>
          <w:p>
            <w:pPr>
              <w:jc w:val="right"/>
              <w:ind w:right="1120"/>
              <w:spacing w:after="0"/>
              <w:rPr>
                <w:sz w:val="20"/>
                <w:szCs w:val="20"/>
                <w:color w:val="auto"/>
              </w:rPr>
            </w:pPr>
            <w:r>
              <w:rPr>
                <w:rFonts w:ascii="Arial" w:cs="Arial" w:eastAsia="Arial" w:hAnsi="Arial"/>
                <w:sz w:val="18"/>
                <w:szCs w:val="18"/>
                <w:color w:val="auto"/>
              </w:rPr>
              <w:t>4</w:t>
            </w: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454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4540" w:type="dxa"/>
            <w:vAlign w:val="bottom"/>
            <w:gridSpan w:val="3"/>
          </w:tcPr>
          <w:p>
            <w:pPr>
              <w:jc w:val="right"/>
              <w:ind w:right="1120"/>
              <w:spacing w:after="0"/>
              <w:rPr>
                <w:sz w:val="20"/>
                <w:szCs w:val="20"/>
                <w:color w:val="auto"/>
              </w:rPr>
            </w:pPr>
            <w:r>
              <w:rPr>
                <w:rFonts w:ascii="Arial" w:cs="Arial" w:eastAsia="Arial" w:hAnsi="Arial"/>
                <w:sz w:val="18"/>
                <w:szCs w:val="18"/>
                <w:color w:val="auto"/>
              </w:rPr>
              <w:t>3</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454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4540" w:type="dxa"/>
            <w:vAlign w:val="bottom"/>
            <w:gridSpan w:val="3"/>
          </w:tcPr>
          <w:p>
            <w:pPr>
              <w:jc w:val="right"/>
              <w:ind w:right="1120"/>
              <w:spacing w:after="0"/>
              <w:rPr>
                <w:sz w:val="20"/>
                <w:szCs w:val="20"/>
                <w:color w:val="auto"/>
              </w:rPr>
            </w:pPr>
            <w:r>
              <w:rPr>
                <w:rFonts w:ascii="Arial" w:cs="Arial" w:eastAsia="Arial" w:hAnsi="Arial"/>
                <w:sz w:val="18"/>
                <w:szCs w:val="18"/>
                <w:color w:val="auto"/>
              </w:rPr>
              <w:t>2</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Containers, Packaging and Glass</w:t>
            </w:r>
          </w:p>
        </w:tc>
        <w:tc>
          <w:tcPr>
            <w:tcW w:w="454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Utilities</w:t>
            </w:r>
          </w:p>
        </w:tc>
        <w:tc>
          <w:tcPr>
            <w:tcW w:w="4540" w:type="dxa"/>
            <w:vAlign w:val="bottom"/>
            <w:gridSpan w:val="3"/>
          </w:tcPr>
          <w:p>
            <w:pPr>
              <w:jc w:val="right"/>
              <w:ind w:right="1120"/>
              <w:spacing w:after="0"/>
              <w:rPr>
                <w:sz w:val="20"/>
                <w:szCs w:val="20"/>
                <w:color w:val="auto"/>
              </w:rPr>
            </w:pPr>
            <w:r>
              <w:rPr>
                <w:rFonts w:ascii="Arial" w:cs="Arial" w:eastAsia="Arial" w:hAnsi="Arial"/>
                <w:sz w:val="18"/>
                <w:szCs w:val="18"/>
                <w:color w:val="auto"/>
              </w:rPr>
              <w:t>2</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 Basic Industry</w:t>
            </w:r>
          </w:p>
        </w:tc>
        <w:tc>
          <w:tcPr>
            <w:tcW w:w="454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Media</w:t>
            </w:r>
          </w:p>
        </w:tc>
        <w:tc>
          <w:tcPr>
            <w:tcW w:w="4540" w:type="dxa"/>
            <w:vAlign w:val="bottom"/>
            <w:gridSpan w:val="3"/>
          </w:tcPr>
          <w:p>
            <w:pPr>
              <w:jc w:val="right"/>
              <w:ind w:right="1120"/>
              <w:spacing w:after="0"/>
              <w:rPr>
                <w:sz w:val="20"/>
                <w:szCs w:val="20"/>
                <w:color w:val="auto"/>
              </w:rPr>
            </w:pPr>
            <w:r>
              <w:rPr>
                <w:rFonts w:ascii="Arial" w:cs="Arial" w:eastAsia="Arial" w:hAnsi="Arial"/>
                <w:sz w:val="18"/>
                <w:szCs w:val="18"/>
                <w:color w:val="auto"/>
              </w:rPr>
              <w:t>1</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454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520" w:type="dxa"/>
            <w:vAlign w:val="bottom"/>
          </w:tcPr>
          <w:p>
            <w:pPr>
              <w:spacing w:after="0"/>
              <w:rPr>
                <w:sz w:val="19"/>
                <w:szCs w:val="19"/>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54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100%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520" w:type="dxa"/>
            <w:vAlign w:val="bottom"/>
            <w:vMerge w:val="restart"/>
          </w:tcPr>
          <w:p>
            <w:pPr>
              <w:jc w:val="right"/>
              <w:ind w:right="2132"/>
              <w:spacing w:after="0"/>
              <w:rPr>
                <w:sz w:val="20"/>
                <w:szCs w:val="20"/>
                <w:color w:val="auto"/>
              </w:rPr>
            </w:pPr>
            <w:r>
              <w:rPr>
                <w:rFonts w:ascii="Arial" w:cs="Arial" w:eastAsia="Arial" w:hAnsi="Arial"/>
                <w:sz w:val="18"/>
                <w:szCs w:val="18"/>
                <w:color w:val="auto"/>
              </w:rPr>
              <w:t>19</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4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EQUIVALENTS</w:t>
      </w:r>
    </w:p>
    <w:p>
      <w:pPr>
        <w:spacing w:after="0" w:line="96" w:lineRule="exact"/>
        <w:rPr>
          <w:sz w:val="20"/>
          <w:szCs w:val="20"/>
          <w:color w:val="auto"/>
        </w:rPr>
      </w:pPr>
    </w:p>
    <w:p>
      <w:pPr>
        <w:ind w:right="220" w:firstLine="449"/>
        <w:spacing w:after="0" w:line="288" w:lineRule="auto"/>
        <w:rPr>
          <w:sz w:val="20"/>
          <w:szCs w:val="20"/>
          <w:color w:val="auto"/>
        </w:rPr>
      </w:pPr>
      <w:r>
        <w:rPr>
          <w:rFonts w:ascii="Arial" w:cs="Arial" w:eastAsia="Arial" w:hAnsi="Arial"/>
          <w:sz w:val="16"/>
          <w:szCs w:val="16"/>
          <w:color w:val="auto"/>
        </w:rPr>
        <w:t>Pending investment in longer-term portfolio holdings, PennantPark Investment may invest temporarily in U.S. Treasury Bills (of varying maturities), repurchase agreements, money markets or repo-like treasury securities. These temporary investments with maturities of 90 days or less will be deemed cash equivalents and are included in the Schedule of Investments. At the end of each fiscal quarter, PennantPark Investment typically takes proactive steps to preserve investment flexibility for the next quarter, which is dependent upon the composition of its total assets at quarter end. We may accomplish this in several ways, including purchasing U.S. Treasury Bills and closing out its positions on a net cash basis after quarter-end, temporarily drawing down on our Revolving Credit Facility, or utilizing repurchase agreements or other balance sheet transactions as we deem appropriate for this purpose. These amounts are excluded from adjusted gross assets for purposes of computing management fee. U.S. Treasury Bills with maturities greater than 60 days from the time of purchase are marked-to-market consistent with PennantPark Investment’s valuation policy.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REPURCHASE AGREEMENTS</w:t>
      </w:r>
    </w:p>
    <w:p>
      <w:pPr>
        <w:spacing w:after="0" w:line="96"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PennantPark Investment may enter into repurchase agreements as part of its investment program. In these transactions, PennantPark Investment’s custodian takes possession of collateral pledged by the counterparty. The collateral is marked-to-market daily to ensure that the value, plus accrued interest, is at least equal to the repurchase price. In the event of default of the obligor to repurchase, PennantPark Investment will have the right to liquidate the collateral and apply the proceeds in satisfaction of the obligation. Under certain circumstances, in the event of default or bankruptcy by the counterparty to the agreement, realization and/or retention of the collateral or proceeds may be subject to legal proceedings. There were no repurchase agreements outstanding on March 31, 2008 or September 30, 2007.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80" w:type="dxa"/>
            <w:vAlign w:val="bottom"/>
            <w:gridSpan w:val="3"/>
          </w:tcPr>
          <w:p>
            <w:pPr>
              <w:spacing w:after="0"/>
              <w:rPr>
                <w:sz w:val="20"/>
                <w:szCs w:val="20"/>
                <w:color w:val="auto"/>
              </w:rPr>
            </w:pPr>
            <w:r>
              <w:rPr>
                <w:rFonts w:ascii="Arial" w:cs="Arial" w:eastAsia="Arial" w:hAnsi="Arial"/>
                <w:sz w:val="13"/>
                <w:szCs w:val="13"/>
                <w:b w:val="1"/>
                <w:bCs w:val="1"/>
                <w:color w:val="auto"/>
              </w:rPr>
              <w:t>Period from January 11,</w:t>
            </w:r>
          </w:p>
        </w:tc>
      </w:tr>
      <w:tr>
        <w:trPr>
          <w:trHeight w:val="148"/>
        </w:trPr>
        <w:tc>
          <w:tcPr>
            <w:tcW w:w="4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980" w:type="dxa"/>
            <w:vAlign w:val="bottom"/>
            <w:gridSpan w:val="3"/>
          </w:tcPr>
          <w:p>
            <w:pPr>
              <w:ind w:left="20"/>
              <w:spacing w:after="0"/>
              <w:rPr>
                <w:sz w:val="20"/>
                <w:szCs w:val="20"/>
                <w:color w:val="auto"/>
              </w:rPr>
            </w:pPr>
            <w:r>
              <w:rPr>
                <w:rFonts w:ascii="Arial" w:cs="Arial" w:eastAsia="Arial" w:hAnsi="Arial"/>
                <w:sz w:val="13"/>
                <w:szCs w:val="13"/>
                <w:b w:val="1"/>
                <w:bCs w:val="1"/>
                <w:color w:val="auto"/>
              </w:rPr>
              <w:t>Six months ended</w:t>
            </w:r>
          </w:p>
        </w:tc>
        <w:tc>
          <w:tcPr>
            <w:tcW w:w="1780" w:type="dxa"/>
            <w:vAlign w:val="bottom"/>
            <w:gridSpan w:val="3"/>
          </w:tcPr>
          <w:p>
            <w:pPr>
              <w:spacing w:after="0"/>
              <w:rPr>
                <w:sz w:val="20"/>
                <w:szCs w:val="20"/>
                <w:color w:val="auto"/>
              </w:rPr>
            </w:pPr>
            <w:r>
              <w:rPr>
                <w:rFonts w:ascii="Arial" w:cs="Arial" w:eastAsia="Arial" w:hAnsi="Arial"/>
                <w:sz w:val="13"/>
                <w:szCs w:val="13"/>
                <w:b w:val="1"/>
                <w:bCs w:val="1"/>
                <w:color w:val="auto"/>
              </w:rPr>
              <w:t>2007 (inception) through</w:t>
            </w:r>
          </w:p>
        </w:tc>
      </w:tr>
      <w:tr>
        <w:trPr>
          <w:trHeight w:val="161"/>
        </w:trPr>
        <w:tc>
          <w:tcPr>
            <w:tcW w:w="49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March 31, 2008</w:t>
            </w:r>
          </w:p>
        </w:tc>
        <w:tc>
          <w:tcPr>
            <w:tcW w:w="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93"/>
              </w:rPr>
              <w:t>September 30, 2007</w:t>
            </w:r>
          </w:p>
        </w:tc>
        <w:tc>
          <w:tcPr>
            <w:tcW w:w="360" w:type="dxa"/>
            <w:vAlign w:val="bottom"/>
          </w:tcPr>
          <w:p>
            <w:pPr>
              <w:spacing w:after="0"/>
              <w:rPr>
                <w:sz w:val="14"/>
                <w:szCs w:val="14"/>
                <w:color w:val="auto"/>
              </w:rPr>
            </w:pPr>
          </w:p>
        </w:tc>
      </w:tr>
      <w:tr>
        <w:trPr>
          <w:trHeight w:val="209"/>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beginning of period</w:t>
            </w:r>
          </w:p>
        </w:tc>
        <w:tc>
          <w:tcPr>
            <w:tcW w:w="2620" w:type="dxa"/>
            <w:vAlign w:val="bottom"/>
            <w:gridSpan w:val="2"/>
            <w:shd w:val="clear" w:color="auto" w:fill="CCEEFF"/>
          </w:tcPr>
          <w:p>
            <w:pPr>
              <w:ind w:left="2500"/>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12.83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Net investment income</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right"/>
              <w:ind w:right="940"/>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18"/>
                <w:szCs w:val="18"/>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0.35</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realized and unrealized loss</w:t>
            </w: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w:t>
            </w:r>
          </w:p>
        </w:tc>
      </w:tr>
      <w:tr>
        <w:trPr>
          <w:trHeight w:val="20"/>
        </w:trPr>
        <w:tc>
          <w:tcPr>
            <w:tcW w:w="49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30"/>
        </w:trPr>
        <w:tc>
          <w:tcPr>
            <w:tcW w:w="4980" w:type="dxa"/>
            <w:vAlign w:val="bottom"/>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right"/>
              <w:ind w:right="88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4"/>
                <w:szCs w:val="24"/>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(0.80)</w:t>
            </w:r>
          </w:p>
        </w:tc>
      </w:tr>
      <w:tr>
        <w:trPr>
          <w:trHeight w:val="217"/>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Dividends and distributions to stockholders(1)</w:t>
            </w: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(0.36)</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Offering costs related to public offering</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(1.01)</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15.00</w:t>
            </w:r>
          </w:p>
        </w:tc>
      </w:tr>
      <w:tr>
        <w:trPr>
          <w:trHeight w:val="20"/>
        </w:trPr>
        <w:tc>
          <w:tcPr>
            <w:tcW w:w="49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30"/>
        </w:trPr>
        <w:tc>
          <w:tcPr>
            <w:tcW w:w="4980" w:type="dxa"/>
            <w:vAlign w:val="bottom"/>
          </w:tcPr>
          <w:p>
            <w:pPr>
              <w:spacing w:after="0"/>
              <w:rPr>
                <w:sz w:val="20"/>
                <w:szCs w:val="20"/>
                <w:color w:val="auto"/>
              </w:rPr>
            </w:pPr>
            <w:r>
              <w:rPr>
                <w:rFonts w:ascii="Arial" w:cs="Arial" w:eastAsia="Arial" w:hAnsi="Arial"/>
                <w:sz w:val="18"/>
                <w:szCs w:val="18"/>
                <w:color w:val="auto"/>
              </w:rPr>
              <w:t>Net asset value, end of period</w:t>
            </w:r>
          </w:p>
        </w:tc>
        <w:tc>
          <w:tcPr>
            <w:tcW w:w="25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10.26</w:t>
            </w:r>
          </w:p>
        </w:tc>
        <w:tc>
          <w:tcPr>
            <w:tcW w:w="9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12.83</w:t>
            </w:r>
          </w:p>
        </w:tc>
      </w:tr>
      <w:tr>
        <w:trPr>
          <w:trHeight w:val="116"/>
        </w:trPr>
        <w:tc>
          <w:tcPr>
            <w:tcW w:w="498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2620" w:type="dxa"/>
            <w:vAlign w:val="bottom"/>
            <w:gridSpan w:val="2"/>
            <w:shd w:val="clear" w:color="auto" w:fill="CCEEFF"/>
          </w:tcPr>
          <w:p>
            <w:pPr>
              <w:ind w:left="2500"/>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8.51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13.40</w:t>
            </w: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Total return(2)*</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2"/>
          </w:tcPr>
          <w:p>
            <w:pPr>
              <w:jc w:val="right"/>
              <w:ind w:right="740"/>
              <w:spacing w:after="0"/>
              <w:rPr>
                <w:sz w:val="20"/>
                <w:szCs w:val="20"/>
                <w:color w:val="auto"/>
              </w:rPr>
            </w:pPr>
            <w:r>
              <w:rPr>
                <w:rFonts w:ascii="Arial" w:cs="Arial" w:eastAsia="Arial" w:hAnsi="Arial"/>
                <w:sz w:val="18"/>
                <w:szCs w:val="18"/>
                <w:color w:val="auto"/>
              </w:rPr>
              <w:t>(33.44)%</w:t>
            </w:r>
          </w:p>
        </w:tc>
        <w:tc>
          <w:tcPr>
            <w:tcW w:w="120" w:type="dxa"/>
            <w:vAlign w:val="bottom"/>
          </w:tcPr>
          <w:p>
            <w:pPr>
              <w:spacing w:after="0"/>
              <w:rPr>
                <w:sz w:val="19"/>
                <w:szCs w:val="19"/>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(8.29)%</w:t>
            </w:r>
          </w:p>
        </w:tc>
      </w:tr>
      <w:tr>
        <w:trPr>
          <w:trHeight w:val="102"/>
        </w:trPr>
        <w:tc>
          <w:tcPr>
            <w:tcW w:w="49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60" w:type="dxa"/>
            <w:vAlign w:val="bottom"/>
          </w:tcPr>
          <w:p>
            <w:pPr>
              <w:spacing w:after="0"/>
              <w:rPr>
                <w:sz w:val="8"/>
                <w:szCs w:val="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w w:val="99"/>
              </w:rPr>
              <w:t>21,068,772</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21,068,772</w:t>
            </w:r>
          </w:p>
        </w:tc>
      </w:tr>
      <w:tr>
        <w:trPr>
          <w:trHeight w:val="323"/>
        </w:trPr>
        <w:tc>
          <w:tcPr>
            <w:tcW w:w="498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7"/>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Ratio of operating expenses to average net assets**(3)</w:t>
            </w: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3.76%(4)</w:t>
            </w:r>
          </w:p>
        </w:tc>
      </w:tr>
      <w:tr>
        <w:trPr>
          <w:trHeight w:val="323"/>
        </w:trPr>
        <w:tc>
          <w:tcPr>
            <w:tcW w:w="4980" w:type="dxa"/>
            <w:vAlign w:val="bottom"/>
          </w:tcPr>
          <w:p>
            <w:pPr>
              <w:spacing w:after="0"/>
              <w:rPr>
                <w:sz w:val="20"/>
                <w:szCs w:val="20"/>
                <w:color w:val="auto"/>
              </w:rPr>
            </w:pPr>
            <w:r>
              <w:rPr>
                <w:rFonts w:ascii="Arial" w:cs="Arial" w:eastAsia="Arial" w:hAnsi="Arial"/>
                <w:sz w:val="18"/>
                <w:szCs w:val="18"/>
                <w:color w:val="auto"/>
                <w:w w:val="99"/>
              </w:rPr>
              <w:t>Ratio of credit facility related expenses to average net assets**</w:t>
            </w: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right"/>
              <w:ind w:right="800"/>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1.50%(4)</w:t>
            </w:r>
          </w:p>
        </w:tc>
      </w:tr>
      <w:tr>
        <w:trPr>
          <w:trHeight w:val="28"/>
        </w:trPr>
        <w:tc>
          <w:tcPr>
            <w:tcW w:w="49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expenses to average net assets**(3)</w:t>
            </w: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7.63%</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5.26%(4)</w:t>
            </w:r>
          </w:p>
        </w:tc>
      </w:tr>
      <w:tr>
        <w:trPr>
          <w:trHeight w:val="20"/>
        </w:trPr>
        <w:tc>
          <w:tcPr>
            <w:tcW w:w="49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29"/>
        </w:trPr>
        <w:tc>
          <w:tcPr>
            <w:tcW w:w="4980" w:type="dxa"/>
            <w:vAlign w:val="bottom"/>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right"/>
              <w:ind w:right="800"/>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5.96%(4)</w:t>
            </w:r>
          </w:p>
        </w:tc>
      </w:tr>
      <w:tr>
        <w:trPr>
          <w:trHeight w:val="110"/>
        </w:trPr>
        <w:tc>
          <w:tcPr>
            <w:tcW w:w="498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2620" w:type="dxa"/>
            <w:vAlign w:val="bottom"/>
            <w:gridSpan w:val="2"/>
            <w:shd w:val="clear" w:color="auto" w:fill="CCEEFF"/>
          </w:tcPr>
          <w:p>
            <w:pPr>
              <w:ind w:left="2500"/>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w w:val="89"/>
              </w:rPr>
              <w:t>216,257,505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270,393,094</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Average debt outstanding</w:t>
            </w:r>
          </w:p>
        </w:tc>
        <w:tc>
          <w:tcPr>
            <w:tcW w:w="2620" w:type="dxa"/>
            <w:vAlign w:val="bottom"/>
            <w:gridSpan w:val="2"/>
          </w:tcPr>
          <w:p>
            <w:pPr>
              <w:ind w:left="2500"/>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jc w:val="right"/>
              <w:ind w:right="940"/>
              <w:spacing w:after="0"/>
              <w:rPr>
                <w:sz w:val="20"/>
                <w:szCs w:val="20"/>
                <w:color w:val="auto"/>
              </w:rPr>
            </w:pPr>
            <w:r>
              <w:rPr>
                <w:rFonts w:ascii="Arial" w:cs="Arial" w:eastAsia="Arial" w:hAnsi="Arial"/>
                <w:sz w:val="18"/>
                <w:szCs w:val="18"/>
                <w:color w:val="auto"/>
                <w:w w:val="99"/>
              </w:rPr>
              <w:t>80,568,306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817,610(4)</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Average debt per share</w:t>
            </w:r>
          </w:p>
        </w:tc>
        <w:tc>
          <w:tcPr>
            <w:tcW w:w="2620" w:type="dxa"/>
            <w:vAlign w:val="bottom"/>
            <w:gridSpan w:val="2"/>
            <w:shd w:val="clear" w:color="auto" w:fill="CCEEFF"/>
          </w:tcPr>
          <w:p>
            <w:pPr>
              <w:ind w:left="2500"/>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0.04(4)</w:t>
            </w: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2"/>
          </w:tcPr>
          <w:p>
            <w:pPr>
              <w:jc w:val="right"/>
              <w:ind w:right="800"/>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62.2%</w:t>
            </w:r>
          </w:p>
        </w:tc>
      </w:tr>
      <w:tr>
        <w:trPr>
          <w:trHeight w:val="356"/>
        </w:trPr>
        <w:tc>
          <w:tcPr>
            <w:tcW w:w="4980" w:type="dxa"/>
            <w:vAlign w:val="bottom"/>
          </w:tcPr>
          <w:p>
            <w:pPr>
              <w:spacing w:after="0"/>
              <w:rPr>
                <w:sz w:val="24"/>
                <w:szCs w:val="24"/>
                <w:color w:val="auto"/>
              </w:rPr>
            </w:pPr>
          </w:p>
        </w:tc>
        <w:tc>
          <w:tcPr>
            <w:tcW w:w="2500" w:type="dxa"/>
            <w:vAlign w:val="bottom"/>
          </w:tcPr>
          <w:p>
            <w:pPr>
              <w:jc w:val="right"/>
              <w:ind w:right="167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12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annualized</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Annualized</w:t>
      </w:r>
    </w:p>
    <w:p>
      <w:pPr>
        <w:spacing w:after="0" w:line="9" w:lineRule="exact"/>
        <w:rPr>
          <w:sz w:val="20"/>
          <w:szCs w:val="20"/>
          <w:color w:val="auto"/>
        </w:rPr>
      </w:pPr>
    </w:p>
    <w:p>
      <w:pPr>
        <w:ind w:left="460" w:right="52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ind w:left="460" w:right="22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the Company’s dividend reinvestment plan.</w:t>
      </w:r>
    </w:p>
    <w:p>
      <w:pPr>
        <w:ind w:left="460" w:right="8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the six months ended March 31, 2008, the ratio of operating expenses before management fee waiver to average net assets was 5.76%, and the ratio of total expenses before management fee waiver to average net assets was 7.97%. For the period from April 24, 2007 (initial public offering) through September 30, 2007, the ratio of operating expenses before management fee waiver to average net assets was 4.28%, and the ratio of total expenses before management fee waiver to average net assets was 5.78%.</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Since inception of initial public offering on April 24, 2007.</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CREDIT FACILITY</w:t>
      </w:r>
    </w:p>
    <w:p>
      <w:pPr>
        <w:spacing w:after="0" w:line="177" w:lineRule="exact"/>
        <w:rPr>
          <w:sz w:val="20"/>
          <w:szCs w:val="20"/>
          <w:color w:val="auto"/>
        </w:rPr>
      </w:pPr>
    </w:p>
    <w:p>
      <w:pPr>
        <w:ind w:firstLine="449"/>
        <w:spacing w:after="0" w:line="298" w:lineRule="auto"/>
        <w:rPr>
          <w:sz w:val="20"/>
          <w:szCs w:val="20"/>
          <w:color w:val="auto"/>
        </w:rPr>
      </w:pPr>
      <w:r>
        <w:rPr>
          <w:rFonts w:ascii="Arial" w:cs="Arial" w:eastAsia="Arial" w:hAnsi="Arial"/>
          <w:sz w:val="16"/>
          <w:szCs w:val="16"/>
          <w:color w:val="auto"/>
        </w:rPr>
        <w:t>On June 25, 2007, PennantPark Investment entered into a Senior Secured Revolving Credit Agreement (the “Credit Agreement”) among PennantPark Investment, various lenders and SunTrust Bank, as administrative agent for the lenders. SunTrust Robinson Humphrey Capital Markets acted as the joint lead arranger and book-runner, and Bear Stearns Corporate Lending Inc. acted as joint lead arranger and syndication agent. As of March 31, 2008, there was $194.5 million in outstanding borrowings under the Credit Agreement, with an average interest rate of 5.41%.</w:t>
      </w:r>
    </w:p>
    <w:p>
      <w:pPr>
        <w:spacing w:after="0" w:line="112" w:lineRule="exact"/>
        <w:rPr>
          <w:sz w:val="20"/>
          <w:szCs w:val="20"/>
          <w:color w:val="auto"/>
        </w:rPr>
      </w:pPr>
    </w:p>
    <w:p>
      <w:pPr>
        <w:ind w:right="40" w:firstLine="449"/>
        <w:spacing w:after="0" w:line="306" w:lineRule="auto"/>
        <w:rPr>
          <w:sz w:val="20"/>
          <w:szCs w:val="20"/>
          <w:color w:val="auto"/>
        </w:rPr>
      </w:pPr>
      <w:r>
        <w:rPr>
          <w:rFonts w:ascii="Arial" w:cs="Arial" w:eastAsia="Arial" w:hAnsi="Arial"/>
          <w:sz w:val="16"/>
          <w:szCs w:val="16"/>
          <w:color w:val="auto"/>
        </w:rPr>
        <w:t>Under the Credit Agreement, the lenders agreed to extend credit to PennantPark Investment in an initial aggregate principal or face amount not exceeding $300,000,000 at any one time outstanding. The Credit Agreement is a five-year revolving facility (with a stated maturity date of June 25, 2012) and is secured by substantially all of the assets in PennantPark Investment’s portfolio. Pricing is set at 100 basis points over LIBOR.</w:t>
      </w:r>
    </w:p>
    <w:p>
      <w:pPr>
        <w:spacing w:after="0" w:line="106" w:lineRule="exact"/>
        <w:rPr>
          <w:sz w:val="20"/>
          <w:szCs w:val="20"/>
          <w:color w:val="auto"/>
        </w:rPr>
      </w:pPr>
    </w:p>
    <w:p>
      <w:pPr>
        <w:ind w:right="20" w:firstLine="449"/>
        <w:spacing w:after="0" w:line="285" w:lineRule="auto"/>
        <w:rPr>
          <w:sz w:val="20"/>
          <w:szCs w:val="20"/>
          <w:color w:val="auto"/>
        </w:rPr>
      </w:pPr>
      <w:r>
        <w:rPr>
          <w:rFonts w:ascii="Arial" w:cs="Arial" w:eastAsia="Arial" w:hAnsi="Arial"/>
          <w:sz w:val="16"/>
          <w:szCs w:val="16"/>
          <w:color w:val="auto"/>
        </w:rPr>
        <w:t>The Credit Agreement contains affirmative and restrictive covenants, including: (a) periodic financial reporting requirements, (b) maintenance of a minimum stockholders’ equity of the greater of (i) 40% of the total assets of PennantPark Investment and its subsidiaries as at the last day of any fiscal quarter and (ii) the sum of (A) $120,000,000 plus (B) 25% of the net proceeds from the sale of equity interests in PennantPark Investment and its subsidiaries after the closing date of the Credit Agreement, (c) maintenance of a ratio of total assets (less total liabilities other than indebtedness) to total indebtedness, in each case of PennantPark Investment, of not less than 2.0:1.0, (d) maintenance of minimum liquidity standards, (e) limitations on the incurrence of additional indebtedness, (f) limitations on liens, (g) limitations on fundamental corporate changes, (h) limitations on investments (other than PennantPark Investment’s portfolio investments and certain other ordinary course investments), (i) limitations on payments and distributions (other than distributions to PennantPark Investment’s stockholders as contemplated to maintain Regulated Investment Company status), (j) limitations on transactions with affiliates, (k) limitations on engaging in business not contemplated by PennantPark Investment’s investment objectives, and (l) limitations on the creation or existence of agreements that prohibit liens on properties of PennantPark Investment and its subsidiaries. In addition to the asset coverage ratio described in clause (c) of the preceding sentence, borrowings under the Credit Agreement (and the incurrence of certain other permitted debt) will be subject to compliance with a borrowing base that will apply different advance rates to different types of assets in PennantPark Investment’s portfolio. See our Credit Agreement, Exhibit 10.5, to this Report (incorporated by reference), for the definitions of capitalized terms used by us relating to the Credit Agreement but not defined in this note. The Credit Agreement will be used to supplement our equity capital to make additional portfolio investments and for other general corporate purposes.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6" w:lineRule="exact"/>
        <w:rPr>
          <w:sz w:val="20"/>
          <w:szCs w:val="20"/>
          <w:color w:val="auto"/>
        </w:rPr>
      </w:pPr>
    </w:p>
    <w:p>
      <w:pPr>
        <w:jc w:val="both"/>
        <w:ind w:right="240" w:firstLine="449"/>
        <w:spacing w:after="0" w:line="298"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statement of assets and liabilities represent unfunded delayed draws on investments in first lien secured debt.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320" w:top="459" w:right="3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have reviewed the accompanying statement of assets and liabilities of PennantPark Investment Corporation (the “Company”) including the schedules of investments as of March 31, 2008 and the related statements of operations for the three and six month periods ended March 31, 2008, and the period from January 11, 2007 (inception) through March 31, 2007 and the Statements of changes in net assets for the six months period ended March 31, 2008 and the period January 11, 2007 (inception) through September 30, 2007 and the Statements of cash flows for the six months ended March 31, 2008. These financial statements are the responsibility of the Company’s management.</w:t>
      </w:r>
    </w:p>
    <w:p>
      <w:pPr>
        <w:spacing w:after="0" w:line="115"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We conducted our review in accordance with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financial statements taken as a whole. Accordingly, we do not express such an opinion.</w:t>
      </w:r>
    </w:p>
    <w:p>
      <w:pPr>
        <w:spacing w:after="0" w:line="11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financial statements referred to above for them to be in conformity with U.S. generally accepted accounting principles.</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statement of assets and liabilities of PennantPark Investment Corporation, including the schedule of investments, as of September 30, 2007, and the related consolidated statements of operations, changes in net assets and cash flows for the period from January 11, 2007 (inception) through September 30, 2007; and in our report dated December 12, 2007, we expressed an unqualified opinion on those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1251585" cy="2489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5158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7, 2008</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60" w:firstLine="449"/>
        <w:spacing w:after="0" w:line="298" w:lineRule="auto"/>
        <w:rPr>
          <w:sz w:val="20"/>
          <w:szCs w:val="20"/>
          <w:color w:val="auto"/>
        </w:rPr>
      </w:pPr>
      <w:r>
        <w:rPr>
          <w:rFonts w:ascii="Arial" w:cs="Arial" w:eastAsia="Arial" w:hAnsi="Arial"/>
          <w:sz w:val="16"/>
          <w:szCs w:val="16"/>
          <w:color w:val="auto"/>
        </w:rPr>
        <w:t>This Report, including the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Report involve risks and uncertainties, including statements as to:</w:t>
      </w:r>
    </w:p>
    <w:p>
      <w:pPr>
        <w:spacing w:after="0" w:line="31" w:lineRule="exact"/>
        <w:rPr>
          <w:sz w:val="20"/>
          <w:szCs w:val="20"/>
          <w:color w:val="auto"/>
        </w:rPr>
      </w:pPr>
    </w:p>
    <w:p>
      <w:pPr>
        <w:ind w:left="880" w:hanging="31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the Investment Adviser to locate suitable investments for us and to monitor and administer our investments.</w:t>
      </w:r>
    </w:p>
    <w:p>
      <w:pPr>
        <w:spacing w:after="0" w:line="171" w:lineRule="exact"/>
        <w:rPr>
          <w:sz w:val="20"/>
          <w:szCs w:val="20"/>
          <w:color w:val="auto"/>
        </w:rPr>
      </w:pPr>
    </w:p>
    <w:p>
      <w:pPr>
        <w:ind w:right="320" w:firstLine="449"/>
        <w:spacing w:after="0" w:line="306" w:lineRule="auto"/>
        <w:rPr>
          <w:sz w:val="20"/>
          <w:szCs w:val="20"/>
          <w:color w:val="auto"/>
        </w:rPr>
      </w:pPr>
      <w:r>
        <w:rPr>
          <w:rFonts w:ascii="Arial" w:cs="Arial" w:eastAsia="Arial" w:hAnsi="Arial"/>
          <w:sz w:val="16"/>
          <w:szCs w:val="16"/>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set forth in our preliminary prospectus entitled “Risk Factors” and elsewhere.</w:t>
      </w:r>
    </w:p>
    <w:p>
      <w:pPr>
        <w:spacing w:after="0" w:line="106"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Securities and Exchange Commission (“SEC”), including annual reports on Form 10-K, Reports on Form 10-Q and current reports on Form 8-K.</w:t>
      </w:r>
    </w:p>
    <w:p>
      <w:pPr>
        <w:spacing w:after="0" w:line="147" w:lineRule="exact"/>
        <w:rPr>
          <w:sz w:val="20"/>
          <w:szCs w:val="20"/>
          <w:color w:val="auto"/>
        </w:rPr>
      </w:pPr>
    </w:p>
    <w:p>
      <w:pPr>
        <w:ind w:right="280" w:firstLine="449"/>
        <w:spacing w:after="0" w:line="268"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financial statements and the related notes thereto contained elsewhere in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49"/>
        <w:spacing w:after="0" w:line="323" w:lineRule="auto"/>
        <w:rPr>
          <w:sz w:val="20"/>
          <w:szCs w:val="20"/>
          <w:color w:val="auto"/>
        </w:rPr>
      </w:pPr>
      <w:r>
        <w:rPr>
          <w:rFonts w:ascii="Arial" w:cs="Arial" w:eastAsia="Arial" w:hAnsi="Arial"/>
          <w:sz w:val="15"/>
          <w:szCs w:val="15"/>
          <w:color w:val="auto"/>
        </w:rPr>
        <w:t>PennantPark Investment was organized under the Maryland General Corporation Law in January 2007. We are an externally managed, closed-end, non-diversified investment company that has elected to be treated as a business development company under the 1940 Act. As such, we are required to comply with certain regulatory requirements. For instance, we generally have to invest at least 70% of our total assets in “qualifying assets,” including securities of private or thinly traded public U.S. companies, cash, cash equivalents, U.S. government securities and high-quality debt investments that mature in one year or less.</w:t>
      </w:r>
    </w:p>
    <w:p>
      <w:pPr>
        <w:spacing w:after="0" w:line="9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Our investment activities are managed by the Investment Adviser and supervised by our board of directors, a majority of whom are independent of us and the Investment Adviser. Under our Investment Management Agreement, we have agreed to pay the Investment Adviser an annual base management fee based on our average adjusted gross total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6" w:lineRule="exact"/>
        <w:rPr>
          <w:sz w:val="20"/>
          <w:szCs w:val="20"/>
          <w:color w:val="auto"/>
        </w:rPr>
      </w:pPr>
    </w:p>
    <w:p>
      <w:pPr>
        <w:ind w:right="100" w:firstLine="449"/>
        <w:spacing w:after="0" w:line="256" w:lineRule="auto"/>
        <w:rPr>
          <w:sz w:val="20"/>
          <w:szCs w:val="20"/>
          <w:color w:val="auto"/>
        </w:rPr>
      </w:pPr>
      <w:r>
        <w:rPr>
          <w:rFonts w:ascii="Arial" w:cs="Arial" w:eastAsia="Arial" w:hAnsi="Arial"/>
          <w:sz w:val="18"/>
          <w:szCs w:val="18"/>
          <w:color w:val="auto"/>
        </w:rPr>
        <w:t>Our investment objectives are to generate both current income and capital appreciation through debt and equity investments primarily in U.S. middle-market private companies in the form of mezzanine debt, senior secured loans and equity investments. From time to time, we may also invest in public companies whose securities are thinly traded. We consider our core assets, by value and investment focus, to consist of subordinated debt, second lien secured debt and, to a lesser extent, equity investments.</w:t>
      </w:r>
    </w:p>
    <w:p>
      <w:pPr>
        <w:spacing w:after="0" w:line="143" w:lineRule="exact"/>
        <w:rPr>
          <w:sz w:val="20"/>
          <w:szCs w:val="20"/>
          <w:color w:val="auto"/>
        </w:rPr>
      </w:pPr>
    </w:p>
    <w:p>
      <w:pPr>
        <w:ind w:right="240" w:firstLine="449"/>
        <w:spacing w:after="0" w:line="306" w:lineRule="auto"/>
        <w:rPr>
          <w:sz w:val="20"/>
          <w:szCs w:val="20"/>
          <w:color w:val="auto"/>
        </w:rPr>
      </w:pPr>
      <w:r>
        <w:rPr>
          <w:rFonts w:ascii="Arial" w:cs="Arial" w:eastAsia="Arial" w:hAnsi="Arial"/>
          <w:sz w:val="16"/>
          <w:szCs w:val="16"/>
          <w:color w:val="auto"/>
        </w:rPr>
        <w:t>The companies in which we invest are typically highly leveraged, often as a result of leveraged buy-outs or other recapitalization transactions,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06" w:lineRule="exact"/>
        <w:rPr>
          <w:sz w:val="20"/>
          <w:szCs w:val="20"/>
          <w:color w:val="auto"/>
        </w:rPr>
      </w:pPr>
    </w:p>
    <w:p>
      <w:pPr>
        <w:ind w:right="760" w:firstLine="449"/>
        <w:spacing w:after="0" w:line="268" w:lineRule="auto"/>
        <w:rPr>
          <w:sz w:val="20"/>
          <w:szCs w:val="20"/>
          <w:color w:val="auto"/>
        </w:rPr>
      </w:pPr>
      <w:r>
        <w:rPr>
          <w:rFonts w:ascii="Arial" w:cs="Arial" w:eastAsia="Arial" w:hAnsi="Arial"/>
          <w:sz w:val="18"/>
          <w:szCs w:val="18"/>
          <w:color w:val="auto"/>
        </w:rPr>
        <w:t>We expect that our investments in mezzanine debt and other investments will range between $10 million and $50 million each. We expect this investment size to vary proportionately with the size of our capital base.</w:t>
      </w:r>
    </w:p>
    <w:p>
      <w:pPr>
        <w:spacing w:after="0" w:line="132" w:lineRule="exact"/>
        <w:rPr>
          <w:sz w:val="20"/>
          <w:szCs w:val="20"/>
          <w:color w:val="auto"/>
        </w:rPr>
      </w:pPr>
    </w:p>
    <w:p>
      <w:pPr>
        <w:ind w:right="240" w:firstLine="449"/>
        <w:spacing w:after="0" w:line="291" w:lineRule="auto"/>
        <w:rPr>
          <w:sz w:val="20"/>
          <w:szCs w:val="20"/>
          <w:color w:val="auto"/>
        </w:rPr>
      </w:pPr>
      <w:r>
        <w:rPr>
          <w:rFonts w:ascii="Arial" w:cs="Arial" w:eastAsia="Arial" w:hAnsi="Arial"/>
          <w:sz w:val="16"/>
          <w:szCs w:val="16"/>
          <w:color w:val="auto"/>
        </w:rPr>
        <w:t>The level of our investment activity in our core assets depends on many factors, including the amount of debt and equity capital available to middle-market companies, the level of merger and acquisition activity for such companies, the availability of credit to finance transactions, the general economic environment and the competitive environment for the types of investments we make. Although we have used, and will continue to use, the proceeds of our initial public offering and borrowings under our credit facility, we anticipate that it will take us up to two years from the date of our initial public offering to invest all of our assets in accordance with our investment objectives. Any distributions we make during such period may be substantially lower than the distributions that we expect to pay when our portfolio is fully invested.</w:t>
      </w:r>
    </w:p>
    <w:p>
      <w:pPr>
        <w:spacing w:after="0" w:line="120" w:lineRule="exact"/>
        <w:rPr>
          <w:sz w:val="20"/>
          <w:szCs w:val="20"/>
          <w:color w:val="auto"/>
        </w:rPr>
      </w:pPr>
    </w:p>
    <w:p>
      <w:pPr>
        <w:ind w:right="60" w:firstLine="449"/>
        <w:spacing w:after="0" w:line="256" w:lineRule="auto"/>
        <w:rPr>
          <w:sz w:val="20"/>
          <w:szCs w:val="20"/>
          <w:color w:val="auto"/>
        </w:rPr>
      </w:pPr>
      <w:r>
        <w:rPr>
          <w:rFonts w:ascii="Arial" w:cs="Arial" w:eastAsia="Arial" w:hAnsi="Arial"/>
          <w:sz w:val="18"/>
          <w:szCs w:val="18"/>
          <w:color w:val="auto"/>
        </w:rPr>
        <w:t>While our primary focus is to generate current income and capital appreciation through debt and equity investments in thinly traded or private U.S. companies, we may invest up to 30% of the portfolio in opportunistic investments. These investments may include investments in high-yield bonds, distressed debt or other securities of public companies that are not thinly traded and securities of companies located outside of the U.S. We expect that these public companies generally will issue debt securities that are non-investment grade.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mezzanine debt or senior secured loans, typically have a term of three to ten years and bear interest at a fixed or floating rate. Interest on debt securities is generally payable quarterly or semiannually. In some cases, some of our investments provide for deferred interest payments or PIK interest.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interest income. We record prepayment premiums on loans and debt securities as interest income. Dividend income, if any, is recorded on the ex-dividend date.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160" w:firstLine="449"/>
        <w:spacing w:after="0" w:line="298" w:lineRule="auto"/>
        <w:rPr>
          <w:sz w:val="20"/>
          <w:szCs w:val="20"/>
          <w:color w:val="auto"/>
        </w:rPr>
      </w:pPr>
      <w:r>
        <w:rPr>
          <w:rFonts w:ascii="Arial" w:cs="Arial" w:eastAsia="Arial" w:hAnsi="Arial"/>
          <w:sz w:val="16"/>
          <w:szCs w:val="16"/>
          <w:color w:val="auto"/>
        </w:rPr>
        <w:t>Our primary operating expenses include the payment of management fees to the Investment Adviser, our allocable portion of overhead under the Administration Agreement and other operating costs as detailed below. Our management fee compensates the Investment Adviser for its work in identifying, evaluating, negotiating, consummating and monitoring our investments. Additionally, we pay interest expense on the outstanding debt we accrue under our credit facility. We bear all other costs and expenses of our operations and transactions, including:</w:t>
      </w:r>
    </w:p>
    <w:p>
      <w:pPr>
        <w:spacing w:after="0" w:line="31" w:lineRule="exact"/>
        <w:rPr>
          <w:sz w:val="20"/>
          <w:szCs w:val="20"/>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880" w:right="460" w:hanging="319"/>
        <w:spacing w:after="0" w:line="268"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w:t>
      </w:r>
    </w:p>
    <w:p>
      <w:pPr>
        <w:spacing w:after="0" w:line="5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on prospective investments;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320" w:top="459" w:right="3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80" w:hanging="31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ind w:left="880" w:right="120" w:hanging="319"/>
        <w:spacing w:after="0" w:line="256"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the Administration Agreement that will be based upon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As of March 31, 2008, our portfolio consisted of $92.6 million of subordinated debt, $100.6 million of second lien secured debt, $8.6 million of equity investments and $134.1 million of senior secured loans. Our core assets totaled $201.8 million and consisted of investments in fourteen different companies with an average investment size of $14.4 million per company and a weighted average yield of 11.7 % on the debt investments. On March 31, 2008, our senior secured loan portfolio totaled $134.1 million and consisted of twenty-eight different companies (including two companies also in our core portfolio) with an average investment size of $4.8 million, and a weighted average yield of 5.3%. The overall portfolio had a weighted average yield on debt investments of 9.2%. Due to continued erosion in market prices of leveraged finance instruments and a significant reduction in LIBOR, the portfolio had unrealized depreciation of $77.7 million. As of March 31, 2008, our portfolio consisted of forty companies and was invested 28% in subordinated debt, 30% in second lien secured debt, 2% in equity investments and 40% in senior secured loans.</w:t>
      </w:r>
    </w:p>
    <w:p>
      <w:pPr>
        <w:spacing w:after="0" w:line="124" w:lineRule="exact"/>
        <w:rPr>
          <w:sz w:val="20"/>
          <w:szCs w:val="20"/>
          <w:color w:val="auto"/>
        </w:rPr>
      </w:pPr>
    </w:p>
    <w:p>
      <w:pPr>
        <w:ind w:right="40" w:firstLine="449"/>
        <w:spacing w:after="0" w:line="256" w:lineRule="auto"/>
        <w:rPr>
          <w:sz w:val="20"/>
          <w:szCs w:val="20"/>
          <w:color w:val="auto"/>
        </w:rPr>
      </w:pPr>
      <w:r>
        <w:rPr>
          <w:rFonts w:ascii="Arial" w:cs="Arial" w:eastAsia="Arial" w:hAnsi="Arial"/>
          <w:sz w:val="18"/>
          <w:szCs w:val="18"/>
          <w:color w:val="auto"/>
        </w:rPr>
        <w:t>For the three months ended March 31, 2008, we invested $31.5 million in two new companies with an average yield of 14.4% on the debt investments. Sales and repayments of long-term investments for the three months ended March 31, 2008 totaled $0.9 million. For the six months ended March 31, 2008, we invested $102.5 million in new and existing portfolio companies with an average yield of 13.3% on the debt investments. Sales and repayments of long-term investments for the six months ended March 31, 2008 totaled $5.2 million.</w:t>
      </w:r>
    </w:p>
    <w:p>
      <w:pPr>
        <w:spacing w:after="0" w:line="143" w:lineRule="exact"/>
        <w:rPr>
          <w:sz w:val="20"/>
          <w:szCs w:val="20"/>
          <w:color w:val="auto"/>
        </w:rPr>
      </w:pPr>
    </w:p>
    <w:p>
      <w:pPr>
        <w:ind w:firstLine="449"/>
        <w:spacing w:after="0" w:line="283" w:lineRule="auto"/>
        <w:rPr>
          <w:sz w:val="20"/>
          <w:szCs w:val="20"/>
          <w:color w:val="auto"/>
        </w:rPr>
      </w:pPr>
      <w:r>
        <w:rPr>
          <w:rFonts w:ascii="Arial" w:cs="Arial" w:eastAsia="Arial" w:hAnsi="Arial"/>
          <w:sz w:val="16"/>
          <w:szCs w:val="16"/>
          <w:color w:val="auto"/>
        </w:rPr>
        <w:t>As of September 30, 2007, our portfolio consisted of $57.3 million of subordinated debt, $67.8 million of second lien secured debt, $7.0 million of equity investments and $158.9 million of senior secured loans. Our core assets totaled $132.1 million and consisted of investments in eight different companies with an average investment size of $16.5 million per company and a weighted average yield of 13.0% on the debt investments. On September 30, 2007, our senior secured loan portfolio totaled $158.9 million and consisted of thirty-one different companies (including one company also in our core portfolio) with an average investment size of $5.3 million, and a weighted average yield of 7.5%. The overall portfolio had a weighted average yield on debt investments of</w:t>
      </w:r>
    </w:p>
    <w:p>
      <w:pPr>
        <w:spacing w:after="0" w:line="2"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10.1%. Due to erosion in market prices of leveraged finance instruments, the portfolio had unrealized depreciation of $23.9 million. On September 30, 2007, our portfolio consisted of thirty-eight companies and was invested 20% in subordinated debt, 23% in second lien secured debt, 2% in equity investments and 55% in senior secured loans.</w:t>
      </w:r>
    </w:p>
    <w:p>
      <w:pPr>
        <w:spacing w:after="0" w:line="144" w:lineRule="exact"/>
        <w:rPr>
          <w:sz w:val="20"/>
          <w:szCs w:val="20"/>
          <w:color w:val="auto"/>
        </w:rPr>
      </w:pPr>
    </w:p>
    <w:p>
      <w:pPr>
        <w:ind w:right="20" w:firstLine="449"/>
        <w:spacing w:after="0" w:line="294" w:lineRule="auto"/>
        <w:rPr>
          <w:sz w:val="20"/>
          <w:szCs w:val="20"/>
          <w:color w:val="auto"/>
        </w:rPr>
      </w:pPr>
      <w:r>
        <w:rPr>
          <w:rFonts w:ascii="Arial" w:cs="Arial" w:eastAsia="Arial" w:hAnsi="Arial"/>
          <w:sz w:val="16"/>
          <w:szCs w:val="16"/>
          <w:color w:val="auto"/>
        </w:rPr>
        <w:t>We anticipate that our level of investment activity will vary substantially from period to period depending on many factors, including the amount of debt and equity capital available to middle-market companies, the level of merger and acquisition activity for such companies, the general economic environment and the competitive environment for our types of investments. Depending on these factors and owing to the substantial due diligence and structuring involved in negotiated investments in illiquid securities, we anticipate that it may take up to two years from the date of our initial public offering to invest all of our assets in accordance with our investment objectives. We will consider selling senior secured loans and/or drawing on our credit facility for liquidity purposes.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160" w:firstLine="449"/>
        <w:spacing w:after="0" w:line="268" w:lineRule="auto"/>
        <w:rPr>
          <w:sz w:val="20"/>
          <w:szCs w:val="20"/>
          <w:color w:val="auto"/>
        </w:rPr>
      </w:pPr>
      <w:r>
        <w:rPr>
          <w:rFonts w:ascii="Arial" w:cs="Arial" w:eastAsia="Arial" w:hAnsi="Arial"/>
          <w:sz w:val="18"/>
          <w:szCs w:val="18"/>
          <w:color w:val="auto"/>
        </w:rPr>
        <w:t>Our discussion of our financial condition and results of operation is based upon our financial statements, which have been prepared in accordance with U.S. generally accepted accounting principles, or GAAP.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320" w:top="459" w:right="3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preparation of these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critical accounting policies in the notes to our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purchased within 60 days of maturity are valued at cost plus accreted discount, or minus amortized premium, which approximates value. With respect to unquoted securities, our board of directors, together with our independent third party valuation firms, values each investment considering, among other measures, discounted cash flow models, comparisons of financial ratios of peer companies that are public and other factors.</w:t>
      </w:r>
    </w:p>
    <w:p>
      <w:pPr>
        <w:spacing w:after="0" w:line="126" w:lineRule="exact"/>
        <w:rPr>
          <w:sz w:val="20"/>
          <w:szCs w:val="20"/>
          <w:color w:val="auto"/>
        </w:rPr>
      </w:pPr>
    </w:p>
    <w:p>
      <w:pPr>
        <w:ind w:right="100" w:firstLine="449"/>
        <w:spacing w:after="0" w:line="253"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in connection with one of our portfolio companies, our board uses the pricing indicated by the external event to corroborate and/or assist us in our valuation of our investment in such portfolio company. Because there are not always readily available markets for many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47" w:lineRule="exact"/>
        <w:rPr>
          <w:sz w:val="20"/>
          <w:szCs w:val="20"/>
          <w:color w:val="auto"/>
        </w:rPr>
      </w:pPr>
    </w:p>
    <w:p>
      <w:pPr>
        <w:ind w:right="200" w:firstLine="449"/>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believed not to reflect the fair value of an investment, our board of directors undertakes a multi-step valuation process each quarter, as described below:</w:t>
      </w:r>
    </w:p>
    <w:p>
      <w:pPr>
        <w:spacing w:after="0" w:line="51" w:lineRule="exact"/>
        <w:rPr>
          <w:sz w:val="20"/>
          <w:szCs w:val="20"/>
          <w:color w:val="auto"/>
        </w:rPr>
      </w:pPr>
    </w:p>
    <w:p>
      <w:pPr>
        <w:ind w:left="880" w:right="320" w:hanging="319"/>
        <w:spacing w:after="0" w:line="268"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880" w:hanging="319"/>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jc w:val="both"/>
        <w:ind w:left="880" w:right="400" w:hanging="319"/>
        <w:spacing w:after="0" w:line="306" w:lineRule="auto"/>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board of directors also engages one or more independent valuation firms to conduct independent appraisals of our investments for which market quotations are not readily available or are readily available but believed not to reflect the fair value of an investment. The independent valuation firm reviews management’s preliminary valuations and its own independent assessment;</w:t>
      </w:r>
    </w:p>
    <w:p>
      <w:pPr>
        <w:spacing w:after="0" w:line="25" w:lineRule="exact"/>
        <w:rPr>
          <w:rFonts w:ascii="Arial" w:cs="Arial" w:eastAsia="Arial" w:hAnsi="Arial"/>
          <w:sz w:val="16"/>
          <w:szCs w:val="16"/>
          <w:color w:val="auto"/>
        </w:rPr>
      </w:pPr>
    </w:p>
    <w:p>
      <w:pPr>
        <w:ind w:left="880" w:right="140" w:hanging="319"/>
        <w:spacing w:after="0" w:line="331" w:lineRule="auto"/>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 w:lineRule="exact"/>
        <w:rPr>
          <w:rFonts w:ascii="Arial" w:cs="Arial" w:eastAsia="Arial" w:hAnsi="Arial"/>
          <w:sz w:val="16"/>
          <w:szCs w:val="16"/>
          <w:color w:val="auto"/>
        </w:rPr>
      </w:pPr>
    </w:p>
    <w:p>
      <w:pPr>
        <w:ind w:left="880" w:hanging="319"/>
        <w:spacing w:after="0" w:line="268"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securities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securities if we determine that it is probable that we will not be able to collect such interest. Loan origination fees, original issue discount and market discount or premium are capitalized, and we then accrete or amortize such amounts using the effective interest method as interest income. We record prepayment premiums on loans and debt securities as interest income. Dividend income, if any, is recognized on the ex-dividend date.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280" w:firstLine="449"/>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in Kind Interest</w:t>
      </w:r>
    </w:p>
    <w:p>
      <w:pPr>
        <w:spacing w:after="0" w:line="96"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the Company to maintain its status as a RIC, this income must be paid out to stockholders in the form of dividends, even though the Company has not collected any cash with respect to PIK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96"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We operate so as to qualify to be taxed as a RIC under Subchapter M of the Code and intend to continue to do so. Accordingly, we are not subject to federal income tax on the portion of our taxable income and gains distributed to stockholders. To qualify as a RIC, we are required to distribute at least 90% of our investment company taxable income as defined by the Code.</w:t>
      </w:r>
    </w:p>
    <w:p>
      <w:pPr>
        <w:spacing w:after="0" w:line="140" w:lineRule="exact"/>
        <w:rPr>
          <w:sz w:val="20"/>
          <w:szCs w:val="20"/>
          <w:color w:val="auto"/>
        </w:rPr>
      </w:pPr>
    </w:p>
    <w:p>
      <w:pPr>
        <w:ind w:right="120" w:firstLine="449"/>
        <w:spacing w:after="0" w:line="323" w:lineRule="auto"/>
        <w:rPr>
          <w:sz w:val="20"/>
          <w:szCs w:val="20"/>
          <w:color w:val="auto"/>
        </w:rPr>
      </w:pPr>
      <w:r>
        <w:rPr>
          <w:rFonts w:ascii="Arial" w:cs="Arial" w:eastAsia="Arial" w:hAnsi="Arial"/>
          <w:sz w:val="15"/>
          <w:szCs w:val="15"/>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40" w:firstLine="449"/>
        <w:spacing w:after="0" w:line="256" w:lineRule="auto"/>
        <w:rPr>
          <w:sz w:val="20"/>
          <w:szCs w:val="20"/>
          <w:color w:val="auto"/>
        </w:rPr>
      </w:pPr>
      <w:r>
        <w:rPr>
          <w:rFonts w:ascii="Arial" w:cs="Arial" w:eastAsia="Arial" w:hAnsi="Arial"/>
          <w:sz w:val="18"/>
          <w:szCs w:val="18"/>
          <w:color w:val="auto"/>
        </w:rPr>
        <w:t>The overall leveraged finance credit market experienced a substantial downturn during the second half of 2007 has resulted in unrealized depreciation on most of our existing assets, slowing of new investment activity and in an improved risk/reward environment for new investments. We did not experience any compromised liquidity during the recent turmoil in the global credit markets because of our ability to sell our senior secured loans and availability under our credit facility.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three and six months ended March 31, 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9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Investment income for the three and six months ended March 31, 2008, was $9.7 million and $18.7 million, respectively. Investment income for the three and six months ended March 31, 2008, was primarily attributed to $3.7 million and $7.9 million of interest income from senior secured loan investments, respectively; $3.9 million and $6.8 million from our second lien secured debt investments, respectively; and $1.8 million and $3.5 million from our subordinated debt investments, respectively. The remaining investment income was primarily attributed to interest income from short-term investments and to accretion of discount and amortization of premium.</w:t>
      </w:r>
    </w:p>
    <w:p>
      <w:pPr>
        <w:spacing w:after="0" w:line="147" w:lineRule="exact"/>
        <w:rPr>
          <w:sz w:val="20"/>
          <w:szCs w:val="20"/>
          <w:color w:val="auto"/>
        </w:rPr>
      </w:pPr>
    </w:p>
    <w:p>
      <w:pPr>
        <w:ind w:right="520" w:firstLine="449"/>
        <w:spacing w:after="0" w:line="268" w:lineRule="auto"/>
        <w:rPr>
          <w:sz w:val="20"/>
          <w:szCs w:val="20"/>
          <w:color w:val="auto"/>
        </w:rPr>
      </w:pPr>
      <w:r>
        <w:rPr>
          <w:rFonts w:ascii="Arial" w:cs="Arial" w:eastAsia="Arial" w:hAnsi="Arial"/>
          <w:sz w:val="18"/>
          <w:szCs w:val="18"/>
          <w:color w:val="auto"/>
        </w:rPr>
        <w:t>Investment income for the period January 11, 2007 (inception) through March 31, 2007 was $0.8 million, which was primarily attributed to senior secured loan investments.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jc w:val="both"/>
        <w:ind w:right="280" w:firstLine="449"/>
        <w:spacing w:after="0" w:line="256" w:lineRule="auto"/>
        <w:rPr>
          <w:sz w:val="20"/>
          <w:szCs w:val="20"/>
          <w:color w:val="auto"/>
        </w:rPr>
      </w:pPr>
      <w:r>
        <w:rPr>
          <w:rFonts w:ascii="Arial" w:cs="Arial" w:eastAsia="Arial" w:hAnsi="Arial"/>
          <w:sz w:val="18"/>
          <w:szCs w:val="18"/>
          <w:color w:val="auto"/>
        </w:rPr>
        <w:t>Net expenses for the three and six months ended March 31, 2008, totaled $5.3 million and $9.5 million, respectively. Of these totals, $1.7 million and $2.8 million were attributable to credit facility related expenses, and $1.1 million and $2.4 million to general and administrative expenses, respectively. Net base management fee for the same periods totaled $1.5 million and $2.9 million, and performance-based incentive fee totaled $1.0 million and $1.4 million, respectively.</w:t>
      </w:r>
    </w:p>
    <w:p>
      <w:pPr>
        <w:spacing w:after="0" w:line="143" w:lineRule="exact"/>
        <w:rPr>
          <w:sz w:val="20"/>
          <w:szCs w:val="20"/>
          <w:color w:val="auto"/>
        </w:rPr>
      </w:pPr>
    </w:p>
    <w:p>
      <w:pPr>
        <w:ind w:right="60" w:firstLine="449"/>
        <w:spacing w:after="0" w:line="268" w:lineRule="auto"/>
        <w:rPr>
          <w:sz w:val="20"/>
          <w:szCs w:val="20"/>
          <w:color w:val="auto"/>
        </w:rPr>
      </w:pPr>
      <w:r>
        <w:rPr>
          <w:rFonts w:ascii="Arial" w:cs="Arial" w:eastAsia="Arial" w:hAnsi="Arial"/>
          <w:sz w:val="18"/>
          <w:szCs w:val="18"/>
          <w:color w:val="auto"/>
        </w:rPr>
        <w:t>Net expenses for the period January 11, 2007 (inception) through March 31, 2007 totaled $1.0 million. Of this total $0.7 million was primarily attributed to credit facility related expenses and $0.3 million was related to administrative and organizational costs.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investment income totaled $4.4 million and $9.2 million or $0.21 and $0.44 per share, respectively, for the three and six months ended March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2008.</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investment loss totaled $0.3 million or $3.14 per share for the period January 11, 2007 (inception) to March 31,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Loss</w:t>
      </w:r>
    </w:p>
    <w:p>
      <w:pPr>
        <w:spacing w:after="0" w:line="96" w:lineRule="exact"/>
        <w:rPr>
          <w:sz w:val="20"/>
          <w:szCs w:val="20"/>
          <w:color w:val="auto"/>
        </w:rPr>
      </w:pPr>
    </w:p>
    <w:p>
      <w:pPr>
        <w:ind w:right="20" w:firstLine="449"/>
        <w:spacing w:after="0" w:line="268" w:lineRule="auto"/>
        <w:rPr>
          <w:sz w:val="20"/>
          <w:szCs w:val="20"/>
          <w:color w:val="auto"/>
        </w:rPr>
      </w:pPr>
      <w:r>
        <w:rPr>
          <w:rFonts w:ascii="Arial" w:cs="Arial" w:eastAsia="Arial" w:hAnsi="Arial"/>
          <w:sz w:val="18"/>
          <w:szCs w:val="18"/>
          <w:color w:val="auto"/>
        </w:rPr>
        <w:t>Sales and paydowns of long-term investments for the three and six months ended March 31, 2008 totaled $0.9 million and $5.2 million, respectively, and net realized losses totaled approximately $8,500 and $219,000,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realized gains on investments totaled approximately $19,000 for the period from January 11, 2007 (inception) through March 31, 2007.</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Unrealized Depreciation on Investments and cash equivalents</w:t>
      </w:r>
    </w:p>
    <w:p>
      <w:pPr>
        <w:spacing w:after="0" w:line="96"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The Company’s investments and cash equivalents had a net increase in unrealized depreciation of $37.8 million and $53.8 million, respectively, for the three and six months ended March 31, 2008. On March 31, 2008, net unrealized depreciation on investments and cash equivalents totaled $77.7 million, primarily due to the continued downturn in the leveraged finance credit market.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Decrease in Net Assets From Operations</w:t>
      </w:r>
    </w:p>
    <w:p>
      <w:pPr>
        <w:spacing w:after="0" w:line="96" w:lineRule="exact"/>
        <w:rPr>
          <w:sz w:val="20"/>
          <w:szCs w:val="20"/>
          <w:color w:val="auto"/>
        </w:rPr>
      </w:pPr>
    </w:p>
    <w:p>
      <w:pPr>
        <w:ind w:right="100" w:firstLine="449"/>
        <w:spacing w:after="0" w:line="268" w:lineRule="auto"/>
        <w:rPr>
          <w:sz w:val="20"/>
          <w:szCs w:val="20"/>
          <w:color w:val="auto"/>
        </w:rPr>
      </w:pPr>
      <w:r>
        <w:rPr>
          <w:rFonts w:ascii="Arial" w:cs="Arial" w:eastAsia="Arial" w:hAnsi="Arial"/>
          <w:sz w:val="18"/>
          <w:szCs w:val="18"/>
          <w:color w:val="auto"/>
        </w:rPr>
        <w:t>Net decrease in net assets resulting from operations totaled $33.3 million and $44.9 million, or $1.58 and $2.13 per share, respectively, for the three and six months ended March 31, 2008.</w:t>
      </w:r>
    </w:p>
    <w:p>
      <w:pPr>
        <w:spacing w:after="0" w:line="132" w:lineRule="exact"/>
        <w:rPr>
          <w:sz w:val="20"/>
          <w:szCs w:val="20"/>
          <w:color w:val="auto"/>
        </w:rPr>
      </w:pPr>
    </w:p>
    <w:p>
      <w:pPr>
        <w:ind w:right="380" w:firstLine="449"/>
        <w:spacing w:after="0" w:line="268" w:lineRule="auto"/>
        <w:rPr>
          <w:sz w:val="20"/>
          <w:szCs w:val="20"/>
          <w:color w:val="auto"/>
        </w:rPr>
      </w:pPr>
      <w:r>
        <w:rPr>
          <w:rFonts w:ascii="Arial" w:cs="Arial" w:eastAsia="Arial" w:hAnsi="Arial"/>
          <w:sz w:val="18"/>
          <w:szCs w:val="18"/>
          <w:color w:val="auto"/>
        </w:rPr>
        <w:t>Net decrease in net assets resulting from operations totaled $0.2 million or $2.92 per share for the period from January 11, 2007 (inception) through March 31,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On June 25, 2007, we entered into a Senior Secured Revolving Credit Agreement (the “Credit Agreement”) among us, various lenders and SunTrust Bank, as administrative agent for the lenders. SunTrust Robinson Humphrey Capital Markets acted as the joint lead arranger and book-runner, and Bear Stearns Corporate Lending Inc. acted as joint lead arranger and syndication agent. As of March 31, 2008, we had outstanding borrowings of $194.5 million under the Credit Agreement, with an average interest rate of 5.41%.</w:t>
      </w:r>
    </w:p>
    <w:p>
      <w:pPr>
        <w:spacing w:after="0" w:line="143"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Under the Credit Agreement, the lenders agreed to extend us credit in an initial aggregate principal or face amount not exceeding $300.0 million at any one time outstanding. The Credit Agreement is a five-year revolving facility (with a stated maturity date of June 25, 2012) and is secured by substantially all of our investment portfolio assets. Pricing is set at 100 basis points over LIBOR.</w:t>
      </w:r>
    </w:p>
    <w:p>
      <w:pPr>
        <w:spacing w:after="0" w:line="140" w:lineRule="exact"/>
        <w:rPr>
          <w:sz w:val="20"/>
          <w:szCs w:val="20"/>
          <w:color w:val="auto"/>
        </w:rPr>
      </w:pPr>
    </w:p>
    <w:p>
      <w:pPr>
        <w:ind w:right="80" w:firstLine="449"/>
        <w:spacing w:after="0" w:line="294" w:lineRule="auto"/>
        <w:rPr>
          <w:sz w:val="20"/>
          <w:szCs w:val="20"/>
          <w:color w:val="auto"/>
        </w:rPr>
      </w:pPr>
      <w:r>
        <w:rPr>
          <w:rFonts w:ascii="Arial" w:cs="Arial" w:eastAsia="Arial" w:hAnsi="Arial"/>
          <w:sz w:val="16"/>
          <w:szCs w:val="16"/>
          <w:color w:val="auto"/>
        </w:rPr>
        <w:t>On March 31, 2008, we had $81.2 million in cash equivalents. During the six months ended March 31, 2008, we generated operating cash flows primarily from interest earned on debt investments, and our primary use of funds for operations during the same period consisted of investments in portfolio companies, payments of fees and other operating expenses incurred by the Company. Our operating activities resulted in a net use of cash of $98.9 million and $351.9 million, respectively, for the three and six months ended March 31, 2008, and our financing activities resulted in a net inflow of cash of $98.3 million and $175.2 million for the same periods, primarily from borrowings under our credit facility.</w:t>
      </w:r>
    </w:p>
    <w:p>
      <w:pPr>
        <w:spacing w:after="0" w:line="11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During the period from January 11, 2007 (inception) through March 31, 2007, cash and cash equivalents increased from $0 to $1,687,267. Cash was provided by financing activities through the issuance of 80,000 shares of common stock and borrowings under the Credit Facility. Cash was used by operating activities through the purchase of investments net of amounts payable for such purchases, and through payment of operating expenses net of amounts accrued as of March 31, 2007. Cash was provided by operating activities through proceeds from dispositions of investments net of amounts receivable for investments sold, and through interest earned on investments net of amounts receivable as of March 31, 2007.</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459"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140" w:firstLine="449"/>
        <w:spacing w:after="0" w:line="268" w:lineRule="auto"/>
        <w:rPr>
          <w:sz w:val="20"/>
          <w:szCs w:val="20"/>
          <w:color w:val="auto"/>
        </w:rPr>
      </w:pPr>
      <w:r>
        <w:rPr>
          <w:rFonts w:ascii="Arial" w:cs="Arial" w:eastAsia="Arial" w:hAnsi="Arial"/>
          <w:sz w:val="18"/>
          <w:szCs w:val="18"/>
          <w:color w:val="auto"/>
        </w:rPr>
        <w:t>A summary of our significant contractual payment obligations for the repayment of outstanding borrowing under the multi-currency $300 million, five-year, revolving credit facility maturing in June 2012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3"/>
                <w:szCs w:val="13"/>
                <w:b w:val="1"/>
                <w:bCs w:val="1"/>
                <w:color w:val="auto"/>
                <w:w w:val="99"/>
              </w:rPr>
              <w:t>Payments due by period (millions)</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6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jc w:val="right"/>
              <w:ind w:right="380"/>
              <w:spacing w:after="0" w:line="129" w:lineRule="exact"/>
              <w:rPr>
                <w:sz w:val="20"/>
                <w:szCs w:val="20"/>
                <w:color w:val="auto"/>
              </w:rPr>
            </w:pPr>
            <w:r>
              <w:rPr>
                <w:rFonts w:ascii="Arial" w:cs="Arial" w:eastAsia="Arial" w:hAnsi="Arial"/>
                <w:sz w:val="13"/>
                <w:szCs w:val="13"/>
                <w:b w:val="1"/>
                <w:bCs w:val="1"/>
                <w:color w:val="auto"/>
                <w:w w:val="88"/>
              </w:rPr>
              <w:t>Less than</w:t>
            </w:r>
          </w:p>
        </w:tc>
        <w:tc>
          <w:tcPr>
            <w:tcW w:w="30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5"/>
              </w:rPr>
              <w:t>1-3</w:t>
            </w:r>
          </w:p>
        </w:tc>
        <w:tc>
          <w:tcPr>
            <w:tcW w:w="880" w:type="dxa"/>
            <w:vAlign w:val="bottom"/>
            <w:gridSpan w:val="2"/>
          </w:tcPr>
          <w:p>
            <w:pPr>
              <w:jc w:val="right"/>
              <w:ind w:right="93"/>
              <w:spacing w:after="0" w:line="129" w:lineRule="exact"/>
              <w:rPr>
                <w:sz w:val="20"/>
                <w:szCs w:val="20"/>
                <w:color w:val="auto"/>
              </w:rPr>
            </w:pPr>
            <w:r>
              <w:rPr>
                <w:rFonts w:ascii="Arial" w:cs="Arial" w:eastAsia="Arial" w:hAnsi="Arial"/>
                <w:sz w:val="13"/>
                <w:szCs w:val="13"/>
                <w:b w:val="1"/>
                <w:bCs w:val="1"/>
                <w:color w:val="auto"/>
              </w:rPr>
              <w:t>3-5</w:t>
            </w:r>
          </w:p>
        </w:tc>
        <w:tc>
          <w:tcPr>
            <w:tcW w:w="52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6"/>
              </w:rPr>
              <w:t>More than</w:t>
            </w:r>
          </w:p>
        </w:tc>
        <w:tc>
          <w:tcPr>
            <w:tcW w:w="20" w:type="dxa"/>
            <w:vAlign w:val="bottom"/>
          </w:tcPr>
          <w:p>
            <w:pPr>
              <w:spacing w:after="0"/>
              <w:rPr>
                <w:sz w:val="11"/>
                <w:szCs w:val="11"/>
                <w:color w:val="auto"/>
              </w:rPr>
            </w:pPr>
          </w:p>
        </w:tc>
      </w:tr>
      <w:tr>
        <w:trPr>
          <w:trHeight w:val="161"/>
        </w:trPr>
        <w:tc>
          <w:tcPr>
            <w:tcW w:w="6980" w:type="dxa"/>
            <w:vAlign w:val="bottom"/>
          </w:tcPr>
          <w:p>
            <w:pPr>
              <w:spacing w:after="0"/>
              <w:rPr>
                <w:sz w:val="14"/>
                <w:szCs w:val="14"/>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Total</w:t>
            </w:r>
          </w:p>
        </w:tc>
        <w:tc>
          <w:tcPr>
            <w:tcW w:w="500" w:type="dxa"/>
            <w:vAlign w:val="bottom"/>
          </w:tcPr>
          <w:p>
            <w:pPr>
              <w:spacing w:after="0"/>
              <w:rPr>
                <w:sz w:val="14"/>
                <w:szCs w:val="14"/>
                <w:color w:val="auto"/>
              </w:rPr>
            </w:pPr>
          </w:p>
        </w:tc>
        <w:tc>
          <w:tcPr>
            <w:tcW w:w="560" w:type="dxa"/>
            <w:vAlign w:val="bottom"/>
            <w:tcBorders>
              <w:bottom w:val="single" w:sz="8" w:color="auto"/>
            </w:tcBorders>
          </w:tcPr>
          <w:p>
            <w:pPr>
              <w:jc w:val="right"/>
              <w:ind w:right="27"/>
              <w:spacing w:after="0"/>
              <w:rPr>
                <w:sz w:val="20"/>
                <w:szCs w:val="20"/>
                <w:color w:val="auto"/>
              </w:rPr>
            </w:pPr>
            <w:r>
              <w:rPr>
                <w:rFonts w:ascii="Arial" w:cs="Arial" w:eastAsia="Arial" w:hAnsi="Arial"/>
                <w:sz w:val="13"/>
                <w:szCs w:val="13"/>
                <w:b w:val="1"/>
                <w:bCs w:val="1"/>
                <w:color w:val="auto"/>
              </w:rPr>
              <w:t>1 year</w:t>
            </w:r>
          </w:p>
        </w:tc>
        <w:tc>
          <w:tcPr>
            <w:tcW w:w="38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years</w:t>
            </w:r>
          </w:p>
        </w:tc>
        <w:tc>
          <w:tcPr>
            <w:tcW w:w="3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years</w:t>
            </w:r>
          </w:p>
        </w:tc>
        <w:tc>
          <w:tcPr>
            <w:tcW w:w="520" w:type="dxa"/>
            <w:vAlign w:val="bottom"/>
          </w:tcPr>
          <w:p>
            <w:pPr>
              <w:spacing w:after="0"/>
              <w:rPr>
                <w:sz w:val="14"/>
                <w:szCs w:val="14"/>
                <w:color w:val="auto"/>
              </w:rPr>
            </w:pPr>
          </w:p>
        </w:tc>
        <w:tc>
          <w:tcPr>
            <w:tcW w:w="620" w:type="dxa"/>
            <w:vAlign w:val="bottom"/>
            <w:tcBorders>
              <w:bottom w:val="single" w:sz="8" w:color="auto"/>
            </w:tcBorders>
          </w:tcPr>
          <w:p>
            <w:pPr>
              <w:jc w:val="right"/>
              <w:ind w:right="26"/>
              <w:spacing w:after="0"/>
              <w:rPr>
                <w:sz w:val="20"/>
                <w:szCs w:val="20"/>
                <w:color w:val="auto"/>
              </w:rPr>
            </w:pPr>
            <w:r>
              <w:rPr>
                <w:rFonts w:ascii="Arial" w:cs="Arial" w:eastAsia="Arial" w:hAnsi="Arial"/>
                <w:sz w:val="13"/>
                <w:szCs w:val="13"/>
                <w:b w:val="1"/>
                <w:bCs w:val="1"/>
                <w:color w:val="auto"/>
              </w:rPr>
              <w:t>5 years</w:t>
            </w:r>
          </w:p>
        </w:tc>
        <w:tc>
          <w:tcPr>
            <w:tcW w:w="20" w:type="dxa"/>
            <w:vAlign w:val="bottom"/>
          </w:tcPr>
          <w:p>
            <w:pPr>
              <w:spacing w:after="0"/>
              <w:rPr>
                <w:sz w:val="14"/>
                <w:szCs w:val="14"/>
                <w:color w:val="auto"/>
              </w:rPr>
            </w:pPr>
          </w:p>
        </w:tc>
      </w:tr>
      <w:tr>
        <w:trPr>
          <w:trHeight w:val="20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revolving credit facility (1)</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$194.5</w:t>
            </w:r>
            <w:r>
              <w:rPr>
                <w:rFonts w:ascii="Arial" w:cs="Arial" w:eastAsia="Arial" w:hAnsi="Arial"/>
                <w:sz w:val="11"/>
                <w:szCs w:val="11"/>
                <w:color w:val="auto"/>
                <w:w w:val="87"/>
              </w:rPr>
              <w:t>(2)</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$194.5</w:t>
            </w:r>
            <w:r>
              <w:rPr>
                <w:rFonts w:ascii="Arial" w:cs="Arial" w:eastAsia="Arial" w:hAnsi="Arial"/>
                <w:sz w:val="11"/>
                <w:szCs w:val="11"/>
                <w:color w:val="auto"/>
              </w:rPr>
              <w:t>(2)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2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March 31, 2008, $105.5 million remained unused under our senior secured revolving credit facility.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Including $80.0 million temporary draw.</w:t>
      </w:r>
    </w:p>
    <w:p>
      <w:pPr>
        <w:spacing w:after="0" w:line="165" w:lineRule="exact"/>
        <w:rPr>
          <w:sz w:val="20"/>
          <w:szCs w:val="20"/>
          <w:color w:val="auto"/>
        </w:rPr>
      </w:pPr>
    </w:p>
    <w:p>
      <w:pPr>
        <w:ind w:right="180" w:firstLine="449"/>
        <w:spacing w:after="0" w:line="294" w:lineRule="auto"/>
        <w:rPr>
          <w:sz w:val="20"/>
          <w:szCs w:val="20"/>
          <w:color w:val="auto"/>
        </w:rPr>
      </w:pPr>
      <w:r>
        <w:rPr>
          <w:rFonts w:ascii="Arial" w:cs="Arial" w:eastAsia="Arial" w:hAnsi="Arial"/>
          <w:sz w:val="16"/>
          <w:szCs w:val="16"/>
          <w:color w:val="auto"/>
        </w:rPr>
        <w:t>We have entered into certain contracts under which we have material future commitments. On April 17, 2007 we entered into an Investment Management Agreement with PennantPark Investment Advisers in accordance with the 1940 Act, effective as of the completion of our initial public offering, pursuant to which the Investment Adviser provides us with investment advisory and management services. Payments under the Investment Management Agreement in each reporting period are equal to (1) a management fee equal to a percentage of the value of our gross assets and (2) an incentive fee based on our performance (see note 3 to our financial statements for more information).</w:t>
      </w:r>
    </w:p>
    <w:p>
      <w:pPr>
        <w:spacing w:after="0" w:line="115" w:lineRule="exact"/>
        <w:rPr>
          <w:sz w:val="20"/>
          <w:szCs w:val="20"/>
          <w:color w:val="auto"/>
        </w:rPr>
      </w:pPr>
    </w:p>
    <w:p>
      <w:pPr>
        <w:ind w:right="300" w:firstLine="449"/>
        <w:spacing w:after="0" w:line="291" w:lineRule="auto"/>
        <w:rPr>
          <w:sz w:val="20"/>
          <w:szCs w:val="20"/>
          <w:color w:val="auto"/>
        </w:rPr>
      </w:pPr>
      <w:r>
        <w:rPr>
          <w:rFonts w:ascii="Arial" w:cs="Arial" w:eastAsia="Arial" w:hAnsi="Arial"/>
          <w:sz w:val="16"/>
          <w:szCs w:val="16"/>
          <w:color w:val="auto"/>
        </w:rPr>
        <w:t>Pursuant to an Administration Agreement, dated April 17, 2007, the PennantPark Investment Administration furnishes us with office facilities and administrative services necessary to conduct our day-to-day operations. If requested to provide managerial assistance to our portfolio companies, the Administrator will be paid an additional amount based on the services provided, which amount will not in any case exceed the amount we receive from the portfolio companies for such services. Payment under the Administration Agreement is based upon our allocable portion of the Administrator’s overhead in performing its obligations under the Administration Agreement, including rent, technology systems, insurance and our allocable portion of the costs of our chief compliance officer, chief financial officer and their respective staffs.</w:t>
      </w:r>
    </w:p>
    <w:p>
      <w:pPr>
        <w:spacing w:after="0" w:line="120" w:lineRule="exact"/>
        <w:rPr>
          <w:sz w:val="20"/>
          <w:szCs w:val="20"/>
          <w:color w:val="auto"/>
        </w:rPr>
      </w:pPr>
    </w:p>
    <w:p>
      <w:pPr>
        <w:ind w:right="80" w:firstLine="449"/>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engage in no off-balance sheet arrangements, including any risk management of commodity pricing or other hedging practices.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jc w:val="both"/>
        <w:ind w:right="160" w:firstLine="449"/>
        <w:spacing w:after="0" w:line="306" w:lineRule="auto"/>
        <w:rPr>
          <w:sz w:val="20"/>
          <w:szCs w:val="20"/>
          <w:color w:val="auto"/>
        </w:rPr>
      </w:pPr>
      <w:r>
        <w:rPr>
          <w:rFonts w:ascii="Arial" w:cs="Arial" w:eastAsia="Arial" w:hAnsi="Arial"/>
          <w:sz w:val="16"/>
          <w:szCs w:val="16"/>
          <w:color w:val="auto"/>
        </w:rPr>
        <w:t>In order to qualify as a regulated investment company and to avoid corporate level tax on income, we are required, under Subchapter M of the Code, to distribute at least 90% of our ordinary income and net short-term capital gains in excess of realized net long-term capital losses, if any, to our stockholders on an annual basis. Additionally, we must distribute at least 98% of our income (both ordinary income and net capital gains) to avoid an excise tax.</w:t>
      </w:r>
    </w:p>
    <w:p>
      <w:pPr>
        <w:spacing w:after="0" w:line="106" w:lineRule="exact"/>
        <w:rPr>
          <w:sz w:val="20"/>
          <w:szCs w:val="20"/>
          <w:color w:val="auto"/>
        </w:rPr>
      </w:pPr>
    </w:p>
    <w:p>
      <w:pPr>
        <w:ind w:right="180" w:firstLine="449"/>
        <w:spacing w:after="0" w:line="331" w:lineRule="auto"/>
        <w:rPr>
          <w:sz w:val="20"/>
          <w:szCs w:val="20"/>
          <w:color w:val="auto"/>
        </w:rPr>
      </w:pPr>
      <w:r>
        <w:rPr>
          <w:rFonts w:ascii="Arial" w:cs="Arial" w:eastAsia="Arial" w:hAnsi="Arial"/>
          <w:sz w:val="16"/>
          <w:szCs w:val="16"/>
          <w:color w:val="auto"/>
        </w:rPr>
        <w:t>During the three and six months ended March 31, 2008 we paid to stockholders distributions of $0.22 and $0.44 per share, for a total dividend of $4.6 million and $9.3 million, respectively. Tax characteristics of all distributions will be reported to stockholders on Form 1099 after the end of the calendar year.</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will be determined by our board of directors.</w:t>
      </w:r>
    </w:p>
    <w:p>
      <w:pPr>
        <w:spacing w:after="0" w:line="194" w:lineRule="exact"/>
        <w:rPr>
          <w:sz w:val="20"/>
          <w:szCs w:val="20"/>
          <w:color w:val="auto"/>
        </w:rPr>
      </w:pPr>
    </w:p>
    <w:p>
      <w:pPr>
        <w:jc w:val="both"/>
        <w:ind w:right="60" w:firstLine="449"/>
        <w:spacing w:after="0" w:line="259" w:lineRule="auto"/>
        <w:rPr>
          <w:sz w:val="20"/>
          <w:szCs w:val="20"/>
          <w:color w:val="auto"/>
        </w:rPr>
      </w:pPr>
      <w:r>
        <w:rPr>
          <w:rFonts w:ascii="Arial" w:cs="Arial" w:eastAsia="Arial" w:hAnsi="Arial"/>
          <w:sz w:val="18"/>
          <w:szCs w:val="18"/>
          <w:color w:val="auto"/>
        </w:rPr>
        <w:t>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40"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80" w:firstLine="449"/>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15" w:lineRule="exact"/>
        <w:rPr>
          <w:sz w:val="20"/>
          <w:szCs w:val="20"/>
          <w:color w:val="auto"/>
        </w:rPr>
      </w:pPr>
    </w:p>
    <w:p>
      <w:pPr>
        <w:ind w:right="560" w:firstLine="449"/>
        <w:spacing w:after="0" w:line="331" w:lineRule="auto"/>
        <w:rPr>
          <w:sz w:val="20"/>
          <w:szCs w:val="20"/>
          <w:color w:val="auto"/>
        </w:rPr>
      </w:pPr>
      <w:r>
        <w:rPr>
          <w:rFonts w:ascii="Arial" w:cs="Arial" w:eastAsia="Arial" w:hAnsi="Arial"/>
          <w:sz w:val="16"/>
          <w:szCs w:val="16"/>
          <w:color w:val="auto"/>
        </w:rPr>
        <w:t>We did not experience any compromised liquidity during the continued turmoil in the global credit markets because of our ability to liquidate our portfolio of senior secured loans, which totaled $134.1 million as of March 31, 2008, and availability under our credit facility.</w:t>
      </w:r>
    </w:p>
    <w:p>
      <w:pPr>
        <w:spacing w:after="0" w:line="20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During the period covered by this report, many of the loans in our portfolio had floating interest rates. These loans are usually based on a floating LIBOR rate and typically have durations of three months after which they reset to current market interest rates.</w:t>
      </w:r>
    </w:p>
    <w:p>
      <w:pPr>
        <w:spacing w:after="0" w:line="140"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Assuming that the balance sheet as of the period covered by this report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5"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143"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During the period covered by this report, we did not engage in interest rate hedging activities.</w:t>
      </w:r>
    </w:p>
    <w:p>
      <w:pPr>
        <w:spacing w:after="0" w:line="25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100" w:firstLine="449"/>
        <w:spacing w:after="0" w:line="290" w:lineRule="auto"/>
        <w:rPr>
          <w:sz w:val="20"/>
          <w:szCs w:val="20"/>
          <w:color w:val="auto"/>
        </w:rPr>
      </w:pPr>
      <w:r>
        <w:rPr>
          <w:rFonts w:ascii="Arial" w:cs="Arial" w:eastAsia="Arial" w:hAnsi="Arial"/>
          <w:sz w:val="16"/>
          <w:szCs w:val="16"/>
          <w:color w:val="auto"/>
        </w:rPr>
        <w:t>As of the period covered by this report, we, including our Chief Executive Officer and Chief Financial Officer, evaluated the effectiveness of the design and operation of our disclosure controls and procedures (as defined in Rule 13a-15(e) under the Securities Exchange Act of 1934). Based on that evaluation, our management, including the Chief Executive Officer and Chief Financial Officer, concluded that our disclosure controls and procedures were effective in timely alerting management, including the Chief Executive Officer and Chief Financial Officer, of material information about us required to be included in periodic SEC filings.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118"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Securities Exchange Act of 1934) that occurred during the period covered by this report that have materially affected, or are reasonably likely to materially affect, our internal control over financial reporting.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jc w:val="both"/>
        <w:ind w:right="80" w:firstLine="449"/>
        <w:spacing w:after="0" w:line="294" w:lineRule="auto"/>
        <w:rPr>
          <w:sz w:val="20"/>
          <w:szCs w:val="20"/>
          <w:color w:val="auto"/>
        </w:rPr>
      </w:pPr>
      <w:r>
        <w:rPr>
          <w:rFonts w:ascii="Arial" w:cs="Arial" w:eastAsia="Arial" w:hAnsi="Arial"/>
          <w:sz w:val="16"/>
          <w:szCs w:val="16"/>
          <w:color w:val="auto"/>
        </w:rPr>
        <w:t>Neither our Investment Adviser, our Administrator or us is currently subject to any material legal proceedings, nor, to our knowledge, is any material legal proceeding threatened against us, or against the Investment Adviser or Administrator. From time to time, we, the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23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 xml:space="preserve">In addition to the other information set forth in this report, you should carefully consider the factors discussed in Part I, “Item 1A. Risk Factors” in our Annual Report on Form 10-K for the fiscal year ended September 30, 2007, which could materially affect our business, financial condition and/or operating results. The risks described in our Annual Report on Form 10-K are not the only risks facing our Company. Our annual report is posted on the SEC’s web site,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and on our web-site, </w:t>
      </w:r>
      <w:r>
        <w:rPr>
          <w:rFonts w:ascii="Arial" w:cs="Arial" w:eastAsia="Arial" w:hAnsi="Arial"/>
          <w:sz w:val="16"/>
          <w:szCs w:val="16"/>
          <w:u w:val="single" w:color="auto"/>
          <w:color w:val="auto"/>
        </w:rPr>
        <w:t>www.pennantpark.com</w:t>
      </w:r>
      <w:r>
        <w:rPr>
          <w:rFonts w:ascii="Arial" w:cs="Arial" w:eastAsia="Arial" w:hAnsi="Arial"/>
          <w:sz w:val="16"/>
          <w:szCs w:val="16"/>
          <w:color w:val="auto"/>
        </w:rPr>
        <w:t>. Additional risks and uncertainties not currently known to us or that we currently deem to be immaterial also may materially adversely affect our business, financial condition and/or operating results.</w:t>
      </w:r>
    </w:p>
    <w:p>
      <w:pPr>
        <w:spacing w:after="0" w:line="23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right="160"/>
        <w:spacing w:after="0" w:line="331" w:lineRule="auto"/>
        <w:rPr>
          <w:sz w:val="20"/>
          <w:szCs w:val="20"/>
          <w:color w:val="auto"/>
        </w:rPr>
      </w:pPr>
      <w:r>
        <w:rPr>
          <w:rFonts w:ascii="Arial" w:cs="Arial" w:eastAsia="Arial" w:hAnsi="Arial"/>
          <w:sz w:val="16"/>
          <w:szCs w:val="16"/>
          <w:color w:val="auto"/>
        </w:rPr>
        <w:t>On February 8, 2008, PennantPark Investment Corporation held its 2008 Annual Meeting of Stockholders in New York, N.Y. for the purpose of considering and voting upon the election of directors and ratification of the selection of an independent registered public accounting firm. Votes were cast as follows:</w:t>
      </w:r>
    </w:p>
    <w:p>
      <w:pPr>
        <w:spacing w:after="0" w:line="12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gridSpan w:val="3"/>
          </w:tcPr>
          <w:p>
            <w:pPr>
              <w:spacing w:after="0"/>
              <w:rPr>
                <w:sz w:val="20"/>
                <w:szCs w:val="20"/>
                <w:color w:val="auto"/>
              </w:rPr>
            </w:pPr>
            <w:r>
              <w:rPr>
                <w:rFonts w:ascii="Arial" w:cs="Arial" w:eastAsia="Arial" w:hAnsi="Arial"/>
                <w:sz w:val="13"/>
                <w:szCs w:val="13"/>
                <w:b w:val="1"/>
                <w:bCs w:val="1"/>
                <w:color w:val="auto"/>
              </w:rPr>
              <w:t>Director Nominee</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For</w:t>
            </w:r>
          </w:p>
        </w:tc>
        <w:tc>
          <w:tcPr>
            <w:tcW w:w="38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4"/>
              </w:rPr>
              <w:t>Withheld</w:t>
            </w:r>
          </w:p>
        </w:tc>
        <w:tc>
          <w:tcPr>
            <w:tcW w:w="460" w:type="dxa"/>
            <w:vAlign w:val="bottom"/>
          </w:tcPr>
          <w:p>
            <w:pPr>
              <w:spacing w:after="0"/>
              <w:rPr>
                <w:sz w:val="14"/>
                <w:szCs w:val="14"/>
                <w:color w:val="auto"/>
              </w:rPr>
            </w:pPr>
          </w:p>
        </w:tc>
      </w:tr>
      <w:tr>
        <w:trPr>
          <w:trHeight w:val="201"/>
        </w:trPr>
        <w:tc>
          <w:tcPr>
            <w:tcW w:w="108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79"/>
              </w:rPr>
              <w:t>Marshall Brozost</w:t>
            </w:r>
          </w:p>
        </w:tc>
        <w:tc>
          <w:tcPr>
            <w:tcW w:w="5820" w:type="dxa"/>
            <w:vAlign w:val="bottom"/>
          </w:tcPr>
          <w:p>
            <w:pPr>
              <w:spacing w:after="0"/>
              <w:rPr>
                <w:sz w:val="17"/>
                <w:szCs w:val="17"/>
                <w:color w:val="auto"/>
              </w:rPr>
            </w:pPr>
          </w:p>
        </w:tc>
        <w:tc>
          <w:tcPr>
            <w:tcW w:w="7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6"/>
              </w:rPr>
              <w:t>18,604,374</w:t>
            </w:r>
          </w:p>
        </w:tc>
        <w:tc>
          <w:tcPr>
            <w:tcW w:w="380" w:type="dxa"/>
            <w:vAlign w:val="bottom"/>
          </w:tcPr>
          <w:p>
            <w:pPr>
              <w:spacing w:after="0"/>
              <w:rPr>
                <w:sz w:val="17"/>
                <w:szCs w:val="17"/>
                <w:color w:val="auto"/>
              </w:rPr>
            </w:pPr>
          </w:p>
        </w:tc>
        <w:tc>
          <w:tcPr>
            <w:tcW w:w="5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4"/>
              </w:rPr>
              <w:t>21,104</w:t>
            </w: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22"/>
        </w:trPr>
        <w:tc>
          <w:tcPr>
            <w:tcW w:w="6900" w:type="dxa"/>
            <w:vAlign w:val="bottom"/>
            <w:gridSpan w:val="3"/>
          </w:tcPr>
          <w:p>
            <w:pPr>
              <w:spacing w:after="0"/>
              <w:rPr>
                <w:sz w:val="20"/>
                <w:szCs w:val="20"/>
                <w:color w:val="auto"/>
              </w:rPr>
            </w:pPr>
            <w:r>
              <w:rPr>
                <w:rFonts w:ascii="Arial" w:cs="Arial" w:eastAsia="Arial" w:hAnsi="Arial"/>
                <w:sz w:val="18"/>
                <w:szCs w:val="18"/>
                <w:color w:val="auto"/>
              </w:rPr>
              <w:t>Samuel L. Katz</w:t>
            </w:r>
          </w:p>
        </w:tc>
        <w:tc>
          <w:tcPr>
            <w:tcW w:w="780" w:type="dxa"/>
            <w:vAlign w:val="bottom"/>
          </w:tcPr>
          <w:p>
            <w:pPr>
              <w:jc w:val="center"/>
              <w:spacing w:after="0"/>
              <w:rPr>
                <w:sz w:val="20"/>
                <w:szCs w:val="20"/>
                <w:color w:val="auto"/>
              </w:rPr>
            </w:pPr>
            <w:r>
              <w:rPr>
                <w:rFonts w:ascii="Arial" w:cs="Arial" w:eastAsia="Arial" w:hAnsi="Arial"/>
                <w:sz w:val="18"/>
                <w:szCs w:val="18"/>
                <w:color w:val="auto"/>
                <w:w w:val="86"/>
              </w:rPr>
              <w:t>18,604,527</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20,951</w:t>
            </w:r>
          </w:p>
        </w:tc>
        <w:tc>
          <w:tcPr>
            <w:tcW w:w="460" w:type="dxa"/>
            <w:vAlign w:val="bottom"/>
          </w:tcPr>
          <w:p>
            <w:pPr>
              <w:spacing w:after="0"/>
              <w:rPr>
                <w:sz w:val="19"/>
                <w:szCs w:val="19"/>
                <w:color w:val="auto"/>
              </w:rPr>
            </w:pPr>
          </w:p>
        </w:tc>
      </w:tr>
      <w:tr>
        <w:trPr>
          <w:trHeight w:val="258"/>
        </w:trPr>
        <w:tc>
          <w:tcPr>
            <w:tcW w:w="5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3"/>
              </w:rPr>
              <w:t>Proposal</w:t>
            </w:r>
          </w:p>
        </w:tc>
        <w:tc>
          <w:tcPr>
            <w:tcW w:w="6360" w:type="dxa"/>
            <w:vAlign w:val="bottom"/>
            <w:gridSpan w:val="2"/>
          </w:tcPr>
          <w:p>
            <w:pPr>
              <w:spacing w:after="0"/>
              <w:rPr>
                <w:sz w:val="22"/>
                <w:szCs w:val="2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For</w:t>
            </w:r>
          </w:p>
        </w:tc>
        <w:tc>
          <w:tcPr>
            <w:tcW w:w="380" w:type="dxa"/>
            <w:vAlign w:val="bottom"/>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4"/>
              </w:rPr>
              <w:t>Withheld</w:t>
            </w:r>
          </w:p>
        </w:tc>
        <w:tc>
          <w:tcPr>
            <w:tcW w:w="360" w:type="dxa"/>
            <w:vAlign w:val="bottom"/>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Abstain</w:t>
            </w:r>
          </w:p>
        </w:tc>
      </w:tr>
      <w:tr>
        <w:trPr>
          <w:trHeight w:val="216"/>
        </w:trPr>
        <w:tc>
          <w:tcPr>
            <w:tcW w:w="6900" w:type="dxa"/>
            <w:vAlign w:val="bottom"/>
            <w:gridSpan w:val="3"/>
          </w:tcPr>
          <w:p>
            <w:pPr>
              <w:spacing w:after="0"/>
              <w:rPr>
                <w:sz w:val="20"/>
                <w:szCs w:val="20"/>
                <w:color w:val="auto"/>
              </w:rPr>
            </w:pPr>
            <w:r>
              <w:rPr>
                <w:rFonts w:ascii="Arial" w:cs="Arial" w:eastAsia="Arial" w:hAnsi="Arial"/>
                <w:sz w:val="18"/>
                <w:szCs w:val="18"/>
                <w:color w:val="auto"/>
              </w:rPr>
              <w:t>Ratification of the selection of KPMG LLP</w:t>
            </w:r>
          </w:p>
        </w:tc>
        <w:tc>
          <w:tcPr>
            <w:tcW w:w="780" w:type="dxa"/>
            <w:vAlign w:val="bottom"/>
          </w:tcPr>
          <w:p>
            <w:pPr>
              <w:jc w:val="center"/>
              <w:spacing w:after="0"/>
              <w:rPr>
                <w:sz w:val="20"/>
                <w:szCs w:val="20"/>
                <w:color w:val="auto"/>
              </w:rPr>
            </w:pPr>
            <w:r>
              <w:rPr>
                <w:rFonts w:ascii="Arial" w:cs="Arial" w:eastAsia="Arial" w:hAnsi="Arial"/>
                <w:sz w:val="18"/>
                <w:szCs w:val="18"/>
                <w:color w:val="auto"/>
                <w:w w:val="86"/>
              </w:rPr>
              <w:t>18,608,698</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13,405</w:t>
            </w:r>
          </w:p>
        </w:tc>
        <w:tc>
          <w:tcPr>
            <w:tcW w:w="3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3,375</w:t>
            </w:r>
          </w:p>
        </w:tc>
      </w:tr>
    </w:tbl>
    <w:p>
      <w:pPr>
        <w:spacing w:after="0" w:line="200" w:lineRule="exact"/>
        <w:rPr>
          <w:sz w:val="20"/>
          <w:szCs w:val="20"/>
          <w:color w:val="auto"/>
        </w:rPr>
      </w:pPr>
    </w:p>
    <w:p>
      <w:pPr>
        <w:sectPr>
          <w:pgSz w:w="11900" w:h="16838" w:orient="portrait"/>
          <w:cols w:equalWidth="0" w:num="1">
            <w:col w:w="11120"/>
          </w:cols>
          <w:pgMar w:left="320" w:top="459" w:right="459" w:bottom="1440" w:gutter="0" w:footer="0" w:header="0"/>
        </w:sectPr>
      </w:pP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Information</w:t>
      </w:r>
    </w:p>
    <w:p>
      <w:pPr>
        <w:spacing w:after="0" w:line="119" w:lineRule="exact"/>
        <w:rPr>
          <w:sz w:val="20"/>
          <w:szCs w:val="20"/>
          <w:color w:val="auto"/>
        </w:rPr>
      </w:pPr>
    </w:p>
    <w:p>
      <w:pPr>
        <w:sectPr>
          <w:pgSz w:w="11900" w:h="16838" w:orient="portrait"/>
          <w:cols w:equalWidth="0" w:num="2">
            <w:col w:w="540" w:space="460"/>
            <w:col w:w="10120"/>
          </w:cols>
          <w:pgMar w:left="320" w:top="459" w:right="45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120"/>
          </w:cols>
          <w:pgMar w:left="320" w:top="459" w:right="45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Unless specifically indicated otherwise, the following exhibits are incorporated by reference to exhibits previously filed with the SEC:</w:t>
      </w:r>
    </w:p>
    <w:p>
      <w:pPr>
        <w:spacing w:after="0" w:line="212" w:lineRule="exact"/>
        <w:rPr>
          <w:sz w:val="20"/>
          <w:szCs w:val="20"/>
          <w:color w:val="auto"/>
        </w:rPr>
      </w:pPr>
    </w:p>
    <w:p>
      <w:pPr>
        <w:ind w:left="980" w:right="80" w:hanging="438"/>
        <w:spacing w:after="0" w:line="268" w:lineRule="auto"/>
        <w:tabs>
          <w:tab w:leader="none" w:pos="960" w:val="left"/>
        </w:tabs>
        <w:rPr>
          <w:sz w:val="20"/>
          <w:szCs w:val="20"/>
          <w:color w:val="auto"/>
        </w:rPr>
      </w:pPr>
      <w:r>
        <w:rPr>
          <w:rFonts w:ascii="Arial" w:cs="Arial" w:eastAsia="Arial" w:hAnsi="Arial"/>
          <w:sz w:val="18"/>
          <w:szCs w:val="18"/>
          <w:color w:val="auto"/>
        </w:rPr>
        <w:t>3.1</w:t>
        <w:tab/>
        <w:t>Articles of Incorporation (Incorporated by reference to the Registrant’s Pre-Effective Amendment No. 1 to the Registration Statement on Form N-2 (File No. 333-140092), filed on March 5, 2007).</w:t>
      </w:r>
    </w:p>
    <w:p>
      <w:pPr>
        <w:spacing w:after="0" w:line="78" w:lineRule="exact"/>
        <w:rPr>
          <w:sz w:val="20"/>
          <w:szCs w:val="20"/>
          <w:color w:val="auto"/>
        </w:rPr>
      </w:pPr>
    </w:p>
    <w:p>
      <w:pPr>
        <w:ind w:left="540"/>
        <w:spacing w:after="0"/>
        <w:tabs>
          <w:tab w:leader="none" w:pos="9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(Incorporated by reference to Exhibit 3.2 to the Registrant’s Annual Report on Form 10-K (File No. 814-</w:t>
      </w:r>
    </w:p>
    <w:p>
      <w:pPr>
        <w:spacing w:after="0" w:line="1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00736), filed on December 13, 2007).</w:t>
      </w:r>
    </w:p>
    <w:p>
      <w:pPr>
        <w:spacing w:after="0" w:line="111" w:lineRule="exact"/>
        <w:rPr>
          <w:sz w:val="20"/>
          <w:szCs w:val="20"/>
          <w:color w:val="auto"/>
        </w:rPr>
      </w:pPr>
    </w:p>
    <w:p>
      <w:pPr>
        <w:ind w:left="540"/>
        <w:spacing w:after="0"/>
        <w:tabs>
          <w:tab w:leader="none" w:pos="9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Share Certificate (Incorporated by reference to Exhibit 99(d)(1) to the Registrant’s Registration Statement on Form N-2 (File No.</w:t>
      </w:r>
    </w:p>
    <w:p>
      <w:pPr>
        <w:spacing w:after="0" w:line="1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333-150033), filed on April 2, 2008).</w:t>
      </w:r>
    </w:p>
    <w:p>
      <w:pPr>
        <w:spacing w:after="0" w:line="111" w:lineRule="exact"/>
        <w:rPr>
          <w:sz w:val="20"/>
          <w:szCs w:val="20"/>
          <w:color w:val="auto"/>
        </w:rPr>
      </w:pPr>
    </w:p>
    <w:p>
      <w:pPr>
        <w:ind w:left="980" w:right="500" w:hanging="526"/>
        <w:spacing w:after="0" w:line="369" w:lineRule="auto"/>
        <w:tabs>
          <w:tab w:leader="none" w:pos="9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Form of Investment Management Agreement between the Registrant and PennantPark Investment Advisers, LLC (Incorporated by reference to Exhibit 99(g) to the Registrant’s Registration Statement on Form N-2 (File No. 333-150033), filed on April 2, 2008).</w:t>
      </w:r>
    </w:p>
    <w:p>
      <w:pPr>
        <w:spacing w:after="0" w:line="10" w:lineRule="exact"/>
        <w:rPr>
          <w:sz w:val="20"/>
          <w:szCs w:val="20"/>
          <w:color w:val="auto"/>
        </w:rPr>
      </w:pPr>
    </w:p>
    <w:p>
      <w:pPr>
        <w:ind w:left="980" w:right="320" w:hanging="526"/>
        <w:spacing w:after="0" w:line="268" w:lineRule="auto"/>
        <w:tabs>
          <w:tab w:leader="none" w:pos="960" w:val="left"/>
        </w:tabs>
        <w:rPr>
          <w:sz w:val="20"/>
          <w:szCs w:val="20"/>
          <w:color w:val="auto"/>
        </w:rPr>
      </w:pPr>
      <w:r>
        <w:rPr>
          <w:rFonts w:ascii="Arial" w:cs="Arial" w:eastAsia="Arial" w:hAnsi="Arial"/>
          <w:sz w:val="18"/>
          <w:szCs w:val="18"/>
          <w:color w:val="auto"/>
        </w:rPr>
        <w:t>10.2</w:t>
        <w:tab/>
        <w:t>Form of Custodian Agreement between the Registrant and PFPC Trust Company (Incorporated by reference to Exhibit 99(j)(1) to the Registrant’s Registration Statement on Form N-2 (File No. 333-150033), filed on April 2, 2008).</w:t>
      </w:r>
    </w:p>
    <w:p>
      <w:pPr>
        <w:spacing w:after="0" w:line="78" w:lineRule="exact"/>
        <w:rPr>
          <w:sz w:val="20"/>
          <w:szCs w:val="20"/>
          <w:color w:val="auto"/>
        </w:rPr>
      </w:pPr>
    </w:p>
    <w:p>
      <w:pPr>
        <w:ind w:left="980" w:right="400" w:hanging="526"/>
        <w:spacing w:after="0" w:line="268" w:lineRule="auto"/>
        <w:tabs>
          <w:tab w:leader="none" w:pos="960" w:val="left"/>
        </w:tabs>
        <w:rPr>
          <w:sz w:val="20"/>
          <w:szCs w:val="20"/>
          <w:color w:val="auto"/>
        </w:rPr>
      </w:pPr>
      <w:r>
        <w:rPr>
          <w:rFonts w:ascii="Arial" w:cs="Arial" w:eastAsia="Arial" w:hAnsi="Arial"/>
          <w:sz w:val="18"/>
          <w:szCs w:val="18"/>
          <w:color w:val="auto"/>
        </w:rPr>
        <w:t>10.3</w:t>
        <w:tab/>
        <w:t>Form of Administration Agreement between the Registrant and various lenders (Incorporated by reference to Exhibit 99(k)(1) to the Registrant’s Registration Statement on Form N-2 (File No. 333-150033), filed on April 2, 2008).</w:t>
      </w:r>
    </w:p>
    <w:p>
      <w:pPr>
        <w:spacing w:after="0" w:line="78" w:lineRule="exact"/>
        <w:rPr>
          <w:sz w:val="20"/>
          <w:szCs w:val="20"/>
          <w:color w:val="auto"/>
        </w:rPr>
      </w:pPr>
    </w:p>
    <w:p>
      <w:pPr>
        <w:ind w:left="460"/>
        <w:spacing w:after="0"/>
        <w:tabs>
          <w:tab w:leader="none" w:pos="9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Dividend Reinvestment Plan (Incorporated by reference to Exhibit 99(e) to the Registrant’s Registration Statement on Form N-2 (File No.</w:t>
      </w:r>
    </w:p>
    <w:p>
      <w:pPr>
        <w:spacing w:after="0" w:line="1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333-150033), filed on April 2, 2008).</w:t>
      </w:r>
    </w:p>
    <w:p>
      <w:pPr>
        <w:spacing w:after="0" w:line="111" w:lineRule="exact"/>
        <w:rPr>
          <w:sz w:val="20"/>
          <w:szCs w:val="20"/>
          <w:color w:val="auto"/>
        </w:rPr>
      </w:pPr>
    </w:p>
    <w:p>
      <w:pPr>
        <w:ind w:left="980" w:right="40" w:hanging="526"/>
        <w:spacing w:after="0" w:line="268" w:lineRule="auto"/>
        <w:tabs>
          <w:tab w:leader="none" w:pos="960" w:val="left"/>
        </w:tabs>
        <w:rPr>
          <w:sz w:val="20"/>
          <w:szCs w:val="20"/>
          <w:color w:val="auto"/>
        </w:rPr>
      </w:pPr>
      <w:r>
        <w:rPr>
          <w:rFonts w:ascii="Arial" w:cs="Arial" w:eastAsia="Arial" w:hAnsi="Arial"/>
          <w:sz w:val="18"/>
          <w:szCs w:val="18"/>
          <w:color w:val="auto"/>
        </w:rPr>
        <w:t>10.5</w:t>
        <w:tab/>
        <w:t>Senior Secured Revolving Credit Agreement between Registrant and various lenders (Incorporated by reference to the Report on Form 8-K. Exhibit 99.2 (File No. 814-00736), filed on June 28, 2007).</w:t>
      </w:r>
    </w:p>
    <w:p>
      <w:pPr>
        <w:spacing w:after="0" w:line="78" w:lineRule="exact"/>
        <w:rPr>
          <w:sz w:val="20"/>
          <w:szCs w:val="20"/>
          <w:color w:val="auto"/>
        </w:rPr>
      </w:pPr>
    </w:p>
    <w:p>
      <w:pPr>
        <w:ind w:left="460" w:right="1200"/>
        <w:spacing w:after="0" w:line="450" w:lineRule="auto"/>
        <w:tabs>
          <w:tab w:leader="none" w:pos="987" w:val="left"/>
        </w:tabs>
        <w:numPr>
          <w:ilvl w:val="1"/>
          <w:numId w:val="22"/>
        </w:numPr>
        <w:rPr>
          <w:rFonts w:ascii="Arial" w:cs="Arial" w:eastAsia="Arial" w:hAnsi="Arial"/>
          <w:sz w:val="15"/>
          <w:szCs w:val="15"/>
          <w:color w:val="auto"/>
        </w:rPr>
      </w:pPr>
      <w:r>
        <w:rPr>
          <w:rFonts w:ascii="Arial" w:cs="Arial" w:eastAsia="Arial" w:hAnsi="Arial"/>
          <w:sz w:val="15"/>
          <w:szCs w:val="15"/>
          <w:color w:val="auto"/>
        </w:rPr>
        <w:t>Computation of Per Share Earnings (included in the notes to the unaudited financial statements contained in this Report). 31.1 * Certification of Chief Executive Officer pursuant to Rule 13a-14 of the Securities Exchange Act of 1934, as amended.</w:t>
      </w:r>
    </w:p>
    <w:p>
      <w:pPr>
        <w:spacing w:after="0" w:line="1"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31.2 * Certification of Chief Financial Officer pursuant to Rule 13a-14 of the Securities Exchange Act of 1934, as amended.</w:t>
      </w:r>
    </w:p>
    <w:p>
      <w:pPr>
        <w:spacing w:after="0" w:line="117"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32.1 * Certification of Chief Executive Officer pursuant to section 906 of The Sarbanes-Oxley Act of 2002.</w:t>
      </w:r>
    </w:p>
    <w:p>
      <w:pPr>
        <w:spacing w:after="0" w:line="117"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32.2 * Certification of Chief Financial Officer pursuant to section 906 of The Sarbanes-Oxley Act of 2002.</w:t>
      </w:r>
    </w:p>
    <w:p>
      <w:pPr>
        <w:spacing w:after="0" w:line="117" w:lineRule="exact"/>
        <w:rPr>
          <w:rFonts w:ascii="Arial" w:cs="Arial" w:eastAsia="Arial" w:hAnsi="Arial"/>
          <w:sz w:val="15"/>
          <w:szCs w:val="15"/>
          <w:color w:val="auto"/>
        </w:rPr>
      </w:pPr>
    </w:p>
    <w:p>
      <w:pPr>
        <w:ind w:right="5580" w:firstLine="452"/>
        <w:spacing w:after="0" w:line="422" w:lineRule="auto"/>
        <w:rPr>
          <w:rFonts w:ascii="Arial" w:cs="Arial" w:eastAsia="Arial" w:hAnsi="Arial"/>
          <w:sz w:val="15"/>
          <w:szCs w:val="15"/>
          <w:color w:val="auto"/>
        </w:rPr>
      </w:pPr>
      <w:r>
        <w:rPr>
          <w:rFonts w:ascii="Arial" w:cs="Arial" w:eastAsia="Arial" w:hAnsi="Arial"/>
          <w:sz w:val="18"/>
          <w:szCs w:val="18"/>
          <w:color w:val="auto"/>
        </w:rPr>
        <w:t>99.1 Privacy Policy of the Registrant, filed December 13, 2007.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12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ind w:left="55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680"/>
          </w:cols>
          <w:pgMar w:left="320" w:top="459" w:right="8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Pursuant to the requirements of Section 13(a) or 15(d) of the Securities Exchange Act of 1934, the registrant has duly caused this Report on Form 10-Q to be signed on its behalf by the undersigned, thereunto duly authorized.</w:t>
      </w:r>
    </w:p>
    <w:p>
      <w:pPr>
        <w:spacing w:after="0" w:line="17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spacing w:after="0"/>
        <w:tabs>
          <w:tab w:leader="none" w:pos="5460" w:val="left"/>
          <w:tab w:leader="none" w:pos="7880" w:val="left"/>
        </w:tabs>
        <w:rPr>
          <w:sz w:val="20"/>
          <w:szCs w:val="20"/>
          <w:color w:val="auto"/>
        </w:rPr>
      </w:pPr>
      <w:r>
        <w:rPr>
          <w:rFonts w:ascii="Arial" w:cs="Arial" w:eastAsia="Arial" w:hAnsi="Arial"/>
          <w:sz w:val="18"/>
          <w:szCs w:val="18"/>
          <w:color w:val="auto"/>
        </w:rPr>
        <w:t>Date: May 7,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10795</wp:posOffset>
            </wp:positionV>
            <wp:extent cx="34201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0"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Arthur H. Penn</w:t>
      </w:r>
    </w:p>
    <w:p>
      <w:pPr>
        <w:spacing w:after="0" w:line="21"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Executive Officer</w:t>
      </w:r>
    </w:p>
    <w:p>
      <w:pPr>
        <w:spacing w:after="0" w:line="219" w:lineRule="exact"/>
        <w:rPr>
          <w:sz w:val="20"/>
          <w:szCs w:val="20"/>
          <w:color w:val="auto"/>
        </w:rPr>
      </w:pPr>
    </w:p>
    <w:p>
      <w:pPr>
        <w:spacing w:after="0"/>
        <w:tabs>
          <w:tab w:leader="none" w:pos="5460" w:val="left"/>
          <w:tab w:leader="none" w:pos="8060" w:val="left"/>
        </w:tabs>
        <w:rPr>
          <w:sz w:val="20"/>
          <w:szCs w:val="20"/>
          <w:color w:val="auto"/>
        </w:rPr>
      </w:pPr>
      <w:r>
        <w:rPr>
          <w:rFonts w:ascii="Arial" w:cs="Arial" w:eastAsia="Arial" w:hAnsi="Arial"/>
          <w:sz w:val="18"/>
          <w:szCs w:val="18"/>
          <w:color w:val="auto"/>
        </w:rPr>
        <w:t>Date: May 7,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10795</wp:posOffset>
            </wp:positionV>
            <wp:extent cx="34201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0"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Aviv Efrat</w:t>
      </w:r>
    </w:p>
    <w:p>
      <w:pPr>
        <w:spacing w:after="0" w:line="21"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1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59" w:right="47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right="3500" w:firstLine="3505"/>
        <w:spacing w:after="0" w:line="394" w:lineRule="auto"/>
        <w:rPr>
          <w:sz w:val="20"/>
          <w:szCs w:val="20"/>
          <w:color w:val="auto"/>
        </w:rPr>
      </w:pPr>
      <w:r>
        <w:rPr>
          <w:rFonts w:ascii="Arial" w:cs="Arial" w:eastAsia="Arial" w:hAnsi="Arial"/>
          <w:sz w:val="18"/>
          <w:szCs w:val="18"/>
          <w:b w:val="1"/>
          <w:bCs w:val="1"/>
          <w:color w:val="auto"/>
        </w:rPr>
        <w:t xml:space="preserve">CERTIFICATION OF CHIEF EXECUTIVE OFFICER </w:t>
      </w:r>
      <w:r>
        <w:rPr>
          <w:rFonts w:ascii="Arial" w:cs="Arial" w:eastAsia="Arial" w:hAnsi="Arial"/>
          <w:sz w:val="18"/>
          <w:szCs w:val="18"/>
          <w:color w:val="auto"/>
        </w:rPr>
        <w:t>I, Arthur H. Penn, Chief Executive Officer of PennantPark Investment Corporation, certify that:</w:t>
      </w:r>
    </w:p>
    <w:p>
      <w:pPr>
        <w:spacing w:after="0" w:line="1"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Investment Corporation;</w:t>
      </w:r>
    </w:p>
    <w:p>
      <w:pPr>
        <w:spacing w:after="0" w:line="171" w:lineRule="exact"/>
        <w:rPr>
          <w:rFonts w:ascii="Arial" w:cs="Arial" w:eastAsia="Arial" w:hAnsi="Arial"/>
          <w:sz w:val="18"/>
          <w:szCs w:val="18"/>
          <w:color w:val="auto"/>
        </w:rPr>
      </w:pPr>
    </w:p>
    <w:p>
      <w:pPr>
        <w:ind w:firstLine="8"/>
        <w:spacing w:after="0" w:line="331" w:lineRule="auto"/>
        <w:tabs>
          <w:tab w:leader="none" w:pos="175"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6"/>
          <w:szCs w:val="16"/>
          <w:color w:val="auto"/>
        </w:rPr>
      </w:pPr>
    </w:p>
    <w:p>
      <w:pPr>
        <w:ind w:right="100" w:firstLine="8"/>
        <w:spacing w:after="0" w:line="268" w:lineRule="auto"/>
        <w:tabs>
          <w:tab w:leader="none" w:pos="1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1" w:lineRule="exact"/>
        <w:rPr>
          <w:rFonts w:ascii="Arial" w:cs="Arial" w:eastAsia="Arial" w:hAnsi="Arial"/>
          <w:sz w:val="18"/>
          <w:szCs w:val="18"/>
          <w:color w:val="auto"/>
        </w:rPr>
      </w:pPr>
    </w:p>
    <w:p>
      <w:pPr>
        <w:ind w:right="20" w:firstLine="8"/>
        <w:spacing w:after="0" w:line="268" w:lineRule="auto"/>
        <w:tabs>
          <w:tab w:leader="none" w:pos="1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51" w:lineRule="exact"/>
        <w:rPr>
          <w:sz w:val="20"/>
          <w:szCs w:val="20"/>
          <w:color w:val="auto"/>
        </w:rPr>
      </w:pPr>
    </w:p>
    <w:p>
      <w:pPr>
        <w:jc w:val="both"/>
        <w:ind w:right="240" w:firstLine="8"/>
        <w:spacing w:after="0" w:line="259"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subsidiaries, is made known to us by others within those entities, particularly during the period in which this Report is being prepared;</w:t>
      </w:r>
    </w:p>
    <w:p>
      <w:pPr>
        <w:spacing w:after="0" w:line="139" w:lineRule="exact"/>
        <w:rPr>
          <w:rFonts w:ascii="Arial" w:cs="Arial" w:eastAsia="Arial" w:hAnsi="Arial"/>
          <w:sz w:val="18"/>
          <w:szCs w:val="18"/>
          <w:color w:val="auto"/>
        </w:rPr>
      </w:pPr>
    </w:p>
    <w:p>
      <w:pPr>
        <w:ind w:right="140" w:firstLine="8"/>
        <w:spacing w:after="0" w:line="268" w:lineRule="auto"/>
        <w:tabs>
          <w:tab w:leader="none" w:pos="19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180" w:firstLine="8"/>
        <w:spacing w:after="0" w:line="331" w:lineRule="auto"/>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7" w:lineRule="exact"/>
        <w:rPr>
          <w:sz w:val="20"/>
          <w:szCs w:val="20"/>
          <w:color w:val="auto"/>
        </w:rPr>
      </w:pPr>
    </w:p>
    <w:p>
      <w:pPr>
        <w:ind w:right="760" w:firstLine="8"/>
        <w:spacing w:after="0" w:line="331" w:lineRule="auto"/>
        <w:tabs>
          <w:tab w:leader="none" w:pos="17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6" w:lineRule="exact"/>
        <w:rPr>
          <w:sz w:val="20"/>
          <w:szCs w:val="20"/>
          <w:color w:val="auto"/>
        </w:rPr>
      </w:pPr>
    </w:p>
    <w:p>
      <w:pPr>
        <w:ind w:right="380" w:firstLine="8"/>
        <w:spacing w:after="0" w:line="268" w:lineRule="auto"/>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1" w:lineRule="exact"/>
        <w:rPr>
          <w:rFonts w:ascii="Arial" w:cs="Arial" w:eastAsia="Arial" w:hAnsi="Arial"/>
          <w:sz w:val="18"/>
          <w:szCs w:val="18"/>
          <w:color w:val="auto"/>
        </w:rPr>
      </w:pPr>
    </w:p>
    <w:p>
      <w:pPr>
        <w:ind w:right="620" w:firstLine="8"/>
        <w:spacing w:after="0" w:line="268" w:lineRule="auto"/>
        <w:tabs>
          <w:tab w:leader="none" w:pos="19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May 7, 2008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5"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right="3520" w:firstLine="3529"/>
        <w:spacing w:after="0" w:line="394" w:lineRule="auto"/>
        <w:rPr>
          <w:sz w:val="20"/>
          <w:szCs w:val="20"/>
          <w:color w:val="auto"/>
        </w:rPr>
      </w:pPr>
      <w:r>
        <w:rPr>
          <w:rFonts w:ascii="Arial" w:cs="Arial" w:eastAsia="Arial" w:hAnsi="Arial"/>
          <w:sz w:val="18"/>
          <w:szCs w:val="18"/>
          <w:b w:val="1"/>
          <w:bCs w:val="1"/>
          <w:color w:val="auto"/>
        </w:rPr>
        <w:t xml:space="preserve">CERTIFICATION OF CHIEF FINANCIAL OFFICER </w:t>
      </w:r>
      <w:r>
        <w:rPr>
          <w:rFonts w:ascii="Arial" w:cs="Arial" w:eastAsia="Arial" w:hAnsi="Arial"/>
          <w:sz w:val="18"/>
          <w:szCs w:val="18"/>
          <w:color w:val="auto"/>
        </w:rPr>
        <w:t>I, Aviv Efrat, Chief Financial Officer of PennantPark Investment Corporation, certify that:</w:t>
      </w:r>
    </w:p>
    <w:p>
      <w:pPr>
        <w:spacing w:after="0" w:line="1"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Investment Corporation;</w:t>
      </w:r>
    </w:p>
    <w:p>
      <w:pPr>
        <w:spacing w:after="0" w:line="171" w:lineRule="exact"/>
        <w:rPr>
          <w:rFonts w:ascii="Arial" w:cs="Arial" w:eastAsia="Arial" w:hAnsi="Arial"/>
          <w:sz w:val="18"/>
          <w:szCs w:val="18"/>
          <w:color w:val="auto"/>
        </w:rPr>
      </w:pPr>
    </w:p>
    <w:p>
      <w:pPr>
        <w:ind w:firstLine="8"/>
        <w:spacing w:after="0" w:line="331" w:lineRule="auto"/>
        <w:tabs>
          <w:tab w:leader="none" w:pos="175"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6"/>
          <w:szCs w:val="16"/>
          <w:color w:val="auto"/>
        </w:rPr>
      </w:pPr>
    </w:p>
    <w:p>
      <w:pPr>
        <w:ind w:right="100" w:firstLine="8"/>
        <w:spacing w:after="0" w:line="268" w:lineRule="auto"/>
        <w:tabs>
          <w:tab w:leader="none" w:pos="1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1" w:lineRule="exact"/>
        <w:rPr>
          <w:rFonts w:ascii="Arial" w:cs="Arial" w:eastAsia="Arial" w:hAnsi="Arial"/>
          <w:sz w:val="18"/>
          <w:szCs w:val="18"/>
          <w:color w:val="auto"/>
        </w:rPr>
      </w:pPr>
    </w:p>
    <w:p>
      <w:pPr>
        <w:ind w:right="20" w:firstLine="8"/>
        <w:spacing w:after="0" w:line="268" w:lineRule="auto"/>
        <w:tabs>
          <w:tab w:leader="none" w:pos="1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51" w:lineRule="exact"/>
        <w:rPr>
          <w:sz w:val="20"/>
          <w:szCs w:val="20"/>
          <w:color w:val="auto"/>
        </w:rPr>
      </w:pPr>
    </w:p>
    <w:p>
      <w:pPr>
        <w:jc w:val="both"/>
        <w:ind w:right="240" w:firstLine="8"/>
        <w:spacing w:after="0" w:line="259" w:lineRule="auto"/>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subsidiaries, is made known to us by others within those entities, particularly during the period in which this Report is being prepared;</w:t>
      </w:r>
    </w:p>
    <w:p>
      <w:pPr>
        <w:spacing w:after="0" w:line="139" w:lineRule="exact"/>
        <w:rPr>
          <w:rFonts w:ascii="Arial" w:cs="Arial" w:eastAsia="Arial" w:hAnsi="Arial"/>
          <w:sz w:val="18"/>
          <w:szCs w:val="18"/>
          <w:color w:val="auto"/>
        </w:rPr>
      </w:pPr>
    </w:p>
    <w:p>
      <w:pPr>
        <w:ind w:right="140" w:firstLine="8"/>
        <w:spacing w:after="0" w:line="268" w:lineRule="auto"/>
        <w:tabs>
          <w:tab w:leader="none" w:pos="19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180" w:firstLine="8"/>
        <w:spacing w:after="0" w:line="331" w:lineRule="auto"/>
        <w:tabs>
          <w:tab w:leader="none" w:pos="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7" w:lineRule="exact"/>
        <w:rPr>
          <w:sz w:val="20"/>
          <w:szCs w:val="20"/>
          <w:color w:val="auto"/>
        </w:rPr>
      </w:pPr>
    </w:p>
    <w:p>
      <w:pPr>
        <w:ind w:right="760" w:firstLine="8"/>
        <w:spacing w:after="0" w:line="331" w:lineRule="auto"/>
        <w:tabs>
          <w:tab w:leader="none" w:pos="17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6" w:lineRule="exact"/>
        <w:rPr>
          <w:sz w:val="20"/>
          <w:szCs w:val="20"/>
          <w:color w:val="auto"/>
        </w:rPr>
      </w:pPr>
    </w:p>
    <w:p>
      <w:pPr>
        <w:ind w:right="380" w:firstLine="8"/>
        <w:spacing w:after="0" w:line="268" w:lineRule="auto"/>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1" w:lineRule="exact"/>
        <w:rPr>
          <w:rFonts w:ascii="Arial" w:cs="Arial" w:eastAsia="Arial" w:hAnsi="Arial"/>
          <w:sz w:val="18"/>
          <w:szCs w:val="18"/>
          <w:color w:val="auto"/>
        </w:rPr>
      </w:pPr>
    </w:p>
    <w:p>
      <w:pPr>
        <w:ind w:right="620" w:firstLine="8"/>
        <w:spacing w:after="0" w:line="268" w:lineRule="auto"/>
        <w:tabs>
          <w:tab w:leader="none" w:pos="19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May 7, 2008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In connection with this Report on Form 10-Q for the three months ended March 31, 2008 (the “Report”) of PennantPark Investment Corporation (the “Registrant”), as filed with the Securities and Exchange Commission on the date hereof, I, Arthur H. Penn, Chief Executive Officer of the Registrant, hereby certify, to the best of my knowledge, that:</w:t>
      </w:r>
    </w:p>
    <w:p>
      <w:pPr>
        <w:spacing w:after="0" w:line="59" w:lineRule="exact"/>
        <w:rPr>
          <w:sz w:val="20"/>
          <w:szCs w:val="20"/>
          <w:color w:val="auto"/>
        </w:rPr>
      </w:pPr>
    </w:p>
    <w:p>
      <w:pPr>
        <w:ind w:left="900" w:hanging="447"/>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7, 2008</w:t>
      </w:r>
    </w:p>
    <w:p>
      <w:pPr>
        <w:sectPr>
          <w:pgSz w:w="11900" w:h="16838" w:orient="portrait"/>
          <w:cols w:equalWidth="0" w:num="1">
            <w:col w:w="11240"/>
          </w:cols>
          <w:pgMar w:left="320" w:top="12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In connection with this Report on Form 10-Q for the three months ended March 31, 2008 (the “Report”) of PennantPark Investment Corporation (the “Registrant”), as filed with the Securities and Exchange Commission on the date hereof, I, Aviv Efrat, Chief Financial Officer of the Registrant, hereby certify, to the best of my knowledge, that:</w:t>
      </w:r>
    </w:p>
    <w:p>
      <w:pPr>
        <w:spacing w:after="0" w:line="59" w:lineRule="exact"/>
        <w:rPr>
          <w:sz w:val="20"/>
          <w:szCs w:val="20"/>
          <w:color w:val="auto"/>
        </w:rPr>
      </w:pPr>
    </w:p>
    <w:p>
      <w:pPr>
        <w:ind w:left="900" w:hanging="447"/>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7, 2008</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1)"/>
      <w:numFmt w:val="lowerLetter"/>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lowerLetter"/>
      <w:start w:val="2"/>
    </w:lvl>
  </w:abstractNum>
  <w:abstractNum w:abstractNumId="11">
    <w:nsid w:val="721DA317"/>
    <w:multiLevelType w:val="hybridMultilevel"/>
    <w:lvl w:ilvl="0">
      <w:lvlJc w:val="left"/>
      <w:lvlText w:val="%1"/>
      <w:numFmt w:val="decimal"/>
      <w:start w:val="1"/>
    </w:lvl>
    <w:lvl w:ilvl="1">
      <w:lvlJc w:val="left"/>
      <w:lvlText w:val="(%2)"/>
      <w:numFmt w:val="lowerLetter"/>
      <w:start w:val="7"/>
    </w:lvl>
  </w:abstractNum>
  <w:abstractNum w:abstractNumId="12">
    <w:nsid w:val="2443A858"/>
    <w:multiLevelType w:val="hybridMultilevel"/>
    <w:lvl w:ilvl="0">
      <w:lvlJc w:val="left"/>
      <w:lvlText w:val="%1."/>
      <w:numFmt w:val="decimal"/>
      <w:start w:val="3"/>
    </w:lvl>
    <w:lvl w:ilvl="1">
      <w:lvlJc w:val="left"/>
      <w:lvlText w:val="%2"/>
      <w:numFmt w:val="lowerLetter"/>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
      <w:numFmt w:val="bullet"/>
      <w:start w:val="1"/>
    </w:lvl>
    <w:lvl w:ilvl="1">
      <w:lvlJc w:val="left"/>
      <w:lvlText w:val="%2"/>
      <w:numFmt w:val="decimal"/>
      <w:start w:val="1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decimal"/>
      <w:start w:val="5"/>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decimal"/>
      <w:start w:val="5"/>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2020-05-05T15:09:49Z</dcterms:created>
  <dcterms:modified xsi:type="dcterms:W3CDTF">2020-05-05T15:09:49Z</dcterms:modified>
</cp:coreProperties>
</file>