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08,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100"/>
        <w:spacing w:after="0"/>
        <w:rPr>
          <w:sz w:val="20"/>
          <w:szCs w:val="20"/>
          <w:color w:val="auto"/>
        </w:rPr>
      </w:pPr>
      <w:r>
        <w:rPr>
          <w:rFonts w:ascii="Arial" w:cs="Arial" w:eastAsia="Arial" w:hAnsi="Arial"/>
          <w:sz w:val="22"/>
          <w:szCs w:val="22"/>
          <w:color w:val="auto"/>
        </w:rPr>
        <w:t>On February 8, 2012, PennantPark Investment Corporation issued a press release announcing its financial results for the quarter ended December 31, 2011.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08,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08, 2012</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08,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1" w:right="499" w:bottom="1440" w:gutter="0" w:footer="0" w:header="0"/>
        </w:sectPr>
      </w:pPr>
    </w:p>
    <w:bookmarkStart w:id="2" w:name="page3"/>
    <w:bookmarkEnd w:id="2"/>
    <w:p>
      <w:pPr>
        <w:spacing w:after="0" w:line="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2011</w:t>
      </w:r>
    </w:p>
    <w:p>
      <w:pPr>
        <w:spacing w:after="0" w:line="224"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NEW YORK, NY -- (Marketwire - February 08, 2012) - PennantPark Investment Corporation (NASDAQ: PNNT), "we," "our," "us" or "Company" today announces financial results for its first fiscal quarter ended December 31, 2011.</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2011</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810.4</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78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465.7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10.19</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Credit facility (cost $192.0)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191.0</w:t>
            </w:r>
          </w:p>
        </w:tc>
      </w:tr>
      <w:tr>
        <w:trPr>
          <w:trHeight w:val="202"/>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SBA debentures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13.2%</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0.33</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of long-term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long-term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69.3</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1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1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1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9:00 A.M. ET ON FEBRUARY 9, 2012</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host a conference call at 9:00 a.m. (Eastern Time) on Thursday, February 9, 2012 to discuss its quarterly financial results. All interested parties are welcome to participate. You can access the conference call by dialing (800) 949-2165 approximately 5-10 minutes prior to the call. International callers should dial (719) 325-2343. All callers should reference PennantPark Investment Corporation. An archived replay of the call will be available through February 23, 2012 by calling (888) 203-1112. International callers please dial (719) 457-0820. For all phone replays, please reference conference ID #3014273.</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As of December 31, 2011, our portfolio totaled $810.4 million and consisted of $262.1 million of senior secured loans, $162.4 million of second lien secured debt, $316.6 million of subordinated debt and $69.3 million of preferred and common equity investments. Our portfolio consisted of 63% fixed-rate investments and 37% variable-rate investments (including 29% with a London Interbank Offered Rate, or LIBOR, or prime floor). Our overall portfolio consisted of 46 companies with an average investment size of $17.6 million, a weighted average yield on debt investments of 13.2%, and was invested 32% in senior secured loans, 20% in second lien secured debt, 39% in subordinated debt and 9% in preferred and common equity investments.</w:t>
      </w:r>
    </w:p>
    <w:p>
      <w:pPr>
        <w:spacing w:after="0" w:line="150" w:lineRule="exact"/>
        <w:rPr>
          <w:sz w:val="20"/>
          <w:szCs w:val="20"/>
          <w:color w:val="auto"/>
        </w:rPr>
      </w:pPr>
    </w:p>
    <w:p>
      <w:pPr>
        <w:ind w:right="280"/>
        <w:spacing w:after="0" w:line="246" w:lineRule="auto"/>
        <w:rPr>
          <w:sz w:val="20"/>
          <w:szCs w:val="20"/>
          <w:color w:val="auto"/>
        </w:rPr>
      </w:pPr>
      <w:r>
        <w:rPr>
          <w:rFonts w:ascii="Arial" w:cs="Arial" w:eastAsia="Arial" w:hAnsi="Arial"/>
          <w:sz w:val="21"/>
          <w:szCs w:val="21"/>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investments and 39% variable-rate investments (including 31% with a LIBOR or prime floor). On December 31, 2011, we had two non-accrual debt investments, representing 1.5% of our overall portfolio on a market value basis and 4.8% of our overall portfolio on a cost basis.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For the three months ended December 31, 2011, we invested $43.0 million in one new portfolio company and seven existing portfolio companies with a weighted average yield on debt investments of 16.4%. Sales and repayments of long-term investments for the three months ended December 31, 2011 totaled $69.3 million.</w:t>
      </w:r>
    </w:p>
    <w:p>
      <w:pPr>
        <w:spacing w:after="0" w:line="18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For the three months ended December 31, 2010, we invested $99.9 million in six new portfolio companies and one existing portfolio company with a weighted average yield on debt investments of 15.0% (yield on debt investments, excluding value of attached equity, was 14.0%). Sales and repayments of long term investments for the three months ended December 31, 2010 totaled $85.5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ended December 31, 2011 and 2010,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ectPr>
          <w:pgSz w:w="11900" w:h="16847" w:orient="portrait"/>
          <w:cols w:equalWidth="0" w:num="1">
            <w:col w:w="11240"/>
          </w:cols>
          <w:pgMar w:left="320" w:top="111" w:right="339" w:bottom="0" w:gutter="0" w:footer="0" w:header="0"/>
        </w:sectPr>
      </w:pPr>
    </w:p>
    <w:bookmarkStart w:id="3" w:name="page4"/>
    <w:bookmarkEnd w:id="3"/>
    <w:p>
      <w:pPr>
        <w:spacing w:after="0" w:line="88"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Investment income for the three months ended December 31, 2011 was $26.8 million and was primarily attributable to $11.0 million from senior secured loans, $4.1 million from second lien secured debt investments and $11.7 million from subordinated debt investments. This compares to investment income for the three months ended December 31, 2010, which was $20.0 million, and was primarily attributable to $8.7 million from senior secured loans, $3.4 million from second lien secured debt investments and $7.9 million from subordinated debt investments. The increase in investment income compared with the same period in the prior year is due to the growth of our portfolio, rotation out of our lower yielding investments and other income associated with our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Expenses for the three months ended December 31, 2011 totaled $11.8 million. Base management fees for the same period totaled $4.0 million, performance-based incentive fees totaled $3.7 million, our senior secured revolving credit facility, or the Credit Facility, and Small Business Administration, or SBA, debentures related interest and expenses totaled $2.4 million and general and administrative expenses totaled $1.7 million. This compares to expenses for the three months ended December 31, 2010, which totaled $8.8 million. Base management fees for the same period totaled $3.5 million, performance-based incentive fees totaled $2.8 million, Credit Facility and SBA debentures related expenses totaled $1.1 million, general and administrative expenses totaled $1.3 million and excise taxes totaled $0.1 million. The increase in expenses is due to the growth of the portfolio and net investment income as well as the higher cost of debt capital.</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Net investment income totaled $15.0 million, or $0.33 per share, for the three months ended December 31, 2011, and $11.2 million, or $0.31 per share, for the three months ended December 31, 2010. The increase in per share net investment income over the periods was the result of the growth of our portfolio.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ind w:right="200"/>
        <w:spacing w:after="0" w:line="297" w:lineRule="auto"/>
        <w:rPr>
          <w:sz w:val="20"/>
          <w:szCs w:val="20"/>
          <w:color w:val="auto"/>
        </w:rPr>
      </w:pPr>
      <w:r>
        <w:rPr>
          <w:rFonts w:ascii="Arial" w:cs="Arial" w:eastAsia="Arial" w:hAnsi="Arial"/>
          <w:sz w:val="19"/>
          <w:szCs w:val="19"/>
          <w:color w:val="auto"/>
        </w:rPr>
        <w:t>Sales and repayments of long-term investments totaled $69.3 million and realized losses totaled $8.0 million due to sales of our debt investments for the three months ended December 31, 2011. Sales and repayments of long-term investments totaled $85.5 million and net realized gains totaled $2.3 million for the three months ended December 31, 2010.</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the three months ended December 31, 2011 and 2010, we reported unrealized appreciation on our investments of $10.0 million and $18.7 million, respectively. The change from prior year was primarily the result of the changes in the leveraged credit markets. On December 31, 2011 and September 30, 2011, net unrealized depreciation on investments totaled $28.7 million and $38.8 million, respectively.</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For the three months ended December 31, 2011 and 2010, our Credit Facility value increased by $1.1 million and $6.6 million, respectively. The change from prior year was primarily the result of the Credit Facility approaching maturity. On December 31, 2011 and September 30, 2011, net unrealized depreciation on our Credit Facility totaled $1.0 million and $2.1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Net increase in net assets resulting from operations totaled $15.8 million, or $0.34 per share, for the three months ended December 31, 2011. This compares to a net increase in net assets resulting from operations which totaled $25.5 million, or $0.71 per share, for the three months ended December 31, 2010. The change from prior year was primarily due to the continued growth in net investment income as a result of growing our portfolio offset by the appreciation in the value of our Credit Facility as it approaches maturity and depreciation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78" w:lineRule="exact"/>
        <w:rPr>
          <w:sz w:val="20"/>
          <w:szCs w:val="20"/>
          <w:color w:val="auto"/>
        </w:rPr>
      </w:pPr>
    </w:p>
    <w:p>
      <w:pPr>
        <w:jc w:val="both"/>
        <w:ind w:right="220"/>
        <w:spacing w:after="0" w:line="257" w:lineRule="auto"/>
        <w:rPr>
          <w:sz w:val="20"/>
          <w:szCs w:val="20"/>
          <w:color w:val="auto"/>
        </w:rPr>
      </w:pPr>
      <w:r>
        <w:rPr>
          <w:rFonts w:ascii="Arial" w:cs="Arial" w:eastAsia="Arial" w:hAnsi="Arial"/>
          <w:sz w:val="21"/>
          <w:szCs w:val="21"/>
          <w:color w:val="auto"/>
        </w:rPr>
        <w:t>As of December 31, 2011 and September 30, 2011, we had outstanding borrowings of $192.0 million and $240.9 million under the Credit Facility, with a weighted average interest rate of 1.28% and 1.27%, exclusive of the fee on undrawn commitments of 0.20%, and $123.0 million and $74.1 million of unused borrowing capacity, respectively.</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As of December 31, 2011, $150.0 million in SBA debt commitments were fully drawn with a weighted average interest rate of 3.70% exclusive of the 3.43% in upfront fees (4.04% inclusive of the upfront fees). We had $41.1 million of cash in PennantPark SBIC LP as of December 31, 2011.</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Our operating activities provided cash of $31.7 million for the three months ended December 31, 2011, primarily from proceeds from the net disposition of investments, and our financing activities used cash of $61.2 million for the same period, primarily from net repayments under our Credit Facility.</w:t>
      </w:r>
    </w:p>
    <w:p>
      <w:pPr>
        <w:sectPr>
          <w:pgSz w:w="11900" w:h="16926" w:orient="portrait"/>
          <w:cols w:equalWidth="0" w:num="1">
            <w:col w:w="11220"/>
          </w:cols>
          <w:pgMar w:left="320" w:top="118" w:right="359" w:bottom="0" w:gutter="0" w:footer="0" w:header="0"/>
        </w:sectPr>
      </w:pPr>
    </w:p>
    <w:bookmarkStart w:id="4" w:name="page5"/>
    <w:bookmarkEnd w:id="4"/>
    <w:p>
      <w:pPr>
        <w:ind w:right="100"/>
        <w:spacing w:after="0"/>
        <w:rPr>
          <w:sz w:val="20"/>
          <w:szCs w:val="20"/>
          <w:color w:val="auto"/>
        </w:rPr>
      </w:pPr>
      <w:r>
        <w:rPr>
          <w:rFonts w:ascii="Arial" w:cs="Arial" w:eastAsia="Arial" w:hAnsi="Arial"/>
          <w:sz w:val="22"/>
          <w:szCs w:val="22"/>
          <w:color w:val="auto"/>
        </w:rPr>
        <w:t>Our operating activities used cash of $27.3 million for the three months ended December 31, 2010, primarily from net purchases of investments, and our financing activities provided cash of $28.5 million for the same period, primarily from net borrowings under our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months ended December 31, 2011 and 2010, we declared distributions of $0.28 and $0.26 per share, respectively, for total distributions of $12.8 million and $9.4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Subsequent to December 31, 2011, we completed a public offering of 10,350,000 shares of common stock, including the underwriters' over-allotment option, at a public offering price of $10.55 per share, raising approximately $109,192,500 in gross proceeds.</w:t>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We are currently in discussions with our existing lenders and others to amend and restate our existing $315.0 million Credit Facility, which is scheduled to mature in June of this year. We currently expect the amended and restated credit facility to be at least $350.0 million, priced at LIBOR+275 with an unused fee of 50 basis points, to have a four-year maturity, with a one-year term out period following its third year, to have the same security to the same extent as in place for our existing Credit Facility and to include customary covenants, including a minimum asset coverage and minimum equity covenant. The amended and restated credit facility is not fully committed and the size and terms of such credit facility remain subject to change. Further, no assurances can be given that we will successfully enter into such an amended and restated credit facility.</w:t>
      </w:r>
    </w:p>
    <w:p>
      <w:pPr>
        <w:spacing w:after="0" w:line="152"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Subsequent to December 31, 2011, Standard &amp; Poor's Ratings Services and Fitch Ratings Services assigned us an investment grade rating BBB-.</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 December 31, 2011, we have invested $73 million.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The Company makes available on its website its report on Form 10-Q filed with the Securities and Exchange Commission and stockholders may find the report on our website at www.pennantpark.com.</w:t>
      </w:r>
    </w:p>
    <w:p>
      <w:pPr>
        <w:spacing w:after="0" w:line="200" w:lineRule="exact"/>
        <w:rPr>
          <w:sz w:val="20"/>
          <w:szCs w:val="20"/>
          <w:color w:val="auto"/>
        </w:rPr>
      </w:pPr>
    </w:p>
    <w:p>
      <w:pPr>
        <w:spacing w:after="0" w:line="207"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10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December 31,</w:t>
            </w:r>
          </w:p>
        </w:tc>
        <w:tc>
          <w:tcPr>
            <w:tcW w:w="146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90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(cost--$790,319,893 and</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$816,078,311,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$ 755,681,743</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$ 773,375,381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 at</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(cost--$37,362,359 and</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$36,744,425,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43,252,714</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40,673,133</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at fair</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(cost--$11,500,100 and $13,500,100,</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11,500,000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13,500,001</w:t>
            </w:r>
          </w:p>
        </w:tc>
      </w:tr>
      <w:tr>
        <w:trPr>
          <w:trHeight w:val="203"/>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Investments, at fair value (cost--</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$839,182,352 and $866,322,836,</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810,434,457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827,548,515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42,075,768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71,604,519</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7,820,922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10,878,236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1,579,959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13,118,967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5,532,413</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5,587,977</w:t>
            </w:r>
          </w:p>
        </w:tc>
      </w:tr>
      <w:tr>
        <w:trPr>
          <w:trHeight w:val="202"/>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Total assets</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867,443,519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928,738,214</w:t>
            </w:r>
          </w:p>
        </w:tc>
      </w:tr>
      <w:tr>
        <w:trPr>
          <w:trHeight w:val="203"/>
        </w:trPr>
        <w:tc>
          <w:tcPr>
            <w:tcW w:w="490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12,793,138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12,336,241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387,672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18,572,499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36,346,599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37,132,151</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(cost--$192,000,000</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$240,900,000,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191,040,000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238,792,125</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SBA debentures payable (cost--$150,000,000 and</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 respectively)</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 and SBA</w:t>
            </w:r>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ectPr>
          <w:pgSz w:w="11900" w:h="16838" w:orient="portrait"/>
          <w:cols w:equalWidth="0" w:num="1">
            <w:col w:w="11220"/>
          </w:cols>
          <w:pgMar w:left="320" w:top="118"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rPr>
              <w:t>debentures</w:t>
            </w:r>
          </w:p>
        </w:tc>
        <w:tc>
          <w:tcPr>
            <w:tcW w:w="16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1,866,437</w:t>
            </w:r>
          </w:p>
        </w:tc>
        <w:tc>
          <w:tcPr>
            <w:tcW w:w="100" w:type="dxa"/>
            <w:vAlign w:val="bottom"/>
          </w:tcPr>
          <w:p>
            <w:pPr>
              <w:spacing w:after="0"/>
              <w:rPr>
                <w:sz w:val="17"/>
                <w:szCs w:val="17"/>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687,362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4,043,281</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4,008,054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3,748,996</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3,773,829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1,507,814</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778,757</w:t>
            </w:r>
          </w:p>
        </w:tc>
      </w:tr>
      <w:tr>
        <w:trPr>
          <w:trHeight w:val="203"/>
        </w:trPr>
        <w:tc>
          <w:tcPr>
            <w:tcW w:w="496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401,733,937</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466,081,018</w:t>
            </w:r>
          </w:p>
        </w:tc>
      </w:tr>
      <w:tr>
        <w:trPr>
          <w:trHeight w:val="203"/>
        </w:trPr>
        <w:tc>
          <w:tcPr>
            <w:tcW w:w="496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Common stock, 45,689,781 shares are issued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Par value $0.001 per share and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45,690</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45,690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540,603,020</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540,603,020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10,530,244</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8,326,854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 investments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(57,681,477)</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(49,651,922)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(28,747,895)</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(38,774,321)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unrealized depreciation on credit facility</w:t>
            </w:r>
          </w:p>
        </w:tc>
        <w:tc>
          <w:tcPr>
            <w:tcW w:w="16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960,000</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2,107,875</w:t>
            </w:r>
          </w:p>
        </w:tc>
      </w:tr>
      <w:tr>
        <w:trPr>
          <w:trHeight w:val="203"/>
        </w:trPr>
        <w:tc>
          <w:tcPr>
            <w:tcW w:w="496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$ 465,709,582</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$ 462,657,196</w:t>
            </w:r>
          </w:p>
        </w:tc>
      </w:tr>
      <w:tr>
        <w:trPr>
          <w:trHeight w:val="203"/>
        </w:trPr>
        <w:tc>
          <w:tcPr>
            <w:tcW w:w="496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$ 867,443,519</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$ 928,738,214</w:t>
            </w:r>
          </w:p>
        </w:tc>
      </w:tr>
      <w:tr>
        <w:trPr>
          <w:trHeight w:val="203"/>
        </w:trPr>
        <w:tc>
          <w:tcPr>
            <w:tcW w:w="496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10.13</w:t>
            </w:r>
          </w:p>
        </w:tc>
      </w:tr>
      <w:tr>
        <w:trPr>
          <w:trHeight w:val="203"/>
        </w:trPr>
        <w:tc>
          <w:tcPr>
            <w:tcW w:w="496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8020" w:type="dxa"/>
            <w:vAlign w:val="bottom"/>
            <w:gridSpan w:val="5"/>
          </w:tcPr>
          <w:p>
            <w:pPr>
              <w:jc w:val="center"/>
              <w:ind w:left="12"/>
              <w:spacing w:after="0"/>
              <w:rPr>
                <w:sz w:val="20"/>
                <w:szCs w:val="20"/>
                <w:color w:val="auto"/>
              </w:rPr>
            </w:pPr>
            <w:r>
              <w:rPr>
                <w:rFonts w:ascii="Courier New" w:cs="Courier New" w:eastAsia="Courier New" w:hAnsi="Courier New"/>
                <w:sz w:val="18"/>
                <w:szCs w:val="18"/>
                <w:color w:val="auto"/>
                <w:w w:val="97"/>
              </w:rPr>
              <w:t>PENNANTPARK INVESTMENT CORPORATION AND SUBSIDIARIES</w:t>
            </w:r>
          </w:p>
        </w:tc>
      </w:tr>
      <w:tr>
        <w:trPr>
          <w:trHeight w:val="203"/>
        </w:trPr>
        <w:tc>
          <w:tcPr>
            <w:tcW w:w="6540" w:type="dxa"/>
            <w:vAlign w:val="bottom"/>
            <w:gridSpan w:val="3"/>
          </w:tcPr>
          <w:p>
            <w:pPr>
              <w:jc w:val="center"/>
              <w:ind w:left="151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jc w:val="center"/>
              <w:ind w:left="307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From non-controlled, non-affiliated investments: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$ 24,020,424</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$ 18,559,165</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1,870,514</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846,584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 investments: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572,931</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363,432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374,889</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210,000</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26,838,758</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19,979,181</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4,043,281</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3,498,594</w:t>
            </w:r>
          </w:p>
        </w:tc>
      </w:tr>
      <w:tr>
        <w:trPr>
          <w:trHeight w:val="202"/>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3,749,128</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2,792,994</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Interest and expenses on the credit facility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SBA debentures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2,375,123</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1,135,427</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797,353</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579,055</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842,345</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683,359</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 tax</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11,807,230</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8,689,429</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35,000</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118,967</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11,842,230</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8,808,396</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14,996,528</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11,170,785</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Net realized (loss) gain on non-controlled, non-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(8,029,555)</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2,293,362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8,064,782</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18,752,873</w:t>
            </w:r>
          </w:p>
        </w:tc>
      </w:tr>
      <w:tr>
        <w:trPr>
          <w:trHeight w:val="202"/>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1,961,644</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(90,172)</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Credit facility unrealized (appreciation)</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(1,147,875)</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(6,604,625)</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8,878,551</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12,058,076</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from</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848,996</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14,351,438</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2"/>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$ 15,845,524</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$ 25,522,223</w:t>
            </w:r>
          </w:p>
        </w:tc>
      </w:tr>
      <w:tr>
        <w:trPr>
          <w:trHeight w:val="203"/>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ind w:left="120"/>
              <w:spacing w:after="0"/>
              <w:rPr>
                <w:sz w:val="20"/>
                <w:szCs w:val="20"/>
                <w:color w:val="auto"/>
              </w:rPr>
            </w:pPr>
            <w:r>
              <w:rPr>
                <w:rFonts w:ascii="Courier New" w:cs="Courier New" w:eastAsia="Courier New" w:hAnsi="Courier New"/>
                <w:sz w:val="18"/>
                <w:szCs w:val="18"/>
                <w:color w:val="auto"/>
              </w:rPr>
              <w:t>operations per common share</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0.34</w:t>
            </w:r>
          </w:p>
        </w:tc>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0.71</w:t>
            </w:r>
          </w:p>
        </w:tc>
      </w:tr>
      <w:tr>
        <w:trPr>
          <w:trHeight w:val="203"/>
        </w:trPr>
        <w:tc>
          <w:tcPr>
            <w:tcW w:w="4580" w:type="dxa"/>
            <w:vAlign w:val="bottom"/>
          </w:tcPr>
          <w:p>
            <w:pPr>
              <w:spacing w:after="0"/>
              <w:rPr>
                <w:sz w:val="17"/>
                <w:szCs w:val="17"/>
                <w:color w:val="auto"/>
              </w:rPr>
            </w:pPr>
          </w:p>
        </w:tc>
        <w:tc>
          <w:tcPr>
            <w:tcW w:w="1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0.33</w:t>
            </w: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4580" w:type="dxa"/>
            <w:vAlign w:val="bottom"/>
          </w:tcPr>
          <w:p>
            <w:pPr>
              <w:spacing w:after="0"/>
              <w:rPr>
                <w:sz w:val="17"/>
                <w:szCs w:val="17"/>
                <w:color w:val="auto"/>
              </w:rPr>
            </w:pPr>
          </w:p>
        </w:tc>
        <w:tc>
          <w:tcPr>
            <w:tcW w:w="1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2020-05-05T15:07:05Z</dcterms:created>
  <dcterms:modified xsi:type="dcterms:W3CDTF">2020-05-05T15:07:05Z</dcterms:modified>
</cp:coreProperties>
</file>