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1"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212725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5, 2013</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499"/>
        <w:spacing w:after="0"/>
        <w:rPr>
          <w:sz w:val="20"/>
          <w:szCs w:val="20"/>
          <w:color w:val="auto"/>
        </w:rPr>
      </w:pPr>
      <w:r>
        <w:rPr>
          <w:rFonts w:ascii="Arial" w:cs="Arial" w:eastAsia="Arial" w:hAnsi="Arial"/>
          <w:sz w:val="39"/>
          <w:szCs w:val="39"/>
          <w:b w:val="1"/>
          <w:bCs w:val="1"/>
          <w:color w:val="auto"/>
        </w:rPr>
        <w:t>PennantPark Investment Corporation</w:t>
      </w:r>
    </w:p>
    <w:p>
      <w:pPr>
        <w:spacing w:after="0" w:line="10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182245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0740"/>
          </w:cols>
          <w:pgMar w:left="320" w:top="328" w:right="8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80"/>
        <w:spacing w:after="0"/>
        <w:rPr>
          <w:sz w:val="20"/>
          <w:szCs w:val="20"/>
          <w:color w:val="auto"/>
        </w:rPr>
      </w:pPr>
      <w:r>
        <w:rPr>
          <w:rFonts w:ascii="Arial" w:cs="Arial" w:eastAsia="Arial" w:hAnsi="Arial"/>
          <w:sz w:val="15"/>
          <w:szCs w:val="15"/>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20-8250744</w:t>
      </w:r>
    </w:p>
    <w:p>
      <w:pPr>
        <w:spacing w:after="0" w:line="55" w:lineRule="exact"/>
        <w:rPr>
          <w:sz w:val="24"/>
          <w:szCs w:val="24"/>
          <w:color w:val="auto"/>
        </w:rPr>
      </w:pPr>
    </w:p>
    <w:p>
      <w:pPr>
        <w:sectPr>
          <w:pgSz w:w="11900" w:h="16838" w:orient="portrait"/>
          <w:cols w:equalWidth="0" w:num="3">
            <w:col w:w="4640" w:space="720"/>
            <w:col w:w="2940" w:space="720"/>
            <w:col w:w="1720"/>
          </w:cols>
          <w:pgMar w:left="320" w:top="328" w:right="839" w:bottom="1440" w:gutter="0" w:footer="0" w:header="0"/>
          <w:type w:val="continuous"/>
        </w:sect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4"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jc w:val="center"/>
        <w:ind w:right="760"/>
        <w:spacing w:after="0"/>
        <w:rPr>
          <w:sz w:val="20"/>
          <w:szCs w:val="20"/>
          <w:color w:val="auto"/>
        </w:rPr>
      </w:pPr>
      <w:r>
        <w:rPr>
          <w:rFonts w:ascii="Arial" w:cs="Arial" w:eastAsia="Arial" w:hAnsi="Arial"/>
          <w:sz w:val="12"/>
          <w:szCs w:val="12"/>
          <w:b w:val="1"/>
          <w:bCs w:val="1"/>
          <w:color w:val="auto"/>
        </w:rPr>
        <w:t>Identification No.)</w:t>
      </w:r>
    </w:p>
    <w:p>
      <w:pPr>
        <w:spacing w:after="0" w:line="210" w:lineRule="exact"/>
        <w:rPr>
          <w:sz w:val="24"/>
          <w:szCs w:val="24"/>
          <w:color w:val="auto"/>
        </w:rPr>
      </w:pPr>
    </w:p>
    <w:p>
      <w:pPr>
        <w:sectPr>
          <w:pgSz w:w="11900" w:h="16838" w:orient="portrait"/>
          <w:cols w:equalWidth="0" w:num="3">
            <w:col w:w="4640" w:space="720"/>
            <w:col w:w="2840" w:space="720"/>
            <w:col w:w="1820"/>
          </w:cols>
          <w:pgMar w:left="320" w:top="328" w:right="839" w:bottom="1440" w:gutter="0" w:footer="0" w:header="0"/>
          <w:type w:val="continuous"/>
        </w:sectPr>
      </w:pPr>
    </w:p>
    <w:p>
      <w:pPr>
        <w:ind w:left="104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10022</w:t>
      </w:r>
    </w:p>
    <w:p>
      <w:pPr>
        <w:spacing w:after="0" w:line="55" w:lineRule="exact"/>
        <w:rPr>
          <w:sz w:val="24"/>
          <w:szCs w:val="24"/>
          <w:color w:val="auto"/>
        </w:rPr>
      </w:pPr>
    </w:p>
    <w:p>
      <w:pPr>
        <w:sectPr>
          <w:pgSz w:w="11900" w:h="16838" w:orient="portrait"/>
          <w:cols w:equalWidth="0" w:num="2">
            <w:col w:w="7580" w:space="720"/>
            <w:col w:w="2440"/>
          </w:cols>
          <w:pgMar w:left="320" w:top="328" w:right="839" w:bottom="1440" w:gutter="0" w:footer="0" w:header="0"/>
          <w:type w:val="continuous"/>
        </w:sectPr>
      </w:pPr>
    </w:p>
    <w:p>
      <w:pPr>
        <w:ind w:left="1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480" w:space="720"/>
            <w:col w:w="2540"/>
          </w:cols>
          <w:pgMar w:left="320" w:top="328"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189230</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328"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5, 2013,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7, 2012. As of December 11, 2012, the record date, 66,356,911 shares of common stock were eligible to vote. A summary of the matters voted upon by the stockholders is set forth below.</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Due to the absence of the affirmative vote of the holders a majority of the outstanding shares of common stock to elect the nominee, the named</w:t>
      </w:r>
      <w:r>
        <w:rPr>
          <w:rFonts w:ascii="Arial" w:cs="Arial" w:eastAsia="Arial" w:hAnsi="Arial"/>
          <w:sz w:val="16"/>
          <w:szCs w:val="16"/>
          <w:b w:val="1"/>
          <w:bCs w:val="1"/>
          <w:color w:val="auto"/>
        </w:rPr>
        <w:t xml:space="preserve"> </w:t>
      </w:r>
      <w:r>
        <w:rPr>
          <w:rFonts w:ascii="Arial" w:cs="Arial" w:eastAsia="Arial" w:hAnsi="Arial"/>
          <w:sz w:val="16"/>
          <w:szCs w:val="16"/>
          <w:color w:val="auto"/>
        </w:rPr>
        <w:t>Proxies for the Company’s stockholders approved an adjournment of the meeting to allow the polls to remain open until 9:30 a.m. on February 26, 2013 for the proposal to elect Arthur H. Penn as a Class III director of the Company, who will serve until the 2016 Annual Meeting, or until his successor is duly elected and qualifies or until his earlier resignation, removal from office, death or incapacity. The meeting will be reconvened at the offices of Dechert LLP, located at 1095 Avenue of the Americas, New York, New York, on February 26, 2013, at 9:30 a.m.</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KPMG LLP to serve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September 30, 2013. The voting results are set forth below:</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For</w:t>
            </w: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Against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Abstain</w:t>
            </w:r>
          </w:p>
        </w:tc>
      </w:tr>
      <w:tr>
        <w:trPr>
          <w:trHeight w:val="209"/>
        </w:trPr>
        <w:tc>
          <w:tcPr>
            <w:tcW w:w="6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59,221,075</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204,772</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84,137</w:t>
            </w:r>
          </w:p>
        </w:tc>
        <w:tc>
          <w:tcPr>
            <w:tcW w:w="160" w:type="dxa"/>
            <w:vAlign w:val="bottom"/>
            <w:tcBorders>
              <w:top w:val="single" w:sz="8" w:color="CCEEFF"/>
            </w:tcBorders>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 of Shares Voted</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99.52%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0.14%</w:t>
            </w:r>
          </w:p>
        </w:tc>
      </w:tr>
    </w:tbl>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February 5, 2013, the Company held a special meeting of stockholders (the “Special Meeting”) and submitted one matter to the vote of the stockholders. The proposal is described in detail in the Company’s definitive proxy statement filed with the Securities and Exchange Commission on December 7, 2012. As of December 11, 2012, the record date, 66,356,911 shares of common stock were eligible to vote. A summary of the matter voted upon by the stockholders is set forth below.</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named Proxies for the Company’s stockholders approved an adjournment of the meeting to allow the polls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open until 10:00 a.m. on February 26, 2013 for the proposal to authorize flexibility for the Company, with the approval of its Board of Directors, to sell shares of its common stock during the next 12 months, at a price below its then current net asset value per share, subject to certain limitations as described in the proxy statement. The meeting will be reconvened at the offices of Dechert LLP, located at 1095 Avenue of the Americas, New York, New York, on February 26, 2013, at 10:00 a.m.</w:t>
      </w:r>
    </w:p>
    <w:p>
      <w:pPr>
        <w:sectPr>
          <w:pgSz w:w="11900" w:h="16838" w:orient="portrait"/>
          <w:cols w:equalWidth="0" w:num="1">
            <w:col w:w="11200"/>
          </w:cols>
          <w:pgMar w:left="320" w:top="274"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February 8, 2013</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2020-05-05T15:11:18Z</dcterms:created>
  <dcterms:modified xsi:type="dcterms:W3CDTF">2020-05-05T15:11:18Z</dcterms:modified>
</cp:coreProperties>
</file>