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340" w:hanging="332"/>
        <w:spacing w:after="0" w:line="185" w:lineRule="auto"/>
        <w:tabs>
          <w:tab w:leader="none" w:pos="34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340" w:hanging="332"/>
        <w:spacing w:after="0" w:line="184" w:lineRule="auto"/>
        <w:tabs>
          <w:tab w:leader="none" w:pos="340" w:val="left"/>
        </w:tabs>
        <w:numPr>
          <w:ilvl w:val="0"/>
          <w:numId w:val="2"/>
        </w:numPr>
        <w:rPr>
          <w:rFonts w:ascii="MS PGothic" w:cs="MS PGothic" w:eastAsia="MS PGothic" w:hAnsi="MS PGothic"/>
          <w:sz w:val="41"/>
          <w:szCs w:val="41"/>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89" w:lineRule="exact"/>
        <w:rPr>
          <w:sz w:val="24"/>
          <w:szCs w:val="24"/>
          <w:color w:val="auto"/>
        </w:rPr>
      </w:pPr>
    </w:p>
    <w:p>
      <w:pPr>
        <w:ind w:left="322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342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PENNANTPARK INVESTMENT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58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93"/>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5"/>
        </w:trPr>
        <w:tc>
          <w:tcPr>
            <w:tcW w:w="510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3580" w:type="dxa"/>
            <w:vAlign w:val="bottom"/>
          </w:tcPr>
          <w:p>
            <w:pPr>
              <w:spacing w:after="0"/>
              <w:rPr>
                <w:sz w:val="24"/>
                <w:szCs w:val="24"/>
                <w:color w:val="auto"/>
              </w:rPr>
            </w:pPr>
          </w:p>
        </w:tc>
      </w:tr>
      <w:tr>
        <w:trPr>
          <w:trHeight w:val="227"/>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58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190"/>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(786) 297-9500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964" w:right="339" w:bottom="1440" w:gutter="0" w:footer="0" w:header="0"/>
        </w:sectPr>
      </w:pPr>
    </w:p>
    <w:p>
      <w:pPr>
        <w:spacing w:after="0" w:line="8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6"/>
          <w:szCs w:val="16"/>
          <w:color w:val="auto"/>
        </w:rPr>
        <w:t>PNNT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The New York Stock Exchange</w:t>
      </w:r>
    </w:p>
    <w:p>
      <w:pPr>
        <w:spacing w:after="0" w:line="92" w:lineRule="exact"/>
        <w:rPr>
          <w:sz w:val="24"/>
          <w:szCs w:val="24"/>
          <w:color w:val="auto"/>
        </w:rPr>
      </w:pPr>
    </w:p>
    <w:p>
      <w:pPr>
        <w:sectPr>
          <w:pgSz w:w="11900" w:h="16838" w:orient="portrait"/>
          <w:cols w:equalWidth="0" w:num="3">
            <w:col w:w="4240" w:space="720"/>
            <w:col w:w="2100" w:space="720"/>
            <w:col w:w="3460"/>
          </w:cols>
          <w:pgMar w:left="320" w:top="964" w:right="339" w:bottom="1440" w:gutter="0" w:footer="0" w:header="0"/>
          <w:type w:val="continuous"/>
        </w:sect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8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9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90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88" w:lineRule="exact"/>
        <w:rPr>
          <w:sz w:val="24"/>
          <w:szCs w:val="24"/>
          <w:color w:val="auto"/>
        </w:rPr>
      </w:pPr>
    </w:p>
    <w:p>
      <w:pPr>
        <w:ind w:right="60" w:firstLine="509"/>
        <w:spacing w:after="0" w:line="269"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300" w:right="2140" w:firstLine="41"/>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$0.001 par value per share, outstanding as of February 9, 2026 was 65,296,094.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type w:val="continuous"/>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p>
      <w:pPr>
        <w:jc w:val="center"/>
        <w:ind w:left="460"/>
        <w:spacing w:after="0" w:line="229" w:lineRule="auto"/>
        <w:rPr>
          <w:sz w:val="20"/>
          <w:szCs w:val="20"/>
          <w:color w:val="auto"/>
        </w:rPr>
      </w:pPr>
      <w:r>
        <w:rPr>
          <w:rFonts w:ascii="Times New Roman" w:cs="Times New Roman" w:eastAsia="Times New Roman" w:hAnsi="Times New Roman"/>
          <w:sz w:val="14"/>
          <w:szCs w:val="14"/>
          <w:b w:val="1"/>
          <w:bCs w:val="1"/>
          <w:color w:val="auto"/>
        </w:rPr>
        <w:t>FORM 10-Q FOR THE QUARTER ENDED DECEMBER 31, 2025</w:t>
      </w:r>
    </w:p>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700" w:type="dxa"/>
            <w:vAlign w:val="bottom"/>
            <w:gridSpan w:val="14"/>
          </w:tcPr>
          <w:p>
            <w:pPr>
              <w:jc w:val="center"/>
              <w:ind w:right="202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2040" w:type="dxa"/>
            <w:vAlign w:val="bottom"/>
          </w:tcPr>
          <w:p>
            <w:pPr>
              <w:spacing w:after="0"/>
              <w:rPr>
                <w:sz w:val="13"/>
                <w:szCs w:val="13"/>
                <w:color w:val="auto"/>
              </w:rPr>
            </w:pPr>
          </w:p>
        </w:tc>
      </w:tr>
      <w:tr>
        <w:trPr>
          <w:trHeight w:val="277"/>
        </w:trPr>
        <w:tc>
          <w:tcPr>
            <w:tcW w:w="35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80" w:type="dxa"/>
            <w:vAlign w:val="bottom"/>
            <w:tcBorders>
              <w:top w:val="single" w:sz="8" w:color="0000FF"/>
            </w:tcBorders>
            <w:gridSpan w:val="12"/>
          </w:tcPr>
          <w:p>
            <w:pPr>
              <w:spacing w:after="0"/>
              <w:rPr>
                <w:sz w:val="24"/>
                <w:szCs w:val="24"/>
                <w:color w:val="auto"/>
              </w:rPr>
            </w:pPr>
          </w:p>
        </w:tc>
        <w:tc>
          <w:tcPr>
            <w:tcW w:w="2020" w:type="dxa"/>
            <w:vAlign w:val="bottom"/>
            <w:gridSpan w:val="2"/>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December 31, 2025 (unaudited) and September 30, 2025</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months ended December 31, 2025 and 2024 (unaudited)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months ended December 31, 2025 and 2024 (unaudited)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December 31, 2025 and 2024 (unaudited)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December 31, 2025 (unaudited) and September 30, 2025</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878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(PCAOB ID 49)</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0"/>
        </w:trPr>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04"/>
        </w:trPr>
        <w:tc>
          <w:tcPr>
            <w:tcW w:w="59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326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04"/>
        </w:trPr>
        <w:tc>
          <w:tcPr>
            <w:tcW w:w="42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5000" w:type="dxa"/>
            <w:vAlign w:val="bottom"/>
            <w:gridSpan w:val="11"/>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304"/>
        </w:trPr>
        <w:tc>
          <w:tcPr>
            <w:tcW w:w="4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740" w:type="dxa"/>
            <w:vAlign w:val="bottom"/>
            <w:gridSpan w:val="6"/>
          </w:tcPr>
          <w:p>
            <w:pPr>
              <w:spacing w:after="0"/>
              <w:rPr>
                <w:sz w:val="24"/>
                <w:szCs w:val="24"/>
                <w:color w:val="auto"/>
              </w:rPr>
            </w:pPr>
          </w:p>
        </w:tc>
        <w:tc>
          <w:tcPr>
            <w:tcW w:w="2040" w:type="dxa"/>
            <w:vAlign w:val="bottom"/>
          </w:tcPr>
          <w:p>
            <w:pPr>
              <w:spacing w:after="0"/>
              <w:rPr>
                <w:sz w:val="24"/>
                <w:szCs w:val="24"/>
                <w:color w:val="auto"/>
              </w:rPr>
            </w:pPr>
          </w:p>
        </w:tc>
      </w:tr>
      <w:tr>
        <w:trPr>
          <w:trHeight w:val="304"/>
        </w:trPr>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7600" w:type="dxa"/>
            <w:vAlign w:val="bottom"/>
            <w:gridSpan w:val="20"/>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1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7840" w:type="dxa"/>
            <w:vAlign w:val="bottom"/>
            <w:gridSpan w:val="21"/>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506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92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24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6780" w:type="dxa"/>
            <w:vAlign w:val="bottom"/>
            <w:gridSpan w:val="16"/>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1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300" w:type="dxa"/>
            <w:vAlign w:val="bottom"/>
            <w:tcBorders>
              <w:top w:val="single" w:sz="8" w:color="0000FF"/>
            </w:tcBorders>
          </w:tcPr>
          <w:p>
            <w:pPr>
              <w:spacing w:after="0"/>
              <w:rPr>
                <w:sz w:val="24"/>
                <w:szCs w:val="24"/>
                <w:color w:val="auto"/>
              </w:rPr>
            </w:pPr>
          </w:p>
        </w:tc>
        <w:tc>
          <w:tcPr>
            <w:tcW w:w="7260" w:type="dxa"/>
            <w:vAlign w:val="bottom"/>
            <w:gridSpan w:val="18"/>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304"/>
        </w:trPr>
        <w:tc>
          <w:tcPr>
            <w:tcW w:w="920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304"/>
        </w:trPr>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220" w:type="dxa"/>
            <w:vAlign w:val="bottom"/>
            <w:gridSpan w:val="22"/>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497"/>
        </w:trPr>
        <w:tc>
          <w:tcPr>
            <w:tcW w:w="940" w:type="dxa"/>
            <w:vAlign w:val="bottom"/>
            <w:tcBorders>
              <w:top w:val="single" w:sz="8" w:color="0000FF"/>
            </w:tcBorders>
            <w:gridSpan w:val="2"/>
          </w:tcPr>
          <w:p>
            <w:pPr>
              <w:spacing w:after="0"/>
              <w:rPr>
                <w:sz w:val="24"/>
                <w:szCs w:val="24"/>
                <w:color w:val="auto"/>
              </w:rPr>
            </w:pPr>
          </w:p>
        </w:tc>
        <w:tc>
          <w:tcPr>
            <w:tcW w:w="5000" w:type="dxa"/>
            <w:vAlign w:val="bottom"/>
            <w:gridSpan w:val="15"/>
          </w:tcPr>
          <w:p>
            <w:pPr>
              <w:jc w:val="right"/>
              <w:ind w:right="280"/>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76"/>
        </w:trPr>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138"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We are filing this Quarterly Report on Form 10-Q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“Funding I” refers to PennantPark Investment Funding I, LLC, a wholly-owned subsidiary prior to deconsolidation on July 31, 2020; “Taxable Subsidiary” refers collectively to our consolidated subsidiaries, PNNT Investment Holdings II, LLC and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“BNP Credit Facility” refers to our revolving credit facility with BNP Paribas prior to deconsolidation of Funding I; “Truist Credit Facility” refers to our multi-currency, senior secured revolving credit facility with Truist Bank, as amended and restated; “2026 Notes” refers to our 4.50% Notes due May 2026; “2026 Notes-2” refers to our 4.00% Notes due November 2026;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consolidated subsidiaries.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color w:val="FFFFFF"/>
        </w:rPr>
        <w:t>ou</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s</w:t>
      </w:r>
      <w:r>
        <w:rPr>
          <w:rFonts w:ascii="Arial" w:cs="Arial" w:eastAsia="Arial" w:hAnsi="Arial"/>
          <w:sz w:val="18"/>
          <w:szCs w:val="18"/>
          <w:color w:val="FFFFFF"/>
        </w:rPr>
        <w:t>ands, except share data)</w:t>
      </w: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tab/>
        <w:t>Consolidated Financial Statements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auto"/>
            </w:tcBorders>
            <w:shd w:val="clear" w:color="auto" w:fill="CCECFF"/>
          </w:tcPr>
          <w:p>
            <w:pPr>
              <w:spacing w:after="0"/>
              <w:rPr>
                <w:sz w:val="12"/>
                <w:szCs w:val="12"/>
                <w:color w:val="auto"/>
              </w:rPr>
            </w:pPr>
          </w:p>
        </w:tc>
        <w:tc>
          <w:tcPr>
            <w:tcW w:w="1380" w:type="dxa"/>
            <w:vAlign w:val="bottom"/>
            <w:tcBorders>
              <w:top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138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cost—$846,496 and $853,416, respectively)</w:t>
            </w:r>
          </w:p>
        </w:tc>
        <w:tc>
          <w:tcPr>
            <w:tcW w:w="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852,085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857,415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 (amortized cost—$36,561 and $36,561, respectively)</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Borders>
              <w:bottom w:val="single" w:sz="8" w:color="CCECFF"/>
            </w:tcBorders>
            <w:shd w:val="clear" w:color="auto" w:fill="CCECFF"/>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cost—$342,149 and $346,911, respectively)</w:t>
            </w:r>
          </w:p>
        </w:tc>
        <w:tc>
          <w:tcPr>
            <w:tcW w:w="100" w:type="dxa"/>
            <w:vAlign w:val="bottom"/>
            <w:tcBorders>
              <w:bottom w:val="single" w:sz="8" w:color="auto"/>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364,638</w:t>
            </w:r>
          </w:p>
        </w:tc>
        <w:tc>
          <w:tcPr>
            <w:tcW w:w="2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424,967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investments (amortized cost—$1,225,206 and $1,236,888, respectively)</w:t>
            </w: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1,218,474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1,287,273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Cash equivalents (cost—$17,660 and $30,711, respectively)</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(cost—$28,091 and $21,028, respectively)</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Receivable for investments sold</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Distribution receivable</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from affiliates</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Borders>
              <w:bottom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Borders>
              <w:bottom w:val="single" w:sz="8" w:color="auto"/>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1,293,517</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1,349,554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Truist Credit Facility payable, at fair value (cost—$296,456 and $426,456, respectively)</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295,464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425,477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2026 Notes payable (par— $150,000, unamortized deferred financing cost of $302 and $527, respectively)</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149,698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149,473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 Notes-2 payable (par— $165,000, unamortized deferred financing cost of $853 and $1,067, respectively)</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Payable for investment purchased</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209,555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payable on debt</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Distributions payable</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500" w:type="dxa"/>
            <w:vAlign w:val="bottom"/>
            <w:gridSpan w:val="2"/>
            <w:shd w:val="clear" w:color="auto" w:fill="CCEC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Base management fee payable</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 payable</w:t>
            </w:r>
          </w:p>
        </w:tc>
        <w:tc>
          <w:tcPr>
            <w:tcW w:w="100" w:type="dxa"/>
            <w:vAlign w:val="bottom"/>
          </w:tcPr>
          <w:p>
            <w:pPr>
              <w:spacing w:after="0"/>
              <w:rPr>
                <w:sz w:val="12"/>
                <w:szCs w:val="12"/>
                <w:color w:val="auto"/>
              </w:rPr>
            </w:pPr>
          </w:p>
        </w:tc>
        <w:tc>
          <w:tcPr>
            <w:tcW w:w="16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Borders>
              <w:bottom w:val="single" w:sz="8" w:color="CCECFF"/>
            </w:tcBorders>
            <w:shd w:val="clear" w:color="auto" w:fill="CCECFF"/>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13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836,283</w:t>
            </w:r>
          </w:p>
        </w:tc>
        <w:tc>
          <w:tcPr>
            <w:tcW w:w="2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13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885,604</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(See Note 11)</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65,296,094 and 65,296,094 shares issued and outstanding, respectively</w:t>
            </w:r>
          </w:p>
        </w:tc>
        <w:tc>
          <w:tcPr>
            <w:tcW w:w="1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200,000,000 shares authorized</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Paid-in capital in excess of par value</w:t>
            </w: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740,506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2"/>
                <w:szCs w:val="12"/>
                <w:color w:val="auto"/>
              </w:rPr>
            </w:pPr>
          </w:p>
        </w:tc>
        <w:tc>
          <w:tcPr>
            <w:tcW w:w="1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(283,337)</w:t>
            </w:r>
          </w:p>
        </w:tc>
        <w:tc>
          <w:tcPr>
            <w:tcW w:w="1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(276,621)</w:t>
            </w:r>
          </w:p>
        </w:tc>
        <w:tc>
          <w:tcPr>
            <w:tcW w:w="0" w:type="dxa"/>
            <w:vAlign w:val="bottom"/>
          </w:tcPr>
          <w:p>
            <w:pPr>
              <w:spacing w:after="0"/>
              <w:rPr>
                <w:sz w:val="1"/>
                <w:szCs w:val="1"/>
                <w:color w:val="auto"/>
              </w:rPr>
            </w:pPr>
          </w:p>
        </w:tc>
      </w:tr>
      <w:tr>
        <w:trPr>
          <w:trHeight w:val="142"/>
        </w:trPr>
        <w:tc>
          <w:tcPr>
            <w:tcW w:w="7920" w:type="dxa"/>
            <w:vAlign w:val="bottom"/>
            <w:tcBorders>
              <w:bottom w:val="single" w:sz="8" w:color="CCECFF"/>
            </w:tcBorders>
            <w:shd w:val="clear" w:color="auto" w:fill="CCECFF"/>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457,234</w:t>
            </w:r>
          </w:p>
        </w:tc>
        <w:tc>
          <w:tcPr>
            <w:tcW w:w="24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463,950</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1,293,517</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1,349,554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20" w:type="dxa"/>
            <w:vAlign w:val="bottom"/>
            <w:tcBorders>
              <w:bottom w:val="single" w:sz="8" w:color="CCECFF"/>
            </w:tcBorders>
            <w:shd w:val="clear" w:color="auto" w:fill="CCEC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0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7.00</w:t>
            </w:r>
          </w:p>
        </w:tc>
        <w:tc>
          <w:tcPr>
            <w:tcW w:w="24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7.11</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-2845435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-2082165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-925195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-248285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-248285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color w:val="FFFFFF"/>
        </w:rPr>
        <w:t>ou</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s</w:t>
      </w:r>
      <w:r>
        <w:rPr>
          <w:rFonts w:ascii="Arial" w:cs="Arial" w:eastAsia="Arial" w:hAnsi="Arial"/>
          <w:sz w:val="18"/>
          <w:szCs w:val="18"/>
          <w:color w:val="FFFFFF"/>
        </w:rPr>
        <w:t>ands, except share data)</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OPERATIONS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100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680" w:type="dxa"/>
            <w:vAlign w:val="bottom"/>
            <w:tcBorders>
              <w:right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10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tcBorders>
              <w:top w:val="single" w:sz="8" w:color="auto"/>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000" w:type="dxa"/>
            <w:vAlign w:val="bottom"/>
            <w:shd w:val="clear" w:color="auto" w:fill="CCECFF"/>
          </w:tcPr>
          <w:p>
            <w:pPr>
              <w:jc w:val="right"/>
              <w:ind w:right="87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13,939</w:t>
            </w:r>
          </w:p>
        </w:tc>
        <w:tc>
          <w:tcPr>
            <w:tcW w:w="160" w:type="dxa"/>
            <w:vAlign w:val="bottom"/>
            <w:shd w:val="clear" w:color="auto" w:fill="CCECFF"/>
          </w:tcPr>
          <w:p>
            <w:pPr>
              <w:spacing w:after="0"/>
              <w:rPr>
                <w:sz w:val="12"/>
                <w:szCs w:val="12"/>
                <w:color w:val="auto"/>
              </w:rPr>
            </w:pPr>
          </w:p>
        </w:tc>
        <w:tc>
          <w:tcPr>
            <w:tcW w:w="1200" w:type="dxa"/>
            <w:vAlign w:val="bottom"/>
            <w:gridSpan w:val="2"/>
            <w:shd w:val="clear" w:color="auto" w:fill="CCECFF"/>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18,767</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Payment-in-kind</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120" w:type="dxa"/>
            <w:vAlign w:val="bottom"/>
          </w:tcPr>
          <w:p>
            <w:pPr>
              <w:spacing w:after="0"/>
              <w:rPr>
                <w:sz w:val="12"/>
                <w:szCs w:val="12"/>
                <w:color w:val="auto"/>
              </w:rPr>
            </w:pP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CFF"/>
          </w:tcPr>
          <w:p>
            <w:pPr>
              <w:spacing w:after="0"/>
              <w:rPr>
                <w:sz w:val="12"/>
                <w:szCs w:val="12"/>
                <w:color w:val="auto"/>
              </w:rPr>
            </w:pPr>
          </w:p>
        </w:tc>
      </w:tr>
      <w:tr>
        <w:trPr>
          <w:trHeight w:val="149"/>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2"/>
                <w:szCs w:val="12"/>
                <w:color w:val="auto"/>
              </w:rPr>
            </w:pPr>
          </w:p>
        </w:tc>
      </w:tr>
      <w:tr>
        <w:trPr>
          <w:trHeight w:val="148"/>
        </w:trPr>
        <w:tc>
          <w:tcPr>
            <w:tcW w:w="7680" w:type="dxa"/>
            <w:vAlign w:val="bottom"/>
            <w:tcBorders>
              <w:right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From controlled, affiliated investments:</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7,255</w:t>
            </w:r>
          </w:p>
        </w:tc>
        <w:tc>
          <w:tcPr>
            <w:tcW w:w="120" w:type="dxa"/>
            <w:vAlign w:val="bottom"/>
          </w:tcPr>
          <w:p>
            <w:pPr>
              <w:spacing w:after="0"/>
              <w:rPr>
                <w:sz w:val="12"/>
                <w:szCs w:val="12"/>
                <w:color w:val="auto"/>
              </w:rPr>
            </w:pP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Payment-in-kind</w:t>
            </w:r>
          </w:p>
        </w:tc>
        <w:tc>
          <w:tcPr>
            <w:tcW w:w="10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Borders>
              <w:bottom w:val="single" w:sz="8" w:color="CCEC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w:t>
            </w:r>
          </w:p>
        </w:tc>
        <w:tc>
          <w:tcPr>
            <w:tcW w:w="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w:t>
            </w:r>
          </w:p>
        </w:tc>
        <w:tc>
          <w:tcPr>
            <w:tcW w:w="120" w:type="dxa"/>
            <w:vAlign w:val="bottom"/>
            <w:tcBorders>
              <w:bottom w:val="single" w:sz="8" w:color="CCECFF"/>
            </w:tcBorders>
          </w:tcPr>
          <w:p>
            <w:pPr>
              <w:spacing w:after="0"/>
              <w:rPr>
                <w:sz w:val="12"/>
                <w:szCs w:val="12"/>
                <w:color w:val="auto"/>
              </w:rPr>
            </w:pPr>
          </w:p>
        </w:tc>
      </w:tr>
      <w:tr>
        <w:trPr>
          <w:trHeight w:val="142"/>
        </w:trPr>
        <w:tc>
          <w:tcPr>
            <w:tcW w:w="7680" w:type="dxa"/>
            <w:vAlign w:val="bottom"/>
            <w:tcBorders>
              <w:bottom w:val="single" w:sz="8" w:color="CCECFF"/>
              <w:right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00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27,253</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34,207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2"/>
        </w:trPr>
        <w:tc>
          <w:tcPr>
            <w:tcW w:w="7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Base management fee</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Incentive fee</w:t>
            </w:r>
          </w:p>
        </w:tc>
        <w:tc>
          <w:tcPr>
            <w:tcW w:w="10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2,756</w:t>
            </w:r>
          </w:p>
        </w:tc>
        <w:tc>
          <w:tcPr>
            <w:tcW w:w="120" w:type="dxa"/>
            <w:vAlign w:val="bottom"/>
          </w:tcPr>
          <w:p>
            <w:pPr>
              <w:spacing w:after="0"/>
              <w:rPr>
                <w:sz w:val="12"/>
                <w:szCs w:val="12"/>
                <w:color w:val="auto"/>
              </w:rPr>
            </w:pPr>
          </w:p>
        </w:tc>
      </w:tr>
      <w:tr>
        <w:trPr>
          <w:trHeight w:val="149"/>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and expenses on debt</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10,501</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11,741</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Administrative services expenses</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2"/>
                <w:szCs w:val="12"/>
                <w:color w:val="auto"/>
              </w:rPr>
            </w:pPr>
          </w:p>
        </w:tc>
      </w:tr>
      <w:tr>
        <w:trPr>
          <w:trHeight w:val="148"/>
        </w:trPr>
        <w:tc>
          <w:tcPr>
            <w:tcW w:w="7680" w:type="dxa"/>
            <w:vAlign w:val="bottom"/>
            <w:tcBorders>
              <w:bottom w:val="single" w:sz="8" w:color="CCECFF"/>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0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2"/>
        </w:trPr>
        <w:tc>
          <w:tcPr>
            <w:tcW w:w="7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Expenses before provision for taxes and financing costs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20,515</w:t>
            </w:r>
          </w:p>
        </w:tc>
        <w:tc>
          <w:tcPr>
            <w:tcW w:w="120" w:type="dxa"/>
            <w:vAlign w:val="bottom"/>
          </w:tcPr>
          <w:p>
            <w:pPr>
              <w:spacing w:after="0"/>
              <w:rPr>
                <w:sz w:val="12"/>
                <w:szCs w:val="12"/>
                <w:color w:val="auto"/>
              </w:rPr>
            </w:pPr>
          </w:p>
        </w:tc>
      </w:tr>
      <w:tr>
        <w:trPr>
          <w:trHeight w:val="142"/>
        </w:trPr>
        <w:tc>
          <w:tcPr>
            <w:tcW w:w="7680" w:type="dxa"/>
            <w:vAlign w:val="bottom"/>
            <w:tcBorders>
              <w:right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660</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Credit facility amendment and debt issuance costs</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680" w:type="dxa"/>
            <w:vAlign w:val="bottom"/>
            <w:tcBorders>
              <w:bottom w:val="single" w:sz="8" w:color="CCECFF"/>
              <w:right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1000" w:type="dxa"/>
            <w:vAlign w:val="bottom"/>
            <w:tcBorders>
              <w:top w:val="single" w:sz="8" w:color="auto"/>
              <w:bottom w:val="single" w:sz="8" w:color="auto"/>
            </w:tcBorders>
            <w:shd w:val="clear" w:color="auto" w:fill="CCECFF"/>
          </w:tcPr>
          <w:p>
            <w:pPr>
              <w:spacing w:after="0"/>
              <w:rPr>
                <w:sz w:val="12"/>
                <w:szCs w:val="12"/>
                <w:color w:val="auto"/>
              </w:rPr>
            </w:pPr>
          </w:p>
        </w:tc>
        <w:tc>
          <w:tcPr>
            <w:tcW w:w="5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20,261</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top w:val="single" w:sz="8" w:color="auto"/>
              <w:bottom w:val="single" w:sz="8" w:color="auto"/>
            </w:tcBorders>
            <w:shd w:val="clear" w:color="auto" w:fill="CCECFF"/>
          </w:tcPr>
          <w:p>
            <w:pPr>
              <w:spacing w:after="0"/>
              <w:rPr>
                <w:sz w:val="12"/>
                <w:szCs w:val="12"/>
                <w:color w:val="auto"/>
              </w:rPr>
            </w:pPr>
          </w:p>
        </w:tc>
        <w:tc>
          <w:tcPr>
            <w:tcW w:w="5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21,215</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2"/>
        </w:trPr>
        <w:tc>
          <w:tcPr>
            <w:tcW w:w="7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12,992</w:t>
            </w:r>
          </w:p>
        </w:tc>
        <w:tc>
          <w:tcPr>
            <w:tcW w:w="120" w:type="dxa"/>
            <w:vAlign w:val="bottom"/>
          </w:tcPr>
          <w:p>
            <w:pPr>
              <w:spacing w:after="0"/>
              <w:rPr>
                <w:sz w:val="12"/>
                <w:szCs w:val="12"/>
                <w:color w:val="auto"/>
              </w:rPr>
            </w:pPr>
          </w:p>
        </w:tc>
      </w:tr>
      <w:tr>
        <w:trPr>
          <w:trHeight w:val="142"/>
        </w:trPr>
        <w:tc>
          <w:tcPr>
            <w:tcW w:w="7680" w:type="dxa"/>
            <w:vAlign w:val="bottom"/>
            <w:tcBorders>
              <w:right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0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0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(3,860)</w:t>
            </w: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(2,560)</w:t>
            </w: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taxes on realized gain on investments</w:t>
            </w:r>
          </w:p>
        </w:tc>
        <w:tc>
          <w:tcPr>
            <w:tcW w:w="10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680" w:type="dxa"/>
            <w:vAlign w:val="bottom"/>
            <w:tcBorders>
              <w:right w:val="single" w:sz="8" w:color="CCECFF"/>
            </w:tcBorders>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r>
      <w:tr>
        <w:trPr>
          <w:trHeight w:val="142"/>
        </w:trPr>
        <w:tc>
          <w:tcPr>
            <w:tcW w:w="7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gain (loss) on investments and debt</w:t>
            </w:r>
          </w:p>
        </w:tc>
        <w:tc>
          <w:tcPr>
            <w:tcW w:w="10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59,002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(2,560)</w:t>
            </w:r>
          </w:p>
        </w:tc>
      </w:tr>
      <w:tr>
        <w:trPr>
          <w:trHeight w:val="142"/>
        </w:trPr>
        <w:tc>
          <w:tcPr>
            <w:tcW w:w="7680" w:type="dxa"/>
            <w:vAlign w:val="bottom"/>
            <w:tcBorders>
              <w:right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0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80" w:type="dxa"/>
            <w:vAlign w:val="bottom"/>
            <w:tcBorders>
              <w:top w:val="single" w:sz="8" w:color="auto"/>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(4,777)</w:t>
            </w:r>
          </w:p>
        </w:tc>
      </w:tr>
      <w:tr>
        <w:trPr>
          <w:trHeight w:val="148"/>
        </w:trPr>
        <w:tc>
          <w:tcPr>
            <w:tcW w:w="7680" w:type="dxa"/>
            <w:vAlign w:val="bottom"/>
            <w:tcBorders>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0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(58,705)</w:t>
            </w:r>
          </w:p>
        </w:tc>
        <w:tc>
          <w:tcPr>
            <w:tcW w:w="12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7,138</w:t>
            </w:r>
          </w:p>
        </w:tc>
        <w:tc>
          <w:tcPr>
            <w:tcW w:w="120" w:type="dxa"/>
            <w:vAlign w:val="bottom"/>
            <w:shd w:val="clear" w:color="auto" w:fill="CCECFF"/>
          </w:tcPr>
          <w:p>
            <w:pPr>
              <w:spacing w:after="0"/>
              <w:rPr>
                <w:sz w:val="12"/>
                <w:szCs w:val="12"/>
                <w:color w:val="auto"/>
              </w:rPr>
            </w:pPr>
          </w:p>
        </w:tc>
      </w:tr>
      <w:tr>
        <w:trPr>
          <w:trHeight w:val="148"/>
        </w:trPr>
        <w:tc>
          <w:tcPr>
            <w:tcW w:w="7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taxes on unrealized appreciation (depreciation) on investments</w:t>
            </w:r>
          </w:p>
        </w:tc>
        <w:tc>
          <w:tcPr>
            <w:tcW w:w="10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9"/>
        </w:trPr>
        <w:tc>
          <w:tcPr>
            <w:tcW w:w="7680" w:type="dxa"/>
            <w:vAlign w:val="bottom"/>
            <w:tcBorders>
              <w:bottom w:val="single" w:sz="8" w:color="CCECFF"/>
              <w:right w:val="single" w:sz="8" w:color="CCECFF"/>
            </w:tcBorders>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Debt appreciation (depreciation)</w:t>
            </w:r>
          </w:p>
        </w:tc>
        <w:tc>
          <w:tcPr>
            <w:tcW w:w="100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2"/>
        </w:trPr>
        <w:tc>
          <w:tcPr>
            <w:tcW w:w="7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10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(57,039)</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5,652</w:t>
            </w:r>
          </w:p>
        </w:tc>
        <w:tc>
          <w:tcPr>
            <w:tcW w:w="120" w:type="dxa"/>
            <w:vAlign w:val="bottom"/>
          </w:tcPr>
          <w:p>
            <w:pPr>
              <w:spacing w:after="0"/>
              <w:rPr>
                <w:sz w:val="12"/>
                <w:szCs w:val="12"/>
                <w:color w:val="auto"/>
              </w:rPr>
            </w:pPr>
          </w:p>
        </w:tc>
      </w:tr>
      <w:tr>
        <w:trPr>
          <w:trHeight w:val="142"/>
        </w:trPr>
        <w:tc>
          <w:tcPr>
            <w:tcW w:w="7680" w:type="dxa"/>
            <w:vAlign w:val="bottom"/>
            <w:tcBorders>
              <w:bottom w:val="single" w:sz="8" w:color="CCECFF"/>
              <w:right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1000" w:type="dxa"/>
            <w:vAlign w:val="bottom"/>
            <w:tcBorders>
              <w:top w:val="single" w:sz="8" w:color="auto"/>
              <w:bottom w:val="single" w:sz="8" w:color="auto"/>
            </w:tcBorders>
            <w:shd w:val="clear" w:color="auto" w:fill="CCECFF"/>
          </w:tcPr>
          <w:p>
            <w:pPr>
              <w:spacing w:after="0"/>
              <w:rPr>
                <w:sz w:val="12"/>
                <w:szCs w:val="12"/>
                <w:color w:val="auto"/>
              </w:rPr>
            </w:pPr>
          </w:p>
        </w:tc>
        <w:tc>
          <w:tcPr>
            <w:tcW w:w="5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top w:val="single" w:sz="8" w:color="auto"/>
              <w:bottom w:val="single" w:sz="8" w:color="auto"/>
            </w:tcBorders>
            <w:shd w:val="clear" w:color="auto" w:fill="CCECFF"/>
          </w:tcPr>
          <w:p>
            <w:pPr>
              <w:spacing w:after="0"/>
              <w:rPr>
                <w:sz w:val="12"/>
                <w:szCs w:val="12"/>
                <w:color w:val="auto"/>
              </w:rPr>
            </w:pPr>
          </w:p>
        </w:tc>
        <w:tc>
          <w:tcPr>
            <w:tcW w:w="5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3,092</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142"/>
        </w:trPr>
        <w:tc>
          <w:tcPr>
            <w:tcW w:w="7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000" w:type="dxa"/>
            <w:vAlign w:val="bottom"/>
          </w:tcPr>
          <w:p>
            <w:pPr>
              <w:jc w:val="right"/>
              <w:ind w:right="87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8,955</w:t>
            </w:r>
          </w:p>
        </w:tc>
        <w:tc>
          <w:tcPr>
            <w:tcW w:w="160" w:type="dxa"/>
            <w:vAlign w:val="bottom"/>
          </w:tcPr>
          <w:p>
            <w:pPr>
              <w:spacing w:after="0"/>
              <w:rPr>
                <w:sz w:val="12"/>
                <w:szCs w:val="12"/>
                <w:color w:val="auto"/>
              </w:rPr>
            </w:pPr>
          </w:p>
        </w:tc>
        <w:tc>
          <w:tcPr>
            <w:tcW w:w="1200" w:type="dxa"/>
            <w:vAlign w:val="bottom"/>
            <w:gridSpan w:val="2"/>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16,084</w:t>
            </w:r>
          </w:p>
        </w:tc>
        <w:tc>
          <w:tcPr>
            <w:tcW w:w="120" w:type="dxa"/>
            <w:vAlign w:val="bottom"/>
          </w:tcPr>
          <w:p>
            <w:pPr>
              <w:spacing w:after="0"/>
              <w:rPr>
                <w:sz w:val="12"/>
                <w:szCs w:val="12"/>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680" w:type="dxa"/>
            <w:vAlign w:val="bottom"/>
            <w:tcBorders>
              <w:right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 per common share</w:t>
            </w:r>
          </w:p>
        </w:tc>
        <w:tc>
          <w:tcPr>
            <w:tcW w:w="1000" w:type="dxa"/>
            <w:vAlign w:val="bottom"/>
            <w:shd w:val="clear" w:color="auto" w:fill="CCECFF"/>
          </w:tcPr>
          <w:p>
            <w:pPr>
              <w:jc w:val="right"/>
              <w:ind w:right="87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0.14</w:t>
            </w:r>
          </w:p>
        </w:tc>
        <w:tc>
          <w:tcPr>
            <w:tcW w:w="16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9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0.25</w:t>
            </w:r>
          </w:p>
        </w:tc>
        <w:tc>
          <w:tcPr>
            <w:tcW w:w="120" w:type="dxa"/>
            <w:vAlign w:val="bottom"/>
            <w:shd w:val="clear" w:color="auto" w:fill="CCECFF"/>
          </w:tcPr>
          <w:p>
            <w:pPr>
              <w:spacing w:after="0"/>
              <w:rPr>
                <w:sz w:val="14"/>
                <w:szCs w:val="14"/>
                <w:color w:val="auto"/>
              </w:rPr>
            </w:pPr>
          </w:p>
        </w:tc>
      </w:tr>
      <w:tr>
        <w:trPr>
          <w:trHeight w:val="20"/>
        </w:trPr>
        <w:tc>
          <w:tcPr>
            <w:tcW w:w="7680" w:type="dxa"/>
            <w:vAlign w:val="bottom"/>
            <w:tcBorders>
              <w:top w:val="single" w:sz="8" w:color="CCECFF"/>
              <w:right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r>
      <w:tr>
        <w:trPr>
          <w:trHeight w:val="129"/>
        </w:trPr>
        <w:tc>
          <w:tcPr>
            <w:tcW w:w="76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100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bottom w:val="single" w:sz="8" w:color="auto"/>
            </w:tcBorders>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0.20</w:t>
            </w:r>
          </w:p>
        </w:tc>
        <w:tc>
          <w:tcPr>
            <w:tcW w:w="120" w:type="dxa"/>
            <w:vAlign w:val="bottom"/>
          </w:tcPr>
          <w:p>
            <w:pPr>
              <w:spacing w:after="0"/>
              <w:rPr>
                <w:sz w:val="11"/>
                <w:szCs w:val="11"/>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5855970</wp:posOffset>
            </wp:positionH>
            <wp:positionV relativeFrom="paragraph">
              <wp:posOffset>-2815590</wp:posOffset>
            </wp:positionV>
            <wp:extent cx="939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-2815590</wp:posOffset>
            </wp:positionV>
            <wp:extent cx="1028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-2125345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-2125345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-1722755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-1722755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-1139190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-556895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-351155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-351155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-145415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-145415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FFFFFF"/>
        </w:rPr>
        <w:t>ou</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s</w:t>
      </w:r>
      <w:r>
        <w:rPr>
          <w:rFonts w:ascii="Arial" w:cs="Arial" w:eastAsia="Arial" w:hAnsi="Arial"/>
          <w:sz w:val="18"/>
          <w:szCs w:val="18"/>
          <w:color w:val="FFFFFF"/>
        </w:rPr>
        <w:t>ands, except share data)</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9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7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920" w:type="dxa"/>
            <w:vAlign w:val="bottom"/>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6,992</w:t>
            </w:r>
          </w:p>
        </w:tc>
        <w:tc>
          <w:tcPr>
            <w:tcW w:w="280" w:type="dxa"/>
            <w:vAlign w:val="bottom"/>
          </w:tcPr>
          <w:p>
            <w:pPr>
              <w:spacing w:after="0"/>
              <w:rPr>
                <w:sz w:val="12"/>
                <w:szCs w:val="12"/>
                <w:color w:val="auto"/>
              </w:rPr>
            </w:pPr>
          </w:p>
        </w:tc>
        <w:tc>
          <w:tcPr>
            <w:tcW w:w="960" w:type="dxa"/>
            <w:vAlign w:val="bottom"/>
          </w:tcPr>
          <w:p>
            <w:pPr>
              <w:jc w:val="right"/>
              <w:ind w:right="8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12,992</w:t>
            </w:r>
          </w:p>
        </w:tc>
        <w:tc>
          <w:tcPr>
            <w:tcW w:w="100" w:type="dxa"/>
            <w:vAlign w:val="bottom"/>
          </w:tcPr>
          <w:p>
            <w:pPr>
              <w:spacing w:after="0"/>
              <w:rPr>
                <w:sz w:val="12"/>
                <w:szCs w:val="12"/>
                <w:color w:val="auto"/>
              </w:rPr>
            </w:pPr>
          </w:p>
        </w:tc>
      </w:tr>
      <w:tr>
        <w:trPr>
          <w:trHeight w:val="148"/>
        </w:trPr>
        <w:tc>
          <w:tcPr>
            <w:tcW w:w="7940" w:type="dxa"/>
            <w:vAlign w:val="bottom"/>
            <w:shd w:val="clear" w:color="auto" w:fill="CCEC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59,015</w:t>
            </w:r>
          </w:p>
        </w:tc>
        <w:tc>
          <w:tcPr>
            <w:tcW w:w="28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6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(2,560)</w:t>
            </w:r>
          </w:p>
        </w:tc>
      </w:tr>
      <w:tr>
        <w:trPr>
          <w:trHeight w:val="148"/>
        </w:trPr>
        <w:tc>
          <w:tcPr>
            <w:tcW w:w="7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(57,052)</w:t>
            </w:r>
          </w:p>
        </w:tc>
        <w:tc>
          <w:tcPr>
            <w:tcW w:w="9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2,361</w:t>
            </w:r>
          </w:p>
        </w:tc>
        <w:tc>
          <w:tcPr>
            <w:tcW w:w="100" w:type="dxa"/>
            <w:vAlign w:val="bottom"/>
          </w:tcPr>
          <w:p>
            <w:pPr>
              <w:spacing w:after="0"/>
              <w:rPr>
                <w:sz w:val="12"/>
                <w:szCs w:val="12"/>
                <w:color w:val="auto"/>
              </w:rPr>
            </w:pPr>
          </w:p>
        </w:tc>
      </w:tr>
      <w:tr>
        <w:trPr>
          <w:trHeight w:val="148"/>
        </w:trPr>
        <w:tc>
          <w:tcPr>
            <w:tcW w:w="7940" w:type="dxa"/>
            <w:vAlign w:val="bottom"/>
            <w:shd w:val="clear" w:color="auto" w:fill="CCEC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change in provision for taxes on realized gain (loss) on investments</w:t>
            </w:r>
          </w:p>
        </w:tc>
        <w:tc>
          <w:tcPr>
            <w:tcW w:w="9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60" w:type="dxa"/>
            <w:vAlign w:val="bottom"/>
            <w:shd w:val="clear" w:color="auto" w:fill="CCECFF"/>
          </w:tcPr>
          <w:p>
            <w:pPr>
              <w:spacing w:after="0"/>
              <w:rPr>
                <w:sz w:val="12"/>
                <w:szCs w:val="12"/>
                <w:color w:val="auto"/>
              </w:rPr>
            </w:pPr>
          </w:p>
        </w:tc>
        <w:tc>
          <w:tcPr>
            <w:tcW w:w="60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change in provision for taxes on change in unrealized appreciation (depreciation) on investments</w:t>
            </w:r>
          </w:p>
        </w:tc>
        <w:tc>
          <w:tcPr>
            <w:tcW w:w="92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8"/>
        </w:trPr>
        <w:tc>
          <w:tcPr>
            <w:tcW w:w="7940" w:type="dxa"/>
            <w:vAlign w:val="bottom"/>
            <w:tcBorders>
              <w:bottom w:val="single" w:sz="8" w:color="CCECFF"/>
            </w:tcBorders>
            <w:shd w:val="clear" w:color="auto" w:fill="CCEC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92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79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8,955</w:t>
            </w:r>
          </w:p>
        </w:tc>
        <w:tc>
          <w:tcPr>
            <w:tcW w:w="2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16,084</w:t>
            </w:r>
          </w:p>
        </w:tc>
        <w:tc>
          <w:tcPr>
            <w:tcW w:w="100" w:type="dxa"/>
            <w:vAlign w:val="bottom"/>
          </w:tcPr>
          <w:p>
            <w:pPr>
              <w:spacing w:after="0"/>
              <w:rPr>
                <w:sz w:val="12"/>
                <w:szCs w:val="12"/>
                <w:color w:val="auto"/>
              </w:rPr>
            </w:pPr>
          </w:p>
        </w:tc>
      </w:tr>
      <w:tr>
        <w:trPr>
          <w:trHeight w:val="142"/>
        </w:trPr>
        <w:tc>
          <w:tcPr>
            <w:tcW w:w="79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9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7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Distribution of net investment income</w:t>
            </w:r>
          </w:p>
        </w:tc>
        <w:tc>
          <w:tcPr>
            <w:tcW w:w="9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(15,671)</w:t>
            </w:r>
          </w:p>
        </w:tc>
      </w:tr>
      <w:tr>
        <w:trPr>
          <w:trHeight w:val="20"/>
        </w:trPr>
        <w:tc>
          <w:tcPr>
            <w:tcW w:w="7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940" w:type="dxa"/>
            <w:vAlign w:val="bottom"/>
            <w:shd w:val="clear" w:color="auto" w:fill="CCECFF"/>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92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(15,671)</w:t>
            </w:r>
          </w:p>
        </w:tc>
        <w:tc>
          <w:tcPr>
            <w:tcW w:w="960" w:type="dxa"/>
            <w:vAlign w:val="bottom"/>
            <w:shd w:val="clear" w:color="auto" w:fill="CCECFF"/>
          </w:tcPr>
          <w:p>
            <w:pPr>
              <w:spacing w:after="0"/>
              <w:rPr>
                <w:sz w:val="12"/>
                <w:szCs w:val="12"/>
                <w:color w:val="auto"/>
              </w:rPr>
            </w:pPr>
          </w:p>
        </w:tc>
        <w:tc>
          <w:tcPr>
            <w:tcW w:w="60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(15,671)</w:t>
            </w:r>
          </w:p>
        </w:tc>
      </w:tr>
      <w:tr>
        <w:trPr>
          <w:trHeight w:val="20"/>
        </w:trPr>
        <w:tc>
          <w:tcPr>
            <w:tcW w:w="7940" w:type="dxa"/>
            <w:vAlign w:val="bottom"/>
            <w:shd w:val="clear" w:color="auto" w:fill="CCEC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42"/>
        </w:trPr>
        <w:tc>
          <w:tcPr>
            <w:tcW w:w="7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92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(6,716)</w:t>
            </w:r>
          </w:p>
        </w:tc>
        <w:tc>
          <w:tcPr>
            <w:tcW w:w="9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2"/>
                <w:szCs w:val="12"/>
                <w:color w:val="auto"/>
              </w:rPr>
            </w:pPr>
          </w:p>
        </w:tc>
      </w:tr>
      <w:tr>
        <w:trPr>
          <w:trHeight w:val="142"/>
        </w:trPr>
        <w:tc>
          <w:tcPr>
            <w:tcW w:w="79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9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60" w:type="dxa"/>
            <w:vAlign w:val="bottom"/>
            <w:tcBorders>
              <w:top w:val="single" w:sz="8" w:color="auto"/>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79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Beginning of period</w:t>
            </w: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463,950</w:t>
            </w:r>
          </w:p>
        </w:tc>
        <w:tc>
          <w:tcPr>
            <w:tcW w:w="2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493,908</w:t>
            </w:r>
          </w:p>
        </w:tc>
        <w:tc>
          <w:tcPr>
            <w:tcW w:w="100" w:type="dxa"/>
            <w:vAlign w:val="bottom"/>
          </w:tcPr>
          <w:p>
            <w:pPr>
              <w:spacing w:after="0"/>
              <w:rPr>
                <w:sz w:val="12"/>
                <w:szCs w:val="12"/>
                <w:color w:val="auto"/>
              </w:rPr>
            </w:pPr>
          </w:p>
        </w:tc>
      </w:tr>
      <w:tr>
        <w:trPr>
          <w:trHeight w:val="182"/>
        </w:trPr>
        <w:tc>
          <w:tcPr>
            <w:tcW w:w="7940" w:type="dxa"/>
            <w:vAlign w:val="bottom"/>
            <w:tcBorders>
              <w:bottom w:val="single" w:sz="8" w:color="CCECFF"/>
            </w:tcBorders>
            <w:shd w:val="clear" w:color="auto" w:fill="CCECFF"/>
          </w:tcPr>
          <w:p>
            <w:pPr>
              <w:ind w:left="160"/>
              <w:spacing w:after="0" w:line="142" w:lineRule="exact"/>
              <w:rPr>
                <w:sz w:val="20"/>
                <w:szCs w:val="20"/>
                <w:color w:val="auto"/>
              </w:rPr>
            </w:pPr>
            <w:r>
              <w:rPr>
                <w:rFonts w:ascii="Times New Roman" w:cs="Times New Roman" w:eastAsia="Times New Roman" w:hAnsi="Times New Roman"/>
                <w:sz w:val="14"/>
                <w:szCs w:val="14"/>
                <w:color w:val="auto"/>
              </w:rPr>
              <w:t>End of period</w:t>
            </w:r>
          </w:p>
        </w:tc>
        <w:tc>
          <w:tcPr>
            <w:tcW w:w="920" w:type="dxa"/>
            <w:vAlign w:val="bottom"/>
            <w:tcBorders>
              <w:bottom w:val="single" w:sz="8" w:color="auto"/>
            </w:tcBorders>
            <w:shd w:val="clear" w:color="auto" w:fill="CCECFF"/>
          </w:tcPr>
          <w:p>
            <w:pPr>
              <w:jc w:val="right"/>
              <w:ind w:right="7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457,234</w:t>
            </w:r>
          </w:p>
        </w:tc>
        <w:tc>
          <w:tcPr>
            <w:tcW w:w="280" w:type="dxa"/>
            <w:vAlign w:val="bottom"/>
            <w:tcBorders>
              <w:bottom w:val="single" w:sz="8" w:color="CCECFF"/>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ind w:right="83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494,321</w:t>
            </w:r>
          </w:p>
        </w:tc>
        <w:tc>
          <w:tcPr>
            <w:tcW w:w="100" w:type="dxa"/>
            <w:vAlign w:val="bottom"/>
            <w:tcBorders>
              <w:bottom w:val="single" w:sz="8" w:color="CCECFF"/>
            </w:tcBorders>
            <w:shd w:val="clear" w:color="auto" w:fill="CCEC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-830580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FFFFFF"/>
        </w:rPr>
        <w:t>ou</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s</w:t>
      </w:r>
      <w:r>
        <w:rPr>
          <w:rFonts w:ascii="Arial" w:cs="Arial" w:eastAsia="Arial" w:hAnsi="Arial"/>
          <w:sz w:val="18"/>
          <w:szCs w:val="18"/>
          <w:color w:val="FFFFFF"/>
        </w:rPr>
        <w:t>ands, except share data)</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40" w:type="dxa"/>
            <w:vAlign w:val="bottom"/>
          </w:tcPr>
          <w:p>
            <w:pPr>
              <w:spacing w:after="0"/>
              <w:rPr>
                <w:sz w:val="15"/>
                <w:szCs w:val="15"/>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4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940" w:type="dxa"/>
            <w:vAlign w:val="bottom"/>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8,955</w:t>
            </w:r>
          </w:p>
        </w:tc>
        <w:tc>
          <w:tcPr>
            <w:tcW w:w="120" w:type="dxa"/>
            <w:vAlign w:val="bottom"/>
          </w:tcPr>
          <w:p>
            <w:pPr>
              <w:spacing w:after="0"/>
              <w:rPr>
                <w:sz w:val="12"/>
                <w:szCs w:val="12"/>
                <w:color w:val="auto"/>
              </w:rPr>
            </w:pPr>
          </w:p>
        </w:tc>
        <w:tc>
          <w:tcPr>
            <w:tcW w:w="1100" w:type="dxa"/>
            <w:vAlign w:val="bottom"/>
            <w:gridSpan w:val="2"/>
          </w:tcPr>
          <w:p>
            <w:pPr>
              <w:jc w:val="right"/>
              <w:ind w:right="8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40" w:type="dxa"/>
            <w:vAlign w:val="bottom"/>
            <w:shd w:val="clear" w:color="auto" w:fill="CCECFF"/>
          </w:tcPr>
          <w:p>
            <w:pPr>
              <w:ind w:left="30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w:t>
            </w:r>
          </w:p>
        </w:tc>
        <w:tc>
          <w:tcPr>
            <w:tcW w:w="9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40" w:type="dxa"/>
            <w:vAlign w:val="bottom"/>
            <w:shd w:val="clear" w:color="auto" w:fill="CCECFF"/>
          </w:tcPr>
          <w:p>
            <w:pPr>
              <w:ind w:left="400"/>
              <w:spacing w:after="0"/>
              <w:rPr>
                <w:sz w:val="20"/>
                <w:szCs w:val="20"/>
                <w:color w:val="auto"/>
              </w:rPr>
            </w:pPr>
            <w:r>
              <w:rPr>
                <w:rFonts w:ascii="Times New Roman" w:cs="Times New Roman" w:eastAsia="Times New Roman" w:hAnsi="Times New Roman"/>
                <w:sz w:val="14"/>
                <w:szCs w:val="14"/>
                <w:color w:val="auto"/>
              </w:rPr>
              <w:t>operations to net cash provided by (used in) operating activities:</w:t>
            </w:r>
          </w:p>
        </w:tc>
        <w:tc>
          <w:tcPr>
            <w:tcW w:w="9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change in net unrealized (appreciation) depreciation on investments</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(2,361)</w:t>
            </w:r>
          </w:p>
        </w:tc>
        <w:tc>
          <w:tcPr>
            <w:tcW w:w="0" w:type="dxa"/>
            <w:vAlign w:val="bottom"/>
          </w:tcPr>
          <w:p>
            <w:pPr>
              <w:spacing w:after="0"/>
              <w:rPr>
                <w:sz w:val="1"/>
                <w:szCs w:val="1"/>
                <w:color w:val="auto"/>
              </w:rPr>
            </w:pPr>
          </w:p>
        </w:tc>
      </w:tr>
      <w:tr>
        <w:trPr>
          <w:trHeight w:val="149"/>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realized (gain) loss on investments</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(59,015)</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(324,700)</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(394,229)</w:t>
            </w: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Payment-in-kind income</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r>
        <w:trPr>
          <w:trHeight w:val="149"/>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Proceeds from dispositions of investments</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397,951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94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(Increase) or Decrease in:</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94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Receivables from investments sold</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(18,916)</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(47,230)</w:t>
            </w:r>
          </w:p>
        </w:tc>
        <w:tc>
          <w:tcPr>
            <w:tcW w:w="0" w:type="dxa"/>
            <w:vAlign w:val="bottom"/>
          </w:tcPr>
          <w:p>
            <w:pPr>
              <w:spacing w:after="0"/>
              <w:rPr>
                <w:sz w:val="1"/>
                <w:szCs w:val="1"/>
                <w:color w:val="auto"/>
              </w:rPr>
            </w:pPr>
          </w:p>
        </w:tc>
      </w:tr>
      <w:tr>
        <w:trPr>
          <w:trHeight w:val="149"/>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Distribution receivable</w:t>
            </w:r>
          </w:p>
        </w:tc>
        <w:tc>
          <w:tcPr>
            <w:tcW w:w="94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Due from affiliate</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94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Increase or (Decrease) in:</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Due to affiliates</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78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Payable for investments purchased</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Interest payable on debt</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(3,295)</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148"/>
        </w:trPr>
        <w:tc>
          <w:tcPr>
            <w:tcW w:w="78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Base management fee payable, net</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720"/>
              <w:spacing w:after="0" w:line="149" w:lineRule="exact"/>
              <w:rPr>
                <w:sz w:val="20"/>
                <w:szCs w:val="20"/>
                <w:color w:val="auto"/>
              </w:rPr>
            </w:pPr>
            <w:r>
              <w:rPr>
                <w:rFonts w:ascii="Times New Roman" w:cs="Times New Roman" w:eastAsia="Times New Roman" w:hAnsi="Times New Roman"/>
                <w:sz w:val="14"/>
                <w:szCs w:val="14"/>
                <w:color w:val="auto"/>
              </w:rPr>
              <w:t>Incentive fee payable</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(2,086)</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48"/>
        </w:trPr>
        <w:tc>
          <w:tcPr>
            <w:tcW w:w="78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Borders>
              <w:bottom w:val="single" w:sz="8" w:color="CCECFF"/>
            </w:tcBorders>
            <w:shd w:val="clear" w:color="auto" w:fill="CCECFF"/>
          </w:tcPr>
          <w:p>
            <w:pPr>
              <w:ind w:left="86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4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134,543</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18,745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Distributions paid to stockholders</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(10,447)</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(15,671)</w:t>
            </w:r>
          </w:p>
        </w:tc>
        <w:tc>
          <w:tcPr>
            <w:tcW w:w="0" w:type="dxa"/>
            <w:vAlign w:val="bottom"/>
          </w:tcPr>
          <w:p>
            <w:pPr>
              <w:spacing w:after="0"/>
              <w:rPr>
                <w:sz w:val="1"/>
                <w:szCs w:val="1"/>
                <w:color w:val="auto"/>
              </w:rPr>
            </w:pPr>
          </w:p>
        </w:tc>
      </w:tr>
      <w:tr>
        <w:trPr>
          <w:trHeight w:val="148"/>
        </w:trPr>
        <w:tc>
          <w:tcPr>
            <w:tcW w:w="78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Borrowings under Truist Credit Facility</w:t>
            </w:r>
          </w:p>
        </w:tc>
        <w:tc>
          <w:tcPr>
            <w:tcW w:w="9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shd w:val="clear" w:color="auto" w:fill="CCECFF"/>
          </w:tcPr>
          <w:p>
            <w:pPr>
              <w:ind w:left="580"/>
              <w:spacing w:after="0" w:line="149" w:lineRule="exact"/>
              <w:rPr>
                <w:sz w:val="20"/>
                <w:szCs w:val="20"/>
                <w:color w:val="auto"/>
              </w:rPr>
            </w:pPr>
            <w:r>
              <w:rPr>
                <w:rFonts w:ascii="Times New Roman" w:cs="Times New Roman" w:eastAsia="Times New Roman" w:hAnsi="Times New Roman"/>
                <w:sz w:val="14"/>
                <w:szCs w:val="14"/>
                <w:color w:val="auto"/>
              </w:rPr>
              <w:t>Repayments under Truist Credit Facility</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(160,000)</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0" w:type="dxa"/>
            <w:vAlign w:val="bottom"/>
          </w:tcPr>
          <w:p>
            <w:pPr>
              <w:spacing w:after="0"/>
              <w:rPr>
                <w:sz w:val="1"/>
                <w:szCs w:val="1"/>
                <w:color w:val="auto"/>
              </w:rPr>
            </w:pPr>
          </w:p>
        </w:tc>
      </w:tr>
      <w:tr>
        <w:trPr>
          <w:trHeight w:val="20"/>
        </w:trPr>
        <w:tc>
          <w:tcPr>
            <w:tcW w:w="7840" w:type="dxa"/>
            <w:vAlign w:val="bottom"/>
            <w:shd w:val="clear" w:color="auto" w:fill="CCEC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(140,447)</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(12,671)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4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(5,904)</w:t>
            </w:r>
          </w:p>
        </w:tc>
        <w:tc>
          <w:tcPr>
            <w:tcW w:w="1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9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8"/>
        </w:trPr>
        <w:tc>
          <w:tcPr>
            <w:tcW w:w="7840" w:type="dxa"/>
            <w:vAlign w:val="bottom"/>
            <w:tcBorders>
              <w:bottom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4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51,783</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49,861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40" w:type="dxa"/>
            <w:vAlign w:val="bottom"/>
            <w:tcBorders>
              <w:bottom w:val="single" w:sz="8" w:color="auto"/>
            </w:tcBorders>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45,860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40" w:type="dxa"/>
            <w:vAlign w:val="bottom"/>
            <w:shd w:val="clear" w:color="auto" w:fill="CCEC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9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Interest paid</w:t>
            </w:r>
          </w:p>
        </w:tc>
        <w:tc>
          <w:tcPr>
            <w:tcW w:w="940" w:type="dxa"/>
            <w:vAlign w:val="bottom"/>
            <w:tcBorders>
              <w:bottom w:val="single" w:sz="8" w:color="auto"/>
            </w:tcBorders>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14,858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40" w:type="dxa"/>
            <w:vAlign w:val="bottom"/>
            <w:tcBorders>
              <w:bottom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Taxes paid</w:t>
            </w:r>
          </w:p>
        </w:tc>
        <w:tc>
          <w:tcPr>
            <w:tcW w:w="940" w:type="dxa"/>
            <w:vAlign w:val="bottom"/>
            <w:tcBorders>
              <w:bottom w:val="single" w:sz="8" w:color="auto"/>
            </w:tcBorders>
            <w:shd w:val="clear" w:color="auto" w:fill="CCECFF"/>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940" w:type="dxa"/>
            <w:vAlign w:val="bottom"/>
            <w:tcBorders>
              <w:bottom w:val="single" w:sz="8" w:color="auto"/>
            </w:tcBorders>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40" w:type="dxa"/>
            <w:vAlign w:val="bottom"/>
            <w:tcBorders>
              <w:bottom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Non-cash purchases and disposition of investments</w:t>
            </w:r>
          </w:p>
        </w:tc>
        <w:tc>
          <w:tcPr>
            <w:tcW w:w="940" w:type="dxa"/>
            <w:vAlign w:val="bottom"/>
            <w:tcBorders>
              <w:bottom w:val="single" w:sz="8" w:color="auto"/>
            </w:tcBorders>
            <w:shd w:val="clear" w:color="auto" w:fill="CCECFF"/>
          </w:tcPr>
          <w:p>
            <w:pPr>
              <w:jc w:val="right"/>
              <w:ind w:right="7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CFF"/>
            </w:tcBorders>
            <w:shd w:val="clear" w:color="auto" w:fill="CCECFF"/>
          </w:tcPr>
          <w:p>
            <w:pPr>
              <w:spacing w:after="0"/>
              <w:rPr>
                <w:sz w:val="14"/>
                <w:szCs w:val="14"/>
                <w:color w:val="auto"/>
              </w:rPr>
            </w:pPr>
          </w:p>
        </w:tc>
        <w:tc>
          <w:tcPr>
            <w:tcW w:w="160" w:type="dxa"/>
            <w:vAlign w:val="bottom"/>
            <w:vMerge w:val="continue"/>
          </w:tcPr>
          <w:p>
            <w:pPr>
              <w:spacing w:after="0"/>
              <w:rPr>
                <w:sz w:val="14"/>
                <w:szCs w:val="14"/>
                <w:color w:val="auto"/>
              </w:rPr>
            </w:pPr>
          </w:p>
        </w:tc>
        <w:tc>
          <w:tcPr>
            <w:tcW w:w="940" w:type="dxa"/>
            <w:vAlign w:val="bottom"/>
            <w:tcBorders>
              <w:bottom w:val="single" w:sz="8" w:color="auto"/>
            </w:tcBorders>
            <w:shd w:val="clear" w:color="auto" w:fill="CCEC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26,250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-1482090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-1096645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-702310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-264795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-248285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 w:name="page8"/>
    <w:bookmarkEnd w:id="7"/>
    <w:p>
      <w:pPr>
        <w:ind w:left="3400"/>
        <w:spacing w:after="0"/>
        <w:rPr>
          <w:sz w:val="20"/>
          <w:szCs w:val="20"/>
          <w:color w:val="auto"/>
        </w:rPr>
      </w:pPr>
      <w:r>
        <w:rPr>
          <w:rFonts w:ascii="Times New Roman" w:cs="Times New Roman" w:eastAsia="Times New Roman" w:hAnsi="Times New Roman"/>
          <w:sz w:val="14"/>
          <w:szCs w:val="14"/>
          <w:color w:val="auto"/>
        </w:rPr>
        <w:t>PENNANTPARK INVESTMENT CORPORATION AND SUBSIDIARIES</w:t>
      </w:r>
    </w:p>
    <w:p>
      <w:pPr>
        <w:ind w:left="3680"/>
        <w:spacing w:after="0" w:line="226" w:lineRule="auto"/>
        <w:rPr>
          <w:sz w:val="20"/>
          <w:szCs w:val="20"/>
          <w:color w:val="auto"/>
        </w:rPr>
      </w:pPr>
      <w:r>
        <w:rPr>
          <w:rFonts w:ascii="Times New Roman" w:cs="Times New Roman" w:eastAsia="Times New Roman" w:hAnsi="Times New Roman"/>
          <w:sz w:val="14"/>
          <w:szCs w:val="14"/>
          <w:color w:val="auto"/>
        </w:rPr>
        <w:t>CONSOLIDATED SCHEDULE OF INVESTMENTS (Unaudited)</w:t>
      </w:r>
    </w:p>
    <w:p>
      <w:pPr>
        <w:jc w:val="center"/>
        <w:spacing w:after="0" w:line="222" w:lineRule="auto"/>
        <w:rPr>
          <w:sz w:val="20"/>
          <w:szCs w:val="20"/>
          <w:color w:val="auto"/>
        </w:rPr>
      </w:pPr>
      <w:r>
        <w:rPr>
          <w:rFonts w:ascii="Times New Roman" w:cs="Times New Roman" w:eastAsia="Times New Roman" w:hAnsi="Times New Roman"/>
          <w:sz w:val="14"/>
          <w:szCs w:val="14"/>
          <w:color w:val="auto"/>
        </w:rPr>
        <w:t>December 31, 2025</w:t>
      </w: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r>
        <w:rPr>
          <w:rFonts w:ascii="Times New Roman" w:cs="Times New Roman" w:eastAsia="Times New Roman" w:hAnsi="Times New Roman"/>
          <w:sz w:val="14"/>
          <w:szCs w:val="14"/>
          <w:color w:val="FFFFFF"/>
        </w:rPr>
        <w:t>th</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r>
      <w:tr>
        <w:trPr>
          <w:trHeight w:val="97"/>
        </w:trPr>
        <w:tc>
          <w:tcPr>
            <w:tcW w:w="3360" w:type="dxa"/>
            <w:vAlign w:val="bottom"/>
            <w:tcBorders>
              <w:top w:val="single" w:sz="8" w:color="auto"/>
            </w:tcBorders>
            <w:shd w:val="clear" w:color="auto" w:fill="CCECFF"/>
          </w:tcPr>
          <w:p>
            <w:pPr>
              <w:spacing w:after="0" w:line="97" w:lineRule="exact"/>
              <w:rPr>
                <w:sz w:val="20"/>
                <w:szCs w:val="20"/>
                <w:color w:val="auto"/>
              </w:rPr>
            </w:pPr>
            <w:r>
              <w:rPr>
                <w:rFonts w:ascii="Times New Roman" w:cs="Times New Roman" w:eastAsia="Times New Roman" w:hAnsi="Times New Roman"/>
                <w:sz w:val="11"/>
                <w:szCs w:val="11"/>
                <w:color w:val="auto"/>
              </w:rPr>
              <w:t>Investments in Non-Controlled, Non-Affiliated Portfolio Companies -</w:t>
            </w:r>
          </w:p>
        </w:tc>
        <w:tc>
          <w:tcPr>
            <w:tcW w:w="140" w:type="dxa"/>
            <w:vAlign w:val="bottom"/>
            <w:shd w:val="clear" w:color="auto" w:fill="CCECFF"/>
          </w:tcPr>
          <w:p>
            <w:pPr>
              <w:spacing w:after="0"/>
              <w:rPr>
                <w:sz w:val="8"/>
                <w:szCs w:val="8"/>
                <w:color w:val="auto"/>
              </w:rPr>
            </w:pPr>
          </w:p>
        </w:tc>
        <w:tc>
          <w:tcPr>
            <w:tcW w:w="620" w:type="dxa"/>
            <w:vAlign w:val="bottom"/>
            <w:tcBorders>
              <w:top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20" w:type="dxa"/>
            <w:vAlign w:val="bottom"/>
            <w:tcBorders>
              <w:top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80" w:type="dxa"/>
            <w:vAlign w:val="bottom"/>
            <w:tcBorders>
              <w:top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60" w:type="dxa"/>
            <w:vAlign w:val="bottom"/>
            <w:tcBorders>
              <w:top w:val="single" w:sz="8" w:color="auto"/>
            </w:tcBorders>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72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6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tcBorders>
              <w:top w:val="single" w:sz="8" w:color="auto"/>
            </w:tcBorders>
            <w:shd w:val="clear" w:color="auto" w:fill="CCECFF"/>
          </w:tcPr>
          <w:p>
            <w:pPr>
              <w:spacing w:after="0"/>
              <w:rPr>
                <w:sz w:val="8"/>
                <w:szCs w:val="8"/>
                <w:color w:val="auto"/>
              </w:rPr>
            </w:pPr>
          </w:p>
        </w:tc>
        <w:tc>
          <w:tcPr>
            <w:tcW w:w="50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0" w:type="dxa"/>
            <w:vAlign w:val="bottom"/>
            <w:tcBorders>
              <w:top w:val="single" w:sz="8" w:color="auto"/>
            </w:tcBorders>
            <w:shd w:val="clear" w:color="auto" w:fill="CCECFF"/>
          </w:tcPr>
          <w:p>
            <w:pPr>
              <w:spacing w:after="0"/>
              <w:rPr>
                <w:sz w:val="8"/>
                <w:szCs w:val="8"/>
                <w:color w:val="auto"/>
              </w:rPr>
            </w:pPr>
          </w:p>
        </w:tc>
        <w:tc>
          <w:tcPr>
            <w:tcW w:w="76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r>
      <w:tr>
        <w:trPr>
          <w:trHeight w:val="140"/>
        </w:trPr>
        <w:tc>
          <w:tcPr>
            <w:tcW w:w="3360" w:type="dxa"/>
            <w:vAlign w:val="bottom"/>
            <w:shd w:val="clear" w:color="auto" w:fill="CCECFF"/>
          </w:tcPr>
          <w:p>
            <w:pPr>
              <w:spacing w:after="0" w:line="140" w:lineRule="exact"/>
              <w:rPr>
                <w:sz w:val="20"/>
                <w:szCs w:val="20"/>
                <w:color w:val="auto"/>
              </w:rPr>
            </w:pPr>
            <w:r>
              <w:rPr>
                <w:rFonts w:ascii="Times New Roman" w:cs="Times New Roman" w:eastAsia="Times New Roman" w:hAnsi="Times New Roman"/>
                <w:sz w:val="16"/>
                <w:szCs w:val="16"/>
                <w:color w:val="auto"/>
                <w:vertAlign w:val="subscript"/>
              </w:rPr>
              <w:t>186.4%</w:t>
            </w:r>
            <w:r>
              <w:rPr>
                <w:rFonts w:ascii="Times New Roman" w:cs="Times New Roman" w:eastAsia="Times New Roman" w:hAnsi="Times New Roman"/>
                <w:sz w:val="6"/>
                <w:szCs w:val="6"/>
                <w:color w:val="auto"/>
              </w:rPr>
              <w:t xml:space="preserve"> (1), (2)</w:t>
            </w: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- 93.9%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Avenu Buyer,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04/21/2027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3,479</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Avenu Buyer,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10/02/2029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2,436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w:t>
            </w: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Falcon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07/26/2023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2,533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05/04/2021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05/07/2026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9.93%</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SOFR+626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Ad.net Acquisition,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05/04/2021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05/07/2026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Adweek Purchaser,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05/31/2027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10.67%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SOFR+700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2,078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Adweek Purchaser,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05/31/2027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Aechelon Technology,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AFC Dell Holding Corp.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12/12/2023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04/09/2027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214</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Dell Holding Corp.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12/12/2023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04/09/2027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Dell Holding Corp.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12/12/2023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10/09/2028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LLC (f/k/a MeritDirect,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05/21/2019</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06/30/2026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Aphix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07/17/2025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07/17/2031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8.48%</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6,129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6,091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6,129</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Aphix Buyer,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07/17/2025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07/16/2027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9,172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Aphix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07/17/2025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07/17/2031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2,389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OPCO,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09/29/2025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OPCO,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09/29/2025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w:t>
            </w: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Arcfield Acquisition Corp.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10/28/2024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10/28/2031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Archer Lewis,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08/28/2029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Archer Lewis,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08/28/2026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Archer Lewis,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08/28/2029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9.23%</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7,357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7,501</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Argano,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Azureon,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06/26/2029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11,811</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Azureon,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11/26/2027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6,067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(197)</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Azureon,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06/26/2029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465</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Azureon,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06/26/2029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(48)</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Beacon Behavioral Support Service,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06/21/2029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883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Beacon Behavioral Support Service,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12/13/2026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2,945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CFF"/>
          </w:tcPr>
          <w:p>
            <w:pPr>
              <w:spacing w:after="0"/>
              <w:rPr>
                <w:sz w:val="10"/>
                <w:szCs w:val="10"/>
                <w:color w:val="auto"/>
              </w:rPr>
            </w:pPr>
          </w:p>
        </w:tc>
      </w:tr>
      <w:tr>
        <w:trPr>
          <w:trHeight w:val="103"/>
        </w:trPr>
        <w:tc>
          <w:tcPr>
            <w:tcW w:w="33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Beacon Behavioral Support Service, LLC - Unfunded Term Loan - 3rd</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0"/>
        </w:trPr>
        <w:tc>
          <w:tcPr>
            <w:tcW w:w="3360" w:type="dxa"/>
            <w:vAlign w:val="bottom"/>
          </w:tcPr>
          <w:p>
            <w:pPr>
              <w:spacing w:after="0" w:line="140" w:lineRule="exact"/>
              <w:rPr>
                <w:sz w:val="20"/>
                <w:szCs w:val="20"/>
                <w:color w:val="auto"/>
              </w:rPr>
            </w:pPr>
            <w:r>
              <w:rPr>
                <w:rFonts w:ascii="Times New Roman" w:cs="Times New Roman" w:eastAsia="Times New Roman" w:hAnsi="Times New Roman"/>
                <w:sz w:val="11"/>
                <w:szCs w:val="11"/>
                <w:color w:val="auto"/>
              </w:rPr>
              <w:t xml:space="preserve">Amendment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06/21/2024</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06/21/2027</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2"/>
                <w:szCs w:val="12"/>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Beacon Behavioral Support Service,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Berwick Industrial Park</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04/26/2022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05/02/2026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3,980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Best Practice Associates,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11/07/2024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11/08/2029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1,929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w:t>
            </w: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06/28/2022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07/02/2029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10,488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10,510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Big Top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02/28/2030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BioDerm,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01/30/2023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01/31/2028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10.36%</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1,058</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9.07%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SOFR+540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1,239</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09/17/2026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9.07%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SOFR+540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2,380</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Blackhawk Industrial Distribution,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(49)</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11/20/2030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8.17%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2,243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2,227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2,243</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BLC Holding Company,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11/20/2026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BLC Holding Company,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11/20/2030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Blue Cloud Pediatric Surgery Centers,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08/12/2025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01/21/2031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Providers &amp;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8.72%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518</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Blue Cloud Pediatric Surgery Centers,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08/12/2025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Providers &amp;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Boss Industries,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12/27/2024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12/27/2030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07/15/2031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9.22%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2,481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2,475</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By Light Professional IT Services,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07/15/2031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Capital Construction,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06/30/2025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10/22/2026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9.89%</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SOFR+590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5,599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5,571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5,529</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11/27/2023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Term Loan 2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11/27/2023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11/27/2023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Carnegie Dartlet, LLC</w:t>
            </w:r>
          </w:p>
        </w:tc>
        <w:tc>
          <w:tcPr>
            <w:tcW w:w="14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02/07/2024</w:t>
            </w:r>
          </w:p>
        </w:tc>
        <w:tc>
          <w:tcPr>
            <w:tcW w:w="12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02/07/2030</w:t>
            </w:r>
          </w:p>
        </w:tc>
        <w:tc>
          <w:tcPr>
            <w:tcW w:w="120" w:type="dxa"/>
            <w:vAlign w:val="bottom"/>
          </w:tcPr>
          <w:p>
            <w:pPr>
              <w:spacing w:after="0"/>
              <w:rPr>
                <w:sz w:val="10"/>
                <w:szCs w:val="10"/>
                <w:color w:val="auto"/>
              </w:rPr>
            </w:pPr>
          </w:p>
        </w:tc>
        <w:tc>
          <w:tcPr>
            <w:tcW w:w="1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9.22%</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3M SOFR+550</w:t>
            </w:r>
          </w:p>
        </w:tc>
        <w:tc>
          <w:tcPr>
            <w:tcW w:w="22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2,299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Dartlet,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02/09/2026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Dartlet,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02/07/2030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3,339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06/01/2022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06/14/2028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23,209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Cartessa Aesthetics,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06/01/2022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06/14/2028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3,563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9.09%</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Case Works,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1,095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1,095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Case Works,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CF512,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08/17/2021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08/20/2026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SOFR+602</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CF512,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08/17/2021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08/20/2026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07/13/2027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CJX Borrower,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07/13/2027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07/13/2027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CJX Borrower,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07/13/2027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Cornerstone Advisors of Arizona,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05/13/2025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05/13/2032</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Consulting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Cornerstone Advisors of Arizona,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05/13/2025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05/13/2032</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Consulting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Commercial Fire Protection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09/23/2030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8.17%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Commercial Fire Protection Holdings,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09/23/2026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Commercial Fire Protection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09/23/2030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Crane 1 Services, Inc. - Unfunded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06/10/2024</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Acquisition,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11/01/2019</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DRS Holdings III,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11/01/2019</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11/01/2028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Duggal Acquisition,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Duggal Acquisition,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2,561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DX Electric Company,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Last-Out Term Loan</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10/16/2028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SOFR+576</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EDS Buyer,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Emergency Care Partners,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10/18/2024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10/18/2027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8.72%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Emergency Care Partners,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10/18/2024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10/19/2026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Emergency Care Partners,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10/18/2024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10/18/2027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ENC Parent Corporation</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8.18%</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05/24/2023</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05/29/2029</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8.72%</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ETE Intermediate II, LLC - Unfunded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05/24/2023</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05/25/2029</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Eval Home Health Solutions Intermediate,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05/10/2024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05/10/2030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03/10/2022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03/15/2027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10.07%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SOFR+635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23,815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23,701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23,696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Exigo Intermediate II,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03/10/2022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03/15/2027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Express Wash Intermediate,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07/14/2022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04/10/2031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10.18%</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9,903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Express Wash Intermediate,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07/14/2022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04/10/2031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First Medical MSO,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9.43%</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4,658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4,613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First Medical MSO,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First Medical MSO,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Five Star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02/21/2023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02/23/2028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Entertainment</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12.98%</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SOFR+925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Five Star Buyer, Inc. - Unfunded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02/21/2023</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02/23/2028</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ETE Blocker,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05/24/2023</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05/21/2029</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12.56%</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GGG MIDCO, LLC - Unfunded Term Loan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09/27/2024</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09/27/2030</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6,272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GGG MIDCO, LLC - Unfunded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09/27/2024</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09/27/2030</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10/25/2022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9.33%</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SOFR+560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Graffiti Buyer,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10/25/2022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08/10/2027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15"/>
        </w:trPr>
        <w:tc>
          <w:tcPr>
            <w:tcW w:w="3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0"/>
                <w:szCs w:val="10"/>
                <w:color w:val="auto"/>
              </w:rPr>
              <w:t xml:space="preserve">Graffiti Buyer, Inc. - Unfunded Revolver </w:t>
            </w:r>
            <w:r>
              <w:rPr>
                <w:rFonts w:ascii="Times New Roman" w:cs="Times New Roman" w:eastAsia="Times New Roman" w:hAnsi="Times New Roman"/>
                <w:sz w:val="13"/>
                <w:szCs w:val="13"/>
                <w:color w:val="auto"/>
                <w:vertAlign w:val="superscript"/>
              </w:rPr>
              <w:t>(7)</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10/25/2022</w:t>
            </w: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08/10/2027</w:t>
            </w:r>
          </w:p>
        </w:tc>
        <w:tc>
          <w:tcPr>
            <w:tcW w:w="120" w:type="dxa"/>
            <w:vAlign w:val="bottom"/>
          </w:tcPr>
          <w:p>
            <w:pPr>
              <w:spacing w:after="0"/>
              <w:rPr>
                <w:sz w:val="10"/>
                <w:szCs w:val="10"/>
                <w:color w:val="auto"/>
              </w:rPr>
            </w:pPr>
          </w:p>
        </w:tc>
        <w:tc>
          <w:tcPr>
            <w:tcW w:w="1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769</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Halo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07/18/2018</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08/07/2029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16,721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Halo Buyer,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07/18/2018</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08/07/2029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9.72%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Halo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07/18/2018</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08/07/2029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05/05/2022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9.32%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SOFR+560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08/09/2030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8.72%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14,123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14,002</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Term Loan B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02/09/2026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Term Loan C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08/18/2027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Harris &amp; Co,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08/09/2030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8.72%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08/09/2030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Hills Distribution,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11/02/2023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12/05/2027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(10)</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285</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 Funded Revolver </w:t>
            </w:r>
            <w:r>
              <w:rPr>
                <w:rFonts w:ascii="Times New Roman" w:cs="Times New Roman" w:eastAsia="Times New Roman" w:hAnsi="Times New Roman"/>
                <w:sz w:val="14"/>
                <w:szCs w:val="14"/>
                <w:color w:val="auto"/>
                <w:vertAlign w:val="superscript"/>
              </w:rPr>
              <w:t>(10)</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 Unfunded Revolver </w:t>
            </w:r>
            <w:r>
              <w:rPr>
                <w:rFonts w:ascii="Times New Roman" w:cs="Times New Roman" w:eastAsia="Times New Roman" w:hAnsi="Times New Roman"/>
                <w:sz w:val="14"/>
                <w:szCs w:val="14"/>
                <w:color w:val="auto"/>
                <w:vertAlign w:val="superscript"/>
              </w:rPr>
              <w:t>(7), (10)</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HW Holdco,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10/11/2019</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05/11/2026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07/11/2022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09/22/2028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IG Investments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07/11/2022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09/22/2028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Imagine Acquisitionco,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11/16/2027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Impact Advisors,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03/21/2025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03/21/2027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Impact Advisors,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03/21/2025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03/19/2032</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12/28/2028</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9.67%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8,952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8,868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jc w:val="right"/>
              <w:ind w:right="266"/>
              <w:spacing w:after="0" w:line="108" w:lineRule="exact"/>
              <w:rPr>
                <w:sz w:val="20"/>
                <w:szCs w:val="20"/>
                <w:color w:val="auto"/>
              </w:rPr>
            </w:pPr>
            <w:r>
              <w:rPr>
                <w:rFonts w:ascii="Times New Roman" w:cs="Times New Roman" w:eastAsia="Times New Roman" w:hAnsi="Times New Roman"/>
                <w:sz w:val="11"/>
                <w:szCs w:val="11"/>
                <w:color w:val="auto"/>
              </w:rPr>
              <w:t>CAD</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Infinity Home Services Holdco, Inc. (CAD)</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12/28/2028</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9.67%</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1,884</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Infinity Home Services Holdco, Inc. - 3rd Amendment Unfunded Term</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line="140" w:lineRule="exact"/>
              <w:rPr>
                <w:sz w:val="20"/>
                <w:szCs w:val="20"/>
                <w:color w:val="auto"/>
              </w:rPr>
            </w:pPr>
            <w:r>
              <w:rPr>
                <w:rFonts w:ascii="Times New Roman" w:cs="Times New Roman" w:eastAsia="Times New Roman" w:hAnsi="Times New Roman"/>
                <w:sz w:val="11"/>
                <w:szCs w:val="11"/>
                <w:color w:val="auto"/>
              </w:rPr>
              <w:t xml:space="preserve">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10/30/2026</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Infinity Home Services Holdco, Inc. - Unfunded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12/28/2028</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Inovex Information Systems Incorporated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Inovex Information Systems Incorporated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1,829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1,829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1,829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Inovex Information Systems Incorporated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Inventus Power,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03/24/2021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01/15/2026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1,729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11/10/2027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SOFR+615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3,049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11/10/2026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SOFR+615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3,070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2,494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Kinetic Purchaser,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11/10/2026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Lash OpCo, LLC</w:t>
            </w:r>
          </w:p>
        </w:tc>
        <w:tc>
          <w:tcPr>
            <w:tcW w:w="76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08/16/2021</w:t>
            </w:r>
          </w:p>
        </w:tc>
        <w:tc>
          <w:tcPr>
            <w:tcW w:w="74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02/18/2027</w:t>
            </w: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8.94%</w:t>
            </w: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SOFR+510</w:t>
            </w:r>
          </w:p>
        </w:tc>
        <w:tc>
          <w:tcPr>
            <w:tcW w:w="88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3,095</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3,081</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3,018</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5.10%)</w:t>
            </w: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Lash OpCo, LLC - Funded Revolver</w:t>
            </w:r>
          </w:p>
        </w:tc>
        <w:tc>
          <w:tcPr>
            <w:tcW w:w="76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08/16/2021</w:t>
            </w:r>
          </w:p>
        </w:tc>
        <w:tc>
          <w:tcPr>
            <w:tcW w:w="74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08/16/2026</w:t>
            </w: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8.94%</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SOFR+510</w:t>
            </w:r>
          </w:p>
        </w:tc>
        <w:tc>
          <w:tcPr>
            <w:tcW w:w="8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5.10%)</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Lash OpCo,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02/26/2020</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07/31/2029</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9.650%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SOFR+594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Incremental Term Loan</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02/26/2020</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07/31/2029</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9.650%</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SOFR+595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LAV Gear Holdings, Inc. - Unfunded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02/26/2020</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07/31/2029</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Ledge Lounger, Inc.</w:t>
            </w:r>
          </w:p>
        </w:tc>
        <w:tc>
          <w:tcPr>
            <w:tcW w:w="76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11/04/2021</w:t>
            </w:r>
          </w:p>
        </w:tc>
        <w:tc>
          <w:tcPr>
            <w:tcW w:w="74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11/09/2026</w:t>
            </w: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11.32%</w:t>
            </w: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SOFR+765</w:t>
            </w:r>
          </w:p>
        </w:tc>
        <w:tc>
          <w:tcPr>
            <w:tcW w:w="88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9,548</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9,509</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7,686</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Ledge Lounger, Inc. - Funded Revolver</w:t>
            </w:r>
          </w:p>
        </w:tc>
        <w:tc>
          <w:tcPr>
            <w:tcW w:w="76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11/04/2021</w:t>
            </w:r>
          </w:p>
        </w:tc>
        <w:tc>
          <w:tcPr>
            <w:tcW w:w="74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11/09/2026</w:t>
            </w: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11.32%</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SOFR+765</w:t>
            </w:r>
          </w:p>
        </w:tc>
        <w:tc>
          <w:tcPr>
            <w:tcW w:w="8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1,720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1,720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1,384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02/03/2020</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02/03/2027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2,006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Lightspeed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02/03/2020</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02/03/2027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01/18/2023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02/01/2030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8.29%</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LJ Avalon Holdings,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01/18/2023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02/08/2027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LJ Avalon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01/18/2023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02/01/2029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Loving Tan Intermediate II,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05/31/2028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8.67%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7,777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7,810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Loving Tan Intermediate II,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Loving Tan Intermediate II, Inc. - Unfunded Term Loan - 2nd Amendment</w:t>
            </w:r>
          </w:p>
        </w:tc>
        <w:tc>
          <w:tcPr>
            <w:tcW w:w="76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9"/>
              </w:rPr>
              <w:t>05/25/2023</w:t>
            </w:r>
          </w:p>
        </w:tc>
        <w:tc>
          <w:tcPr>
            <w:tcW w:w="740" w:type="dxa"/>
            <w:vAlign w:val="bottom"/>
            <w:gridSpan w:val="2"/>
            <w:vMerge w:val="restart"/>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8"/>
                <w:szCs w:val="8"/>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1,711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20"/>
                <w:szCs w:val="20"/>
                <w:color w:val="auto"/>
              </w:rPr>
            </w:pPr>
            <w:r>
              <w:rPr>
                <w:rFonts w:ascii="Times New Roman" w:cs="Times New Roman" w:eastAsia="Times New Roman" w:hAnsi="Times New Roman"/>
                <w:sz w:val="7"/>
                <w:szCs w:val="7"/>
                <w:color w:val="auto"/>
              </w:rPr>
              <w:t>(7)</w:t>
            </w: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Loving Tan Intermediate II, Inc.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05/31/2028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8.69%</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Loving Tan Intermediate II,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05/31/2028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12/19/2030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4,349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4,307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4,349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12/19/2030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8.99%</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692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Marketplace Events Acquisition,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12/19/2030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12"/>
                <w:szCs w:val="12"/>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MBS Holdings, Inc.</w:t>
            </w:r>
          </w:p>
        </w:tc>
        <w:tc>
          <w:tcPr>
            <w:tcW w:w="14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04/14/2021</w:t>
            </w:r>
          </w:p>
        </w:tc>
        <w:tc>
          <w:tcPr>
            <w:tcW w:w="120" w:type="dxa"/>
            <w:vAlign w:val="bottom"/>
          </w:tcPr>
          <w:p>
            <w:pPr>
              <w:spacing w:after="0"/>
              <w:rPr>
                <w:sz w:val="10"/>
                <w:szCs w:val="10"/>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04/16/2027</w:t>
            </w:r>
          </w:p>
        </w:tc>
        <w:tc>
          <w:tcPr>
            <w:tcW w:w="120" w:type="dxa"/>
            <w:vAlign w:val="bottom"/>
          </w:tcPr>
          <w:p>
            <w:pPr>
              <w:spacing w:after="0"/>
              <w:rPr>
                <w:sz w:val="10"/>
                <w:szCs w:val="10"/>
                <w:color w:val="auto"/>
              </w:rPr>
            </w:pPr>
          </w:p>
        </w:tc>
        <w:tc>
          <w:tcPr>
            <w:tcW w:w="1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0"/>
                <w:szCs w:val="10"/>
                <w:color w:val="auto"/>
              </w:rPr>
            </w:pPr>
          </w:p>
        </w:tc>
        <w:tc>
          <w:tcPr>
            <w:tcW w:w="8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3M SOFR+510</w:t>
            </w:r>
          </w:p>
        </w:tc>
        <w:tc>
          <w:tcPr>
            <w:tcW w:w="22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267</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MBS Holdings,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04/14/2021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04/16/2027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MDI Buyer,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07/19/2022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07/25/2028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10.25%</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SOFR+350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MDI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07/19/2022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07/25/2028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12/09/2021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9.32%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SOFR+565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1,898</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12/09/2021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9.32%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SOFR+565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Meadowlark Acquirer, LLC-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12/09/2021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Medina Health,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10/16/2023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10/20/2028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Megawatt Acquisitionco,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MES Intermediate,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8.62%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2,327</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MES Intermediate,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11.50%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MES Intermediate,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Mineola 212,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06/24/2024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01/31/2026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14.00%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3,503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3,528</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MOREGroup Holdings,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01/09/2024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01/16/2026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MOREGroup Holdings,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01/09/2024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01/16/2030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NBH Group,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08/19/2026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NORA Acquisition,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08/22/2023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08/31/2029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10.02%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SOFR+635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1,182</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NORA Acquisition,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08/22/2023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08/31/2029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(45)</w:t>
            </w: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08/29/2031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14,308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14,308</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American Rail Solutions,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08/29/2027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08/29/2031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American Rail Solutions,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08/29/2031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NP Riverhead Industrial,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05/24/2024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01/31/2026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5,038</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Omnia Exterior Solutions,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1,760</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Omnia Exterior Solutions,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3,807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Omnia Exterior Solutions,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1,106</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Omnia Exterior Solutions,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w:t>
            </w:r>
          </w:p>
        </w:tc>
      </w:tr>
      <w:tr>
        <w:trPr>
          <w:trHeight w:val="108"/>
        </w:trPr>
        <w:tc>
          <w:tcPr>
            <w:tcW w:w="336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ORL Acquisition, Inc.</w:t>
            </w:r>
          </w:p>
        </w:tc>
        <w:tc>
          <w:tcPr>
            <w:tcW w:w="76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09/01/2021</w:t>
            </w:r>
          </w:p>
        </w:tc>
        <w:tc>
          <w:tcPr>
            <w:tcW w:w="74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13.07%</w:t>
            </w: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SOFR+940</w:t>
            </w:r>
          </w:p>
        </w:tc>
        <w:tc>
          <w:tcPr>
            <w:tcW w:w="88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4,530</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4,504</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3,534</w:t>
            </w:r>
          </w:p>
        </w:tc>
        <w:tc>
          <w:tcPr>
            <w:tcW w:w="100" w:type="dxa"/>
            <w:vAlign w:val="bottom"/>
            <w:shd w:val="clear" w:color="auto" w:fill="CCECFF"/>
          </w:tcPr>
          <w:p>
            <w:pPr>
              <w:spacing w:after="0"/>
              <w:rPr>
                <w:sz w:val="9"/>
                <w:szCs w:val="9"/>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7.50%)</w:t>
            </w: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ORL Acquisition,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09/01/2021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(33)</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12/11/2023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6,288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6,039</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12/11/2023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11.40%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SOFR+465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OSP Embedded Purchaser,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12/11/2023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1,330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C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(69)</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Pacific Purchaser,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10/02/2028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(33)</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PAR Excellence Holdings,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09/03/2030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8.74%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11,804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11,702</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PAR Excellence Holdings,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09/03/2030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(47)</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Paving Lessor Corp.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07/01/2027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3,291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Paving Lessor Corp.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07/01/2031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2,194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2,298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2,328</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PCS MIDCO,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03/02/2026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2,078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PCS MIDCO,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PD Tri-State Holdco,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10/14/2025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10/14/2027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PD Tri-State Holdco,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10/14/2025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10/14/2030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Peninsula Pacific Entertainment</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08/22/2032</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Gaming</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5,199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5,264</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Peninsula Pacific Entertainment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08/25/2027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Gaming</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 Funded Revolver </w:t>
            </w:r>
            <w:r>
              <w:rPr>
                <w:rFonts w:ascii="Times New Roman" w:cs="Times New Roman" w:eastAsia="Times New Roman" w:hAnsi="Times New Roman"/>
                <w:sz w:val="14"/>
                <w:szCs w:val="14"/>
                <w:color w:val="auto"/>
                <w:vertAlign w:val="superscript"/>
              </w:rPr>
              <w:t>(10)</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11/05/2021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11/09/2027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 Unfunded Revolver </w:t>
            </w:r>
            <w:r>
              <w:rPr>
                <w:rFonts w:ascii="Times New Roman" w:cs="Times New Roman" w:eastAsia="Times New Roman" w:hAnsi="Times New Roman"/>
                <w:sz w:val="14"/>
                <w:szCs w:val="14"/>
                <w:color w:val="auto"/>
                <w:vertAlign w:val="superscript"/>
              </w:rPr>
              <w:t>(7), (10)</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11/05/2021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11/09/2027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(661)</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PN Buyer,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PN Buyer, Inc.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8.17%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405</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PN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w:t>
            </w: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Podean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08/04/2031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9.66%</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4,020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3,980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3,980</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Podean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08/04/2031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w:t>
            </w: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Project Granite Buyer,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Project Granite Buyer,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12/31/2030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923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Puget Collision,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8.43%</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18,031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18,031</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Puget Collision,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24,766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Puget Collision,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605</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Puget Collision,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11/14/2022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03/29/2027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SOFR+615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765</w:t>
            </w:r>
          </w:p>
        </w:tc>
        <w:tc>
          <w:tcPr>
            <w:tcW w:w="100" w:type="dxa"/>
            <w:vAlign w:val="bottom"/>
            <w:shd w:val="clear" w:color="auto" w:fill="CCECFF"/>
          </w:tcPr>
          <w:p>
            <w:pPr>
              <w:spacing w:after="0"/>
              <w:rPr>
                <w:sz w:val="10"/>
                <w:szCs w:val="10"/>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r>
      <w:tr>
        <w:trPr>
          <w:trHeight w:val="115"/>
        </w:trPr>
        <w:tc>
          <w:tcPr>
            <w:tcW w:w="3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0"/>
                <w:szCs w:val="10"/>
                <w:color w:val="auto"/>
              </w:rPr>
              <w:t xml:space="preserve">Radius Aerospace, Inc. - Unfunded Revolver </w:t>
            </w:r>
            <w:r>
              <w:rPr>
                <w:rFonts w:ascii="Times New Roman" w:cs="Times New Roman" w:eastAsia="Times New Roman" w:hAnsi="Times New Roman"/>
                <w:sz w:val="13"/>
                <w:szCs w:val="13"/>
                <w:color w:val="auto"/>
                <w:vertAlign w:val="superscript"/>
              </w:rPr>
              <w:t>(7)</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11/14/2022</w:t>
            </w: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03/29/2027</w:t>
            </w:r>
          </w:p>
        </w:tc>
        <w:tc>
          <w:tcPr>
            <w:tcW w:w="120" w:type="dxa"/>
            <w:vAlign w:val="bottom"/>
          </w:tcPr>
          <w:p>
            <w:pPr>
              <w:spacing w:after="0"/>
              <w:rPr>
                <w:sz w:val="10"/>
                <w:szCs w:val="10"/>
                <w:color w:val="auto"/>
              </w:rPr>
            </w:pPr>
          </w:p>
        </w:tc>
        <w:tc>
          <w:tcPr>
            <w:tcW w:w="1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1,448</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Rancho Health MSO,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09/27/2021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06/30/2026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Rancho Health MSO,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09/27/2021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Recteq,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01/27/2021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01/29/2026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SOFR+625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507</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Recteq,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01/27/2021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01/29/2026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Riverpoint Medical,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06/19/2019</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Ro Health,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01/16/2025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01/17/2031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Providers &amp;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8.17%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Ro Health,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01/16/2025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01/17/2031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Providers &amp;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2,935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Rosco Parent,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09/12/2031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Rosco Parent,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09/12/2031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Rosco Parent,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09/12/2025</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09/12/2031</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Route 66 Development</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01/28/2025</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01/24/2031</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Gaming</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12.72%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SOFR+900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17,659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17,910</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08/15/2029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6,819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6,608</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RRA Corporate,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(70)</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08/15/2029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1,937</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RRA Corporate,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08/15/2029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(36)</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Subsidiary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05/03/2029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(54)</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06/15/2029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9.42%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438</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Rural Sourcing Holdings,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06/15/2029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10/31/2030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Government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10,199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10,302</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Systems Technology Solutions,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10/31/2030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Government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Safe Haven Defense US,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05/23/2029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9.19%</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3,908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3,863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3,810</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Safe Haven Defense US,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05/23/2029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Safe Haven Defense US,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05/23/2029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05/29/2020</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07/07/2026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SOFR+620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Sales Benchmark Index,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05/29/2020</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07/07/2026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Sath Industries,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12/17/2029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Event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08"/>
        </w:trPr>
        <w:tc>
          <w:tcPr>
            <w:tcW w:w="336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Schlesinger Global, Inc.</w:t>
            </w:r>
          </w:p>
        </w:tc>
        <w:tc>
          <w:tcPr>
            <w:tcW w:w="76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07/02/2019</w:t>
            </w:r>
          </w:p>
        </w:tc>
        <w:tc>
          <w:tcPr>
            <w:tcW w:w="74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03/31/2027</w:t>
            </w: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SOFR+610</w:t>
            </w:r>
          </w:p>
        </w:tc>
        <w:tc>
          <w:tcPr>
            <w:tcW w:w="88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2,638</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2,632</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2,506</w:t>
            </w:r>
          </w:p>
        </w:tc>
        <w:tc>
          <w:tcPr>
            <w:tcW w:w="100" w:type="dxa"/>
            <w:vAlign w:val="bottom"/>
            <w:shd w:val="clear" w:color="auto" w:fill="CCECFF"/>
          </w:tcPr>
          <w:p>
            <w:pPr>
              <w:spacing w:after="0"/>
              <w:rPr>
                <w:sz w:val="9"/>
                <w:szCs w:val="9"/>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5.85%)</w:t>
            </w: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08"/>
        </w:trPr>
        <w:tc>
          <w:tcPr>
            <w:tcW w:w="33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Schlesinger Global, Inc. - Funded Revolver</w:t>
            </w:r>
          </w:p>
        </w:tc>
        <w:tc>
          <w:tcPr>
            <w:tcW w:w="76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07/02/2019</w:t>
            </w:r>
          </w:p>
        </w:tc>
        <w:tc>
          <w:tcPr>
            <w:tcW w:w="74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5"/>
              </w:rPr>
              <w:t>03/31/2027</w:t>
            </w: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3M SOFR+610</w:t>
            </w:r>
          </w:p>
        </w:tc>
        <w:tc>
          <w:tcPr>
            <w:tcW w:w="8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34</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9"/>
                <w:szCs w:val="9"/>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5.85%)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Schlesinger Global,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07/02/2019</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03/31/2027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NA,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2,764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2,659</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Seacoast Service Partners NA,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12/21/2026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2,615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(97)</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NA,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685</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Seacoast Service Partners NA,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(29)</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Seaway Buyer,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SOFR+615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4,603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4,435</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Seaway Buyer,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SOFR+615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2,918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2,787</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Seaway Buyer,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06/13/2028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w:t>
            </w: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Shiftkey,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06/17/2022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06/21/2027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9.68%</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SOFR+601</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16,570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16,507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15,932</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11/30/2021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10.62%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SOFR+690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11,599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11,387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11,483</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Sigma Defense Systems,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11/30/2021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Sigma Defense Systems,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11/30/2021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w:t>
            </w: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SOFR+515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383</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Spendmend Holdings,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11/25/2026</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8.82%</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SOFR+515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100" w:type="dxa"/>
            <w:vAlign w:val="bottom"/>
            <w:shd w:val="clear" w:color="auto" w:fill="CCECFF"/>
          </w:tcPr>
          <w:p>
            <w:pPr>
              <w:spacing w:after="0"/>
              <w:rPr>
                <w:sz w:val="10"/>
                <w:szCs w:val="10"/>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STG Distribution, LLC - First Out New Money Term Loans </w:t>
            </w:r>
            <w:r>
              <w:rPr>
                <w:rFonts w:ascii="Times New Roman" w:cs="Times New Roman" w:eastAsia="Times New Roman" w:hAnsi="Times New Roman"/>
                <w:sz w:val="14"/>
                <w:szCs w:val="14"/>
                <w:color w:val="auto"/>
                <w:vertAlign w:val="superscript"/>
              </w:rPr>
              <w:t>(10)</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4,157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STG Distribution, LLC - Second Out Term Loans </w:t>
            </w:r>
            <w:r>
              <w:rPr>
                <w:rFonts w:ascii="Times New Roman" w:cs="Times New Roman" w:eastAsia="Times New Roman" w:hAnsi="Times New Roman"/>
                <w:sz w:val="14"/>
                <w:szCs w:val="14"/>
                <w:color w:val="auto"/>
                <w:vertAlign w:val="superscript"/>
              </w:rPr>
              <w:t>(10)</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10/03/2029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5,654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SV-Aero Holdings, LLC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11/02/2026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10/12/2021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SOFR+475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9,465</w:t>
            </w:r>
          </w:p>
        </w:tc>
        <w:tc>
          <w:tcPr>
            <w:tcW w:w="3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9,417</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9,437</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System Planning and Analysis,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10/12/2021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06/12/2027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CFF"/>
          </w:tcPr>
          <w:p>
            <w:pPr>
              <w:spacing w:after="0"/>
              <w:rPr>
                <w:sz w:val="10"/>
                <w:szCs w:val="10"/>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10/12/2021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SOFR+375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1,747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1,741</w:t>
            </w:r>
          </w:p>
        </w:tc>
        <w:tc>
          <w:tcPr>
            <w:tcW w:w="100" w:type="dxa"/>
            <w:vAlign w:val="bottom"/>
          </w:tcPr>
          <w:p>
            <w:pPr>
              <w:spacing w:after="0"/>
              <w:rPr>
                <w:sz w:val="10"/>
                <w:szCs w:val="10"/>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System Planning and Analysis, Inc.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10/12/2021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2,969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w:t>
            </w: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01/23/2024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10.17%</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8,843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8,738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8,710</w:t>
            </w:r>
          </w:p>
        </w:tc>
        <w:tc>
          <w:tcPr>
            <w:tcW w:w="100" w:type="dxa"/>
            <w:vAlign w:val="bottom"/>
          </w:tcPr>
          <w:p>
            <w:pPr>
              <w:spacing w:after="0"/>
              <w:rPr>
                <w:sz w:val="10"/>
                <w:szCs w:val="10"/>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01/23/2024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01/23/2029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816</w:t>
            </w:r>
          </w:p>
        </w:tc>
        <w:tc>
          <w:tcPr>
            <w:tcW w:w="100" w:type="dxa"/>
            <w:vAlign w:val="bottom"/>
            <w:shd w:val="clear" w:color="auto" w:fill="CCECFF"/>
          </w:tcPr>
          <w:p>
            <w:pPr>
              <w:spacing w:after="0"/>
              <w:rPr>
                <w:sz w:val="10"/>
                <w:szCs w:val="10"/>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(3)</w:t>
            </w:r>
          </w:p>
        </w:tc>
        <w:tc>
          <w:tcPr>
            <w:tcW w:w="0" w:type="dxa"/>
            <w:vAlign w:val="bottom"/>
          </w:tcPr>
          <w:p>
            <w:pPr>
              <w:spacing w:after="0"/>
              <w:rPr>
                <w:sz w:val="1"/>
                <w:szCs w:val="1"/>
                <w:color w:val="auto"/>
              </w:rPr>
            </w:pPr>
          </w:p>
        </w:tc>
      </w:tr>
      <w:tr>
        <w:trPr>
          <w:trHeight w:val="115"/>
        </w:trPr>
        <w:tc>
          <w:tcPr>
            <w:tcW w:w="3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0"/>
                <w:szCs w:val="10"/>
                <w:color w:val="auto"/>
              </w:rPr>
              <w:t xml:space="preserve">TCG 3.0 Jogger Acquisitionco, Inc. - Unfunded Revolver </w:t>
            </w:r>
            <w:r>
              <w:rPr>
                <w:rFonts w:ascii="Times New Roman" w:cs="Times New Roman" w:eastAsia="Times New Roman" w:hAnsi="Times New Roman"/>
                <w:sz w:val="13"/>
                <w:szCs w:val="13"/>
                <w:color w:val="auto"/>
                <w:vertAlign w:val="superscript"/>
              </w:rPr>
              <w:t>(7)</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01/23/2024</w:t>
            </w:r>
          </w:p>
        </w:tc>
        <w:tc>
          <w:tcPr>
            <w:tcW w:w="1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01/23/2029</w:t>
            </w:r>
          </w:p>
        </w:tc>
        <w:tc>
          <w:tcPr>
            <w:tcW w:w="120" w:type="dxa"/>
            <w:vAlign w:val="bottom"/>
          </w:tcPr>
          <w:p>
            <w:pPr>
              <w:spacing w:after="0"/>
              <w:rPr>
                <w:sz w:val="10"/>
                <w:szCs w:val="10"/>
                <w:color w:val="auto"/>
              </w:rPr>
            </w:pPr>
          </w:p>
        </w:tc>
        <w:tc>
          <w:tcPr>
            <w:tcW w:w="1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897</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The Bluebird Group,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07/22/2021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07/28/2026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734</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08/31/2028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6,622</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6,577</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 - Funded Revolver</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08/31/2028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8.87%</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SOFR+510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The Vertex Companies,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08/31/2028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2,778</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08"/>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TMII Enterprises, LLC - Unfunded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12/19/2022</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12/22/2028</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2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2,532</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TransGo,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12/29/2028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Machinery</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2,775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Walker Edison Furniture Company, LLC - New Money DIP</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03/01/2023</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03/01/2029</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10.00%</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10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Walker Edison Furniture Company, LLC - Unfunded Term Loan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03/01/2023</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03/01/2029</w:t>
            </w: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20" w:type="dxa"/>
            <w:vAlign w:val="bottom"/>
          </w:tcPr>
          <w:p>
            <w:pPr>
              <w:spacing w:after="0"/>
              <w:rPr>
                <w:sz w:val="11"/>
                <w:szCs w:val="1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10/20/2021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04/30/2028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PIK 9.34%</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1,204</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1,222</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10/20/2021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04/30/2028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9.19%</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SOFR+550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419</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419</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Wash &amp; Wax Systems,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10/20/2021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04/30/2028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Watchtower Buyer, LLC. - Funded Revolver</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11/29/2023</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12/03/2029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9.69%</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SOFR+600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Watchtower Buyer,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11/29/2023</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12/03/2029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5,250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444,112</w:t>
            </w:r>
          </w:p>
        </w:tc>
        <w:tc>
          <w:tcPr>
            <w:tcW w:w="2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429,494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Second Lien Secured Debt - 4.0% of Net Assets</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07/26/2022</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07/28/2030</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12.94%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SOFR+910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7,758</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ENC Parent Corporation</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08/06/2021</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08/19/2029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11.43%</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SOFR+776</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7,455</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TEAM Services Group,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04/26/2024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12/18/2028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13.10%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SOFR+926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3,429</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3,426</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8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7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18,639</w:t>
            </w: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84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18,236</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Subordinate Debt/Corporate Notes - 9.3%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Beacon Behavioral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06/21/2030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PIK 15.00%</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6,176</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6,116</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6,176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07/02/2019</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09/30/2027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12.92%</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SOFR+860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Northwinds Topco,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10/30/2029</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PIK 15.00%</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12,358</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12,272</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Northwinds Topco, Inc. - Unfunded Term Loan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10/30/2029</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ORL Holdco, Inc. - Convertible Notes</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08/02/2024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03/08/2028</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ORL Holdco, Inc. - Unfunded Convertible Notes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08/02/2024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03/08/2028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OSP Embedded Aggregator, LP - Convertible Note</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11/06/2024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05/08/2030</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237</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StoicLane, Inc. - Convertible Notes</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08/15/2024</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United Land Services Intermediate Parent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07/12/2024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12/23/2026</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PIK 14.75%</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21,339</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21,074</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21,339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10/20/2021</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07/30/2028</w:t>
            </w: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PIK 12.00%</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836</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Subordinate Debt</w:t>
            </w: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8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7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41,766</w:t>
            </w: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84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42,336</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- 4.6% of Net Assets </w:t>
            </w:r>
            <w:r>
              <w:rPr>
                <w:rFonts w:ascii="Times New Roman" w:cs="Times New Roman" w:eastAsia="Times New Roman" w:hAnsi="Times New Roman"/>
                <w:sz w:val="13"/>
                <w:szCs w:val="13"/>
                <w:b w:val="1"/>
                <w:bCs w:val="1"/>
                <w:color w:val="auto"/>
                <w:vertAlign w:val="superscript"/>
              </w:rPr>
              <w:t>(6)</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Accounting Platform Blocker,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356,200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Ad.net Holdings,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05/04/2021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2,662</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266</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(F-2 Series)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12/07/2023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749</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(G-2 Series)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12/07/2023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(H-2 Series)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12/07/2023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(I-2 Series)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12/07/2023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(J-2 Series)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12/07/2023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05/21/2019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BioDerm Holdings,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01/30/2023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Cartessa Aesthetics,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06/01/2022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3,562,500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3,563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Connatix Parent,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7,967</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Consello Pacific Aggregator,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782,891</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Holdco,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104,000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 - Class A-2</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05/24/2023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EvAL Home Health Solutions,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05/10/2024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272,771</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453</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Five Star Parent Holdings, LLC - Class P</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07/09/2025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 Class A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04/30/2024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116,588</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HPA SPQ Aggregator, LP</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52,353</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Imagine Topco, LP Preferred</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743,826</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1,544</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A-1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530</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B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1,018</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 Partners, LLC - Class A</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06/28/2024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5,349</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535</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02/26/2019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09/01/2021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PL Acquisitionco,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Podean Intermediate II,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A-1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10,624</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D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11,276</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 L2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331,229</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10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 L2 Holdings, LLC - Unfunded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11/04/2021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189,274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-4119880</wp:posOffset>
            </wp:positionV>
            <wp:extent cx="9398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-4119880</wp:posOffset>
            </wp:positionV>
            <wp:extent cx="939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-3716655</wp:posOffset>
            </wp:positionV>
            <wp:extent cx="93980" cy="119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-3716655</wp:posOffset>
            </wp:positionV>
            <wp:extent cx="93980" cy="119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-2773680</wp:posOffset>
            </wp:positionV>
            <wp:extent cx="93980" cy="119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-2773680</wp:posOffset>
            </wp:positionV>
            <wp:extent cx="93980" cy="119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1938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2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100" w:type="dxa"/>
            <w:vAlign w:val="bottom"/>
          </w:tcPr>
          <w:p>
            <w:pPr>
              <w:spacing w:after="0"/>
              <w:rPr>
                <w:sz w:val="12"/>
                <w:szCs w:val="12"/>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8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color w:val="auto"/>
              </w:rPr>
              <w:t>TPC Holding Company, LP</w:t>
            </w:r>
          </w:p>
        </w:tc>
        <w:tc>
          <w:tcPr>
            <w:tcW w:w="720" w:type="dxa"/>
            <w:vAlign w:val="bottom"/>
            <w:gridSpan w:val="2"/>
            <w:shd w:val="clear" w:color="auto" w:fill="CCECFF"/>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9"/>
              </w:rPr>
              <w:t>12/04/2019</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Food</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219</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239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3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8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170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64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70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74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auto"/>
              <w:bottom w:val="single" w:sz="8" w:color="auto"/>
            </w:tcBorders>
            <w:shd w:val="clear" w:color="auto" w:fill="CCECFF"/>
          </w:tcPr>
          <w:p>
            <w:pPr>
              <w:spacing w:after="0"/>
              <w:rPr>
                <w:sz w:val="10"/>
                <w:szCs w:val="10"/>
                <w:color w:val="auto"/>
              </w:rPr>
            </w:pPr>
          </w:p>
        </w:tc>
        <w:tc>
          <w:tcPr>
            <w:tcW w:w="50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14,904</w:t>
            </w: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auto"/>
              <w:bottom w:val="single" w:sz="8" w:color="auto"/>
            </w:tcBorders>
            <w:shd w:val="clear" w:color="auto" w:fill="CCECFF"/>
          </w:tcPr>
          <w:p>
            <w:pPr>
              <w:spacing w:after="0"/>
              <w:rPr>
                <w:sz w:val="10"/>
                <w:szCs w:val="10"/>
                <w:color w:val="auto"/>
              </w:rPr>
            </w:pPr>
          </w:p>
        </w:tc>
        <w:tc>
          <w:tcPr>
            <w:tcW w:w="76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21,131</w:t>
            </w: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38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Common Equity/Partnership Interests/Warrants - 28.7% of Net Assets</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3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(6)</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38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A1 Garage Equity,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70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12/19/2022</w:t>
            </w: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2,193,038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Big Top Holdings,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02/29/2024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Manufacturing/Basic Industry</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773,800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Holdings,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05/04/2021</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2,958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InvestCo,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Aechelon InvestCo,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Aftermarket Drivetrain Products Holdings,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Machinery</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1,645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11/05/2018</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8,052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AG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11/05/2018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07/23/2019</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AMCSI Crash Co-Invest,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07/28/2022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24,898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AMCSI Crash Co-Invest,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07/28/2022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5,102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05/21/2019</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Holdings,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09/29/2025</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384,799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Athletico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02/04/2022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7,093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Azureon,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06/26/2024</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508,238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BioDerm, Inc.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09/09/2024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Burgess Point Holdings,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07/21/2022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Holdco,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1,680,300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Carisk Parent,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11/27/2023</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204,455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Connatix Parent,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273,207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09/12/2018</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3,015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2,421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08/11/2021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Holdco,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07/31/2024</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754,200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754</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12/16/2020</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913,649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866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Delta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12/16/2020</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227,395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EDS Topco,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937,500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1,827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Events Buyer,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Event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536,267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Exigo,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03/10/2022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1,458,333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1,458</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08/26/2021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15,255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08/26/2021</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First Medical Holdings,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06/13/2025</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0" w:type="dxa"/>
            <w:vAlign w:val="bottom"/>
            <w:gridSpan w:val="2"/>
          </w:tcPr>
          <w:p>
            <w:pPr>
              <w:jc w:val="center"/>
              <w:ind w:left="26"/>
              <w:spacing w:after="0" w:line="108" w:lineRule="exact"/>
              <w:rPr>
                <w:sz w:val="20"/>
                <w:szCs w:val="20"/>
                <w:color w:val="auto"/>
              </w:rPr>
            </w:pPr>
            <w:r>
              <w:rPr>
                <w:rFonts w:ascii="Times New Roman" w:cs="Times New Roman" w:eastAsia="Times New Roman" w:hAnsi="Times New Roman"/>
                <w:sz w:val="11"/>
                <w:szCs w:val="11"/>
                <w:color w:val="auto"/>
                <w:w w:val="98"/>
              </w:rPr>
              <w:t>Leisure, Amusement, Motion Pictures,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Five Star Parent Holdings,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02/21/2023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655,714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Gauge APHIX Blocker,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07/16/2025</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489,789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Gauge ETE Blocker, LLC</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05/24/2023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374,444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Gauge Lash Coinvest,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12/04/2019</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1,231,392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1,882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Loving Tan,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543,562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04/22/2020</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GCOM InvestCo,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05/11/2021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GCP Boss Holdco,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12/27/2024</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1,045,100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1,568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GGG MIDCO,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09/27/2024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1,222,700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GMP Hills,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11/02/2023</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3,747,470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3,747</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4,759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12/23/2020</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HPA SPQ Aggregator,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06/08/2023</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750,399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HV Watterson Holdings,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1,600,000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Icon Partners V C,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12/20/2021</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1,201,283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Icon Partners V C, LP - Unfunded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298,717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08"/>
        </w:trPr>
        <w:tc>
          <w:tcPr>
            <w:tcW w:w="33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70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IHS Parent Holdings, LP</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1,218,045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Topco,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Infogroup Parent Holdings,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05/31/2023</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Other Media</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181,495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2,419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Ironclad Holdco, LLC (Applied Technical Services,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12/23/2020</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4,993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ITC Infusion Co-invest,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02/16/2022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162,445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1,720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4,189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Class A</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1,308,814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Class AA</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11/08/2021</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115,688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135</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KL Stockton Co-Invest,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07/16/2021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01/21/2020</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273,143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LJ Avalon,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01/18/2023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851,087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Lorient Peregrine Investments,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11/18/2022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335,590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4,530</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1,545,460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B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1,017,840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Holdings,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MDI Aggregator,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07/19/2022</w:t>
            </w: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7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31,904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3,232</w:t>
            </w:r>
          </w:p>
        </w:tc>
        <w:tc>
          <w:tcPr>
            <w:tcW w:w="2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3,121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12/09/2021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-5834380</wp:posOffset>
            </wp:positionV>
            <wp:extent cx="93980" cy="119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-5834380</wp:posOffset>
            </wp:positionV>
            <wp:extent cx="102870" cy="119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11938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0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color w:val="auto"/>
              </w:rPr>
              <w:t>Megawatt Acquisition Partners, LLC - Class A</w:t>
            </w:r>
          </w:p>
        </w:tc>
        <w:tc>
          <w:tcPr>
            <w:tcW w:w="760" w:type="dxa"/>
            <w:vAlign w:val="bottom"/>
            <w:gridSpan w:val="2"/>
            <w:shd w:val="clear" w:color="auto" w:fill="CCECFF"/>
          </w:tcPr>
          <w:p>
            <w:pPr>
              <w:jc w:val="center"/>
              <w:ind w:left="46"/>
              <w:spacing w:after="0" w:line="115" w:lineRule="exact"/>
              <w:rPr>
                <w:sz w:val="20"/>
                <w:szCs w:val="20"/>
                <w:color w:val="auto"/>
              </w:rPr>
            </w:pPr>
            <w:r>
              <w:rPr>
                <w:rFonts w:ascii="Times New Roman" w:cs="Times New Roman" w:eastAsia="Times New Roman" w:hAnsi="Times New Roman"/>
                <w:sz w:val="11"/>
                <w:szCs w:val="11"/>
                <w:color w:val="auto"/>
                <w:w w:val="99"/>
              </w:rPr>
              <w:t>06/28/2024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09/28/2021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3,920,145</w:t>
            </w:r>
          </w:p>
        </w:tc>
        <w:tc>
          <w:tcPr>
            <w:tcW w:w="3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3,984</w:t>
            </w:r>
          </w:p>
        </w:tc>
        <w:tc>
          <w:tcPr>
            <w:tcW w:w="3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NEPRT Parent Holdings,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01/27/2021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New Insight Holdings,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New Medina Health,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10/16/2023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1,429,480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1,429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2,815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NFS - CFP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662,983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NORA Parent Holdings,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08/22/2023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Haven Saints Equity Holdings,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351,553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Northwinds Services Group,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02/26/2019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OceanSound Discovery Equity, LP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03/28/2024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119,966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OES Co-Invest, LP - Class A</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OHCP V BC COI,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12/13/2021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707,209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OHCP V BC COI, LP - Unfunded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12/13/2021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42,791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09/01/2021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Aggregator, LP</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12/11/2023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OSP PAR Holdings,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1,812</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1,566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Paving Parent,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07/01/2025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Parent,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421,304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PennantPark-TSO Senior Loan Fund II, LP </w:t>
            </w:r>
            <w:r>
              <w:rPr>
                <w:rFonts w:ascii="Times New Roman" w:cs="Times New Roman" w:eastAsia="Times New Roman" w:hAnsi="Times New Roman"/>
                <w:sz w:val="14"/>
                <w:szCs w:val="14"/>
                <w:color w:val="auto"/>
                <w:vertAlign w:val="superscript"/>
              </w:rPr>
              <w:t>(11)</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01/07/2022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8,115,794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PN Buyer, Inc.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813,376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11/05/2021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Podean Intermediate II,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Project Granite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Quad (U.S.) Co-Invest,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10/03/2022</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2,607,587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2,608</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4,155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05/01/2020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LP - Unfunded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05/01/2020</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05/01/2020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RFMG Parent,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12/16/2020</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Ro Health Holdings, Inc.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01/16/2025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Providers &amp;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289,700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Rosco Topco,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09/09/2025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701,149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InvestCo,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Government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32,771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InvestCo, LP - Unfunded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Government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47,957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Safe Haven Defense MidCo,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12/23/2019</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NA,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Seaway Topco,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06/08/2022</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2,981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2,981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 DXE Holdings,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553,592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 L2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129,370,318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07/11/2018</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StellPen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08/17/2021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154</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02/24/2021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254,206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TCG 3.0 Jogger Co-Invest, LP</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01/22/2024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6,475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1,252</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Tinicum Space Coast Co-Invest,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10/29/2024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Tinicum Space Coast Holdings,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12/06/2023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10/27/2021</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550,332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Tower Arch Infolinks Media, LP - Unfunded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10/27/2021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345,113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6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Holding Company, LP</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12/04/2019</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Land Services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07/12/2024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06/14/2021</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Wash &amp; Wax Systems. LLC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04/30/2025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Watchtower Holdings, LLC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11/29/2023</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1,242</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1,404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Coinvestment, LP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(9)</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3,853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5,299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06/27/2022</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White Tiger Newco,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07/31/2025</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76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04/16/2019</w:t>
            </w:r>
          </w:p>
        </w:tc>
        <w:tc>
          <w:tcPr>
            <w:tcW w:w="12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8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Borders>
              <w:bottom w:val="single" w:sz="8" w:color="CCECFF"/>
            </w:tcBorders>
          </w:tcPr>
          <w:p>
            <w:pPr>
              <w:spacing w:after="0"/>
              <w:rPr>
                <w:sz w:val="10"/>
                <w:szCs w:val="10"/>
                <w:color w:val="auto"/>
              </w:rPr>
            </w:pPr>
          </w:p>
        </w:tc>
        <w:tc>
          <w:tcPr>
            <w:tcW w:w="660" w:type="dxa"/>
            <w:vAlign w:val="bottom"/>
            <w:tcBorders>
              <w:bottom w:val="single" w:sz="8" w:color="CCECFF"/>
            </w:tcBorders>
          </w:tcPr>
          <w:p>
            <w:pPr>
              <w:spacing w:after="0"/>
              <w:rPr>
                <w:sz w:val="10"/>
                <w:szCs w:val="10"/>
                <w:color w:val="auto"/>
              </w:rPr>
            </w:pPr>
          </w:p>
        </w:tc>
        <w:tc>
          <w:tcPr>
            <w:tcW w:w="200" w:type="dxa"/>
            <w:vAlign w:val="bottom"/>
            <w:tcBorders>
              <w:bottom w:val="single" w:sz="8" w:color="CCECFF"/>
            </w:tcBorders>
          </w:tcPr>
          <w:p>
            <w:pPr>
              <w:spacing w:after="0"/>
              <w:rPr>
                <w:sz w:val="10"/>
                <w:szCs w:val="10"/>
                <w:color w:val="auto"/>
              </w:rPr>
            </w:pPr>
          </w:p>
        </w:tc>
        <w:tc>
          <w:tcPr>
            <w:tcW w:w="720" w:type="dxa"/>
            <w:vAlign w:val="bottom"/>
            <w:tcBorders>
              <w:bottom w:val="single" w:sz="8" w:color="CCECFF"/>
            </w:tcBorders>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161,252</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1,752</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117,520</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131,403</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US Government Securities - 45.8%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U.S. Treasury Bill </w:t>
            </w:r>
            <w:r>
              <w:rPr>
                <w:rFonts w:ascii="Times New Roman" w:cs="Times New Roman" w:eastAsia="Times New Roman" w:hAnsi="Times New Roman"/>
                <w:sz w:val="14"/>
                <w:szCs w:val="14"/>
                <w:color w:val="auto"/>
                <w:vertAlign w:val="superscript"/>
              </w:rPr>
              <w:t>(5)</w:t>
            </w: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Short-Term U.S. Government</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01/02/2026</w:t>
            </w:r>
          </w:p>
        </w:tc>
        <w:tc>
          <w:tcPr>
            <w:tcW w:w="740" w:type="dxa"/>
            <w:vAlign w:val="bottom"/>
            <w:gridSpan w:val="2"/>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01/27/2026</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Securities</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3.98%</w:t>
            </w:r>
          </w:p>
        </w:tc>
        <w:tc>
          <w:tcPr>
            <w:tcW w:w="72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220" w:type="dxa"/>
            <w:vAlign w:val="bottom"/>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209,555</w:t>
            </w:r>
          </w:p>
        </w:tc>
        <w:tc>
          <w:tcPr>
            <w:tcW w:w="2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209,485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Government Securities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209,555</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209,485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6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w:t>
            </w:r>
          </w:p>
        </w:tc>
        <w:tc>
          <w:tcPr>
            <w:tcW w:w="14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846,496</w:t>
            </w:r>
          </w:p>
        </w:tc>
        <w:tc>
          <w:tcPr>
            <w:tcW w:w="22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852,085</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360" w:type="dxa"/>
            <w:vAlign w:val="bottom"/>
            <w:tcBorders>
              <w:bottom w:val="single" w:sz="8" w:color="CCECFF"/>
            </w:tcBorders>
            <w:shd w:val="clear" w:color="auto" w:fill="CCEC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vMerge w:val="continue"/>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vMerge w:val="continue"/>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36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Investments in Non-Controlled, Affiliated Portfolio Companies - 0.4% of</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line="140" w:lineRule="exact"/>
              <w:rPr>
                <w:sz w:val="20"/>
                <w:szCs w:val="20"/>
                <w:color w:val="auto"/>
              </w:rPr>
            </w:pPr>
            <w:r>
              <w:rPr>
                <w:rFonts w:ascii="Times New Roman" w:cs="Times New Roman" w:eastAsia="Times New Roman" w:hAnsi="Times New Roman"/>
                <w:sz w:val="11"/>
                <w:szCs w:val="11"/>
                <w:color w:val="auto"/>
              </w:rPr>
              <w:t xml:space="preserve">Net Assets </w:t>
            </w:r>
            <w:r>
              <w:rPr>
                <w:rFonts w:ascii="Times New Roman" w:cs="Times New Roman" w:eastAsia="Times New Roman" w:hAnsi="Times New Roman"/>
                <w:sz w:val="14"/>
                <w:szCs w:val="14"/>
                <w:color w:val="auto"/>
                <w:vertAlign w:val="superscript"/>
              </w:rPr>
              <w:t>(1), (2)</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 - 0.4% of Net Assets </w:t>
            </w:r>
            <w:r>
              <w:rPr>
                <w:rFonts w:ascii="Times New Roman" w:cs="Times New Roman" w:eastAsia="Times New Roman" w:hAnsi="Times New Roman"/>
                <w:sz w:val="14"/>
                <w:szCs w:val="14"/>
                <w:b w:val="1"/>
                <w:bCs w:val="1"/>
                <w:color w:val="auto"/>
                <w:vertAlign w:val="superscript"/>
              </w:rPr>
              <w:t>(6)</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Cascade Environmental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02/19/2025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Cascade Environmental Holdings, LLC - Series B</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02/19/2025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5,887,236</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32,791</w:t>
            </w:r>
          </w:p>
        </w:tc>
        <w:tc>
          <w:tcPr>
            <w:tcW w:w="2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33,709</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Common Equity/Partnership Interests/Warrants - 0.0% of Net Assets </w:t>
            </w:r>
            <w:r>
              <w:rPr>
                <w:rFonts w:ascii="Times New Roman" w:cs="Times New Roman" w:eastAsia="Times New Roman" w:hAnsi="Times New Roman"/>
                <w:sz w:val="13"/>
                <w:szCs w:val="13"/>
                <w:b w:val="1"/>
                <w:bCs w:val="1"/>
                <w:color w:val="auto"/>
                <w:vertAlign w:val="superscript"/>
              </w:rPr>
              <w:t>(6)</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Cascade Environmental Holdings, LLC</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02/19/2015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ind w:left="6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7,444,347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36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8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7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auto"/>
              <w:bottom w:val="single" w:sz="8" w:color="auto"/>
            </w:tcBorders>
            <w:shd w:val="clear" w:color="auto" w:fill="CCECFF"/>
          </w:tcPr>
          <w:p>
            <w:pPr>
              <w:spacing w:after="0"/>
              <w:rPr>
                <w:sz w:val="10"/>
                <w:szCs w:val="10"/>
                <w:color w:val="auto"/>
              </w:rPr>
            </w:pPr>
          </w:p>
        </w:tc>
        <w:tc>
          <w:tcPr>
            <w:tcW w:w="50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2,852</w:t>
            </w: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80" w:type="dxa"/>
            <w:vAlign w:val="bottom"/>
            <w:tcBorders>
              <w:top w:val="single" w:sz="8" w:color="auto"/>
              <w:bottom w:val="single" w:sz="8" w:color="auto"/>
            </w:tcBorders>
            <w:shd w:val="clear" w:color="auto" w:fill="CCECFF"/>
          </w:tcPr>
          <w:p>
            <w:pPr>
              <w:spacing w:after="0"/>
              <w:rPr>
                <w:sz w:val="10"/>
                <w:szCs w:val="10"/>
                <w:color w:val="auto"/>
              </w:rPr>
            </w:pPr>
          </w:p>
        </w:tc>
        <w:tc>
          <w:tcPr>
            <w:tcW w:w="76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-1315085</wp:posOffset>
            </wp:positionV>
            <wp:extent cx="9398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-1315085</wp:posOffset>
            </wp:positionV>
            <wp:extent cx="9398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-989330</wp:posOffset>
            </wp:positionV>
            <wp:extent cx="9398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-989330</wp:posOffset>
            </wp:positionV>
            <wp:extent cx="9398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-736600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-354965</wp:posOffset>
            </wp:positionV>
            <wp:extent cx="93980" cy="119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-354965</wp:posOffset>
            </wp:positionV>
            <wp:extent cx="93980" cy="1193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-106680</wp:posOffset>
            </wp:positionV>
            <wp:extent cx="939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-106680</wp:posOffset>
            </wp:positionV>
            <wp:extent cx="939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120015"/>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(Unaudited) - 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1000" w:type="dxa"/>
            <w:vAlign w:val="bottom"/>
            <w:gridSpan w:val="3"/>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15"/>
        </w:trPr>
        <w:tc>
          <w:tcPr>
            <w:tcW w:w="33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36,561</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- 79.7% </w:t>
            </w:r>
            <w:r>
              <w:rPr>
                <w:rFonts w:ascii="Times New Roman" w:cs="Times New Roman" w:eastAsia="Times New Roman" w:hAnsi="Times New Roman"/>
                <w:sz w:val="13"/>
                <w:szCs w:val="13"/>
                <w:color w:val="auto"/>
                <w:vertAlign w:val="superscript"/>
              </w:rPr>
              <w:t>(1), (2)</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- 12.8%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(11)</w:t>
            </w:r>
          </w:p>
        </w:tc>
        <w:tc>
          <w:tcPr>
            <w:tcW w:w="14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gridSpan w:val="3"/>
            <w:shd w:val="clear" w:color="auto" w:fill="CCECFF"/>
          </w:tcPr>
          <w:p>
            <w:pPr>
              <w:jc w:val="right"/>
              <w:ind w:right="626"/>
              <w:spacing w:after="0" w:line="108" w:lineRule="exact"/>
              <w:rPr>
                <w:sz w:val="20"/>
                <w:szCs w:val="20"/>
                <w:color w:val="auto"/>
              </w:rPr>
            </w:pPr>
            <w:r>
              <w:rPr>
                <w:rFonts w:ascii="Times New Roman" w:cs="Times New Roman" w:eastAsia="Times New Roman" w:hAnsi="Times New Roman"/>
                <w:sz w:val="11"/>
                <w:szCs w:val="11"/>
                <w:color w:val="auto"/>
              </w:rPr>
              <w:t>GBP</w:t>
            </w:r>
          </w:p>
        </w:tc>
        <w:tc>
          <w:tcPr>
            <w:tcW w:w="5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60" w:type="dxa"/>
            <w:vAlign w:val="bottom"/>
            <w:vMerge w:val="continue"/>
            <w:shd w:val="clear" w:color="auto" w:fill="CCECFF"/>
          </w:tcPr>
          <w:p>
            <w:pPr>
              <w:spacing w:after="0"/>
              <w:rPr>
                <w:sz w:val="11"/>
                <w:szCs w:val="11"/>
                <w:color w:val="auto"/>
              </w:rPr>
            </w:pP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03/07/2018</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03/15/2027</w:t>
            </w:r>
          </w:p>
        </w:tc>
        <w:tc>
          <w:tcPr>
            <w:tcW w:w="120" w:type="dxa"/>
            <w:vAlign w:val="bottom"/>
            <w:shd w:val="clear" w:color="auto" w:fill="CCECFF"/>
          </w:tcPr>
          <w:p>
            <w:pPr>
              <w:spacing w:after="0"/>
              <w:rPr>
                <w:sz w:val="11"/>
                <w:szCs w:val="11"/>
                <w:color w:val="auto"/>
              </w:rPr>
            </w:pPr>
          </w:p>
        </w:tc>
        <w:tc>
          <w:tcPr>
            <w:tcW w:w="16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11.05%</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SOFR+700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49,926</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6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Pragmatic Institute, LLC </w:t>
            </w:r>
            <w:r>
              <w:rPr>
                <w:rFonts w:ascii="Times New Roman" w:cs="Times New Roman" w:eastAsia="Times New Roman" w:hAnsi="Times New Roman"/>
                <w:sz w:val="14"/>
                <w:szCs w:val="14"/>
                <w:color w:val="auto"/>
                <w:vertAlign w:val="superscript"/>
              </w:rPr>
              <w:t>(10)</w:t>
            </w:r>
          </w:p>
        </w:tc>
        <w:tc>
          <w:tcPr>
            <w:tcW w:w="76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07/05/2022</w:t>
            </w:r>
          </w:p>
        </w:tc>
        <w:tc>
          <w:tcPr>
            <w:tcW w:w="74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03/28/2030</w:t>
            </w:r>
          </w:p>
        </w:tc>
        <w:tc>
          <w:tcPr>
            <w:tcW w:w="120" w:type="dxa"/>
            <w:vAlign w:val="bottom"/>
            <w:tcBorders>
              <w:bottom w:val="single" w:sz="8" w:color="CCECFF"/>
            </w:tcBorders>
          </w:tcPr>
          <w:p>
            <w:pPr>
              <w:spacing w:after="0"/>
              <w:rPr>
                <w:sz w:val="10"/>
                <w:szCs w:val="10"/>
                <w:color w:val="auto"/>
              </w:rPr>
            </w:pPr>
          </w:p>
        </w:tc>
        <w:tc>
          <w:tcPr>
            <w:tcW w:w="168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Borders>
              <w:bottom w:val="single" w:sz="8" w:color="CCECFF"/>
            </w:tcBorders>
          </w:tcPr>
          <w:p>
            <w:pPr>
              <w:spacing w:after="0"/>
              <w:rPr>
                <w:sz w:val="10"/>
                <w:szCs w:val="10"/>
                <w:color w:val="auto"/>
              </w:rPr>
            </w:pPr>
          </w:p>
        </w:tc>
        <w:tc>
          <w:tcPr>
            <w:tcW w:w="860" w:type="dxa"/>
            <w:vAlign w:val="bottom"/>
            <w:tcBorders>
              <w:bottom w:val="single" w:sz="8" w:color="CCECFF"/>
            </w:tcBorders>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15,328</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14,966</w:t>
            </w:r>
          </w:p>
        </w:tc>
        <w:tc>
          <w:tcPr>
            <w:tcW w:w="220" w:type="dxa"/>
            <w:vAlign w:val="bottom"/>
            <w:tcBorders>
              <w:bottom w:val="single" w:sz="8" w:color="CCEC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9,312</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64,892</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58,406</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Subordinated Debt - 35.7%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Flock Financial, LLC </w:t>
            </w:r>
            <w:r>
              <w:rPr>
                <w:rFonts w:ascii="Times New Roman" w:cs="Times New Roman" w:eastAsia="Times New Roman" w:hAnsi="Times New Roman"/>
                <w:sz w:val="14"/>
                <w:szCs w:val="14"/>
                <w:color w:val="auto"/>
                <w:vertAlign w:val="superscript"/>
              </w:rPr>
              <w:t>(11)</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04/19/2024</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10/19/2027</w:t>
            </w: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8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23,031</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6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07/31/2020</w:t>
            </w:r>
          </w:p>
        </w:tc>
        <w:tc>
          <w:tcPr>
            <w:tcW w:w="74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5"/>
              </w:rPr>
              <w:t>07/31/2027</w:t>
            </w:r>
          </w:p>
        </w:tc>
        <w:tc>
          <w:tcPr>
            <w:tcW w:w="120" w:type="dxa"/>
            <w:vAlign w:val="bottom"/>
            <w:tcBorders>
              <w:bottom w:val="single" w:sz="8" w:color="CCECFF"/>
            </w:tcBorders>
          </w:tcPr>
          <w:p>
            <w:pPr>
              <w:spacing w:after="0"/>
              <w:rPr>
                <w:sz w:val="10"/>
                <w:szCs w:val="10"/>
                <w:color w:val="auto"/>
              </w:rPr>
            </w:pPr>
          </w:p>
        </w:tc>
        <w:tc>
          <w:tcPr>
            <w:tcW w:w="168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80" w:type="dxa"/>
            <w:vAlign w:val="bottom"/>
            <w:tcBorders>
              <w:bottom w:val="single" w:sz="8" w:color="CCECFF"/>
            </w:tcBorders>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11.84%</w:t>
            </w:r>
          </w:p>
        </w:tc>
        <w:tc>
          <w:tcPr>
            <w:tcW w:w="72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3M SOFR+800</w:t>
            </w:r>
          </w:p>
        </w:tc>
        <w:tc>
          <w:tcPr>
            <w:tcW w:w="88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140,287</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140,287</w:t>
            </w:r>
          </w:p>
        </w:tc>
        <w:tc>
          <w:tcPr>
            <w:tcW w:w="220" w:type="dxa"/>
            <w:vAlign w:val="bottom"/>
            <w:tcBorders>
              <w:bottom w:val="single" w:sz="8" w:color="CCEC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140,287</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163,318</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163,318</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0"/>
                <w:szCs w:val="10"/>
                <w:color w:val="auto"/>
              </w:rPr>
              <w:t xml:space="preserve">Preferred Equity - 6.7% of Net Assets </w:t>
            </w:r>
            <w:r>
              <w:rPr>
                <w:rFonts w:ascii="Times New Roman" w:cs="Times New Roman" w:eastAsia="Times New Roman" w:hAnsi="Times New Roman"/>
                <w:sz w:val="13"/>
                <w:szCs w:val="13"/>
                <w:color w:val="auto"/>
                <w:vertAlign w:val="superscript"/>
              </w:rPr>
              <w:t>(6)</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Flock Financial Class A </w:t>
            </w:r>
            <w:r>
              <w:rPr>
                <w:rFonts w:ascii="Times New Roman" w:cs="Times New Roman" w:eastAsia="Times New Roman" w:hAnsi="Times New Roman"/>
                <w:sz w:val="14"/>
                <w:szCs w:val="14"/>
                <w:color w:val="auto"/>
                <w:vertAlign w:val="superscript"/>
              </w:rPr>
              <w:t>(11)</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04/19/2024</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2,047,727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7,313</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Flock Financial Class B </w:t>
            </w:r>
            <w:r>
              <w:rPr>
                <w:rFonts w:ascii="Times New Roman" w:cs="Times New Roman" w:eastAsia="Times New Roman" w:hAnsi="Times New Roman"/>
                <w:sz w:val="14"/>
                <w:szCs w:val="14"/>
                <w:color w:val="auto"/>
                <w:vertAlign w:val="superscript"/>
              </w:rPr>
              <w:t>(9), (11)</w:t>
            </w:r>
          </w:p>
        </w:tc>
        <w:tc>
          <w:tcPr>
            <w:tcW w:w="76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04/19/2024</w:t>
            </w:r>
          </w:p>
        </w:tc>
        <w:tc>
          <w:tcPr>
            <w:tcW w:w="12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8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Borders>
              <w:bottom w:val="single" w:sz="8" w:color="CCECFF"/>
            </w:tcBorders>
          </w:tcPr>
          <w:p>
            <w:pPr>
              <w:spacing w:after="0"/>
              <w:rPr>
                <w:sz w:val="10"/>
                <w:szCs w:val="10"/>
                <w:color w:val="auto"/>
              </w:rPr>
            </w:pPr>
          </w:p>
        </w:tc>
        <w:tc>
          <w:tcPr>
            <w:tcW w:w="660" w:type="dxa"/>
            <w:vAlign w:val="bottom"/>
            <w:tcBorders>
              <w:bottom w:val="single" w:sz="8" w:color="CCECFF"/>
            </w:tcBorders>
          </w:tcPr>
          <w:p>
            <w:pPr>
              <w:spacing w:after="0"/>
              <w:rPr>
                <w:sz w:val="10"/>
                <w:szCs w:val="10"/>
                <w:color w:val="auto"/>
              </w:rPr>
            </w:pPr>
          </w:p>
        </w:tc>
        <w:tc>
          <w:tcPr>
            <w:tcW w:w="200" w:type="dxa"/>
            <w:vAlign w:val="bottom"/>
            <w:tcBorders>
              <w:bottom w:val="single" w:sz="8" w:color="CCECFF"/>
            </w:tcBorders>
          </w:tcPr>
          <w:p>
            <w:pPr>
              <w:spacing w:after="0"/>
              <w:rPr>
                <w:sz w:val="10"/>
                <w:szCs w:val="10"/>
                <w:color w:val="auto"/>
              </w:rPr>
            </w:pPr>
          </w:p>
        </w:tc>
        <w:tc>
          <w:tcPr>
            <w:tcW w:w="72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5,409,091</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19,318</w:t>
            </w:r>
          </w:p>
        </w:tc>
        <w:tc>
          <w:tcPr>
            <w:tcW w:w="220" w:type="dxa"/>
            <w:vAlign w:val="bottom"/>
            <w:tcBorders>
              <w:bottom w:val="single" w:sz="8" w:color="CCEC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11,707</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26,631</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30,820</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Common Equity - 24.5% of Net Assets </w:t>
            </w:r>
            <w:r>
              <w:rPr>
                <w:rFonts w:ascii="Times New Roman" w:cs="Times New Roman" w:eastAsia="Times New Roman" w:hAnsi="Times New Roman"/>
                <w:sz w:val="13"/>
                <w:szCs w:val="13"/>
                <w:b w:val="1"/>
                <w:bCs w:val="1"/>
                <w:color w:val="auto"/>
                <w:vertAlign w:val="superscript"/>
              </w:rPr>
              <w:t>(6)</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A </w:t>
            </w:r>
            <w:r>
              <w:rPr>
                <w:rFonts w:ascii="Times New Roman" w:cs="Times New Roman" w:eastAsia="Times New Roman" w:hAnsi="Times New Roman"/>
                <w:sz w:val="14"/>
                <w:szCs w:val="14"/>
                <w:color w:val="auto"/>
                <w:vertAlign w:val="superscript"/>
              </w:rPr>
              <w:t>(8), (11)</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03/07/2018</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44,736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B </w:t>
            </w:r>
            <w:r>
              <w:rPr>
                <w:rFonts w:ascii="Times New Roman" w:cs="Times New Roman" w:eastAsia="Times New Roman" w:hAnsi="Times New Roman"/>
                <w:sz w:val="14"/>
                <w:szCs w:val="14"/>
                <w:color w:val="auto"/>
                <w:vertAlign w:val="superscript"/>
              </w:rPr>
              <w:t>(8), (11)</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03/07/2018</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C </w:t>
            </w:r>
            <w:r>
              <w:rPr>
                <w:rFonts w:ascii="Times New Roman" w:cs="Times New Roman" w:eastAsia="Times New Roman" w:hAnsi="Times New Roman"/>
                <w:sz w:val="14"/>
                <w:szCs w:val="14"/>
                <w:color w:val="auto"/>
                <w:vertAlign w:val="superscript"/>
              </w:rPr>
              <w:t>(8), (11)</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03/07/2018</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D </w:t>
            </w:r>
            <w:r>
              <w:rPr>
                <w:rFonts w:ascii="Times New Roman" w:cs="Times New Roman" w:eastAsia="Times New Roman" w:hAnsi="Times New Roman"/>
                <w:sz w:val="14"/>
                <w:szCs w:val="14"/>
                <w:color w:val="auto"/>
                <w:vertAlign w:val="superscript"/>
              </w:rPr>
              <w:t>(8), (11)</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03/07/2018</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E </w:t>
            </w:r>
            <w:r>
              <w:rPr>
                <w:rFonts w:ascii="Times New Roman" w:cs="Times New Roman" w:eastAsia="Times New Roman" w:hAnsi="Times New Roman"/>
                <w:sz w:val="14"/>
                <w:szCs w:val="14"/>
                <w:color w:val="auto"/>
                <w:vertAlign w:val="superscript"/>
              </w:rPr>
              <w:t>(8), (11)</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03/07/2018</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w:t>
            </w: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1,630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6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82,176,579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82,358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59,767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Pragmatic Institute, LLC</w:t>
            </w:r>
          </w:p>
        </w:tc>
        <w:tc>
          <w:tcPr>
            <w:tcW w:w="76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03/28/2025</w:t>
            </w: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87,308</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112,094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342,149</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364,638</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Total Investments - 266.5% of Net Assets </w:t>
            </w:r>
            <w:r>
              <w:rPr>
                <w:rFonts w:ascii="Times New Roman" w:cs="Times New Roman" w:eastAsia="Times New Roman" w:hAnsi="Times New Roman"/>
                <w:sz w:val="13"/>
                <w:szCs w:val="13"/>
                <w:b w:val="1"/>
                <w:bCs w:val="1"/>
                <w:color w:val="auto"/>
                <w:vertAlign w:val="superscript"/>
              </w:rPr>
              <w:t>(12), (13)</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1,225,206</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1,218,474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Equivalents - 3.9% of Net Assets</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14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80" w:type="dxa"/>
            <w:vAlign w:val="bottom"/>
            <w:tcBorders>
              <w:bottom w:val="single" w:sz="8" w:color="CCECFF"/>
            </w:tcBorders>
          </w:tcPr>
          <w:p>
            <w:pPr>
              <w:spacing w:after="0"/>
              <w:rPr>
                <w:sz w:val="10"/>
                <w:szCs w:val="10"/>
                <w:color w:val="auto"/>
              </w:rPr>
            </w:pPr>
          </w:p>
        </w:tc>
        <w:tc>
          <w:tcPr>
            <w:tcW w:w="980" w:type="dxa"/>
            <w:vAlign w:val="bottom"/>
            <w:tcBorders>
              <w:bottom w:val="single" w:sz="8" w:color="CCECFF"/>
            </w:tcBorders>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72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66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17,660</w:t>
            </w:r>
          </w:p>
        </w:tc>
        <w:tc>
          <w:tcPr>
            <w:tcW w:w="220" w:type="dxa"/>
            <w:vAlign w:val="bottom"/>
            <w:tcBorders>
              <w:bottom w:val="single" w:sz="8" w:color="CCEC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17,660</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Cash Equivalents</w:t>
            </w:r>
          </w:p>
        </w:tc>
        <w:tc>
          <w:tcPr>
            <w:tcW w:w="14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17,660</w:t>
            </w:r>
          </w:p>
        </w:tc>
        <w:tc>
          <w:tcPr>
            <w:tcW w:w="220" w:type="dxa"/>
            <w:vAlign w:val="bottom"/>
            <w:tcBorders>
              <w:bottom w:val="single" w:sz="8" w:color="CCECFF"/>
            </w:tcBorders>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17,660</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- 6.2% of Net Assets</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Non-Money Market Cash</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50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28,091</w:t>
            </w:r>
          </w:p>
        </w:tc>
        <w:tc>
          <w:tcPr>
            <w:tcW w:w="2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7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28,200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Cash</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28,091</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28,200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6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- 276.5%</w:t>
            </w:r>
          </w:p>
        </w:tc>
        <w:tc>
          <w:tcPr>
            <w:tcW w:w="14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220" w:type="dxa"/>
            <w:vAlign w:val="bottom"/>
            <w:gridSpan w:val="4"/>
            <w:shd w:val="clear" w:color="auto" w:fill="CCEC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1,270,957</w:t>
            </w:r>
          </w:p>
        </w:tc>
        <w:tc>
          <w:tcPr>
            <w:tcW w:w="300" w:type="dxa"/>
            <w:vAlign w:val="bottom"/>
            <w:gridSpan w:val="2"/>
            <w:shd w:val="clear" w:color="auto" w:fill="CCECFF"/>
          </w:tcPr>
          <w:p>
            <w:pPr>
              <w:jc w:val="right"/>
              <w:ind w:right="13"/>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1,264,334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8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7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(176.5)%</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(807,100)</w:t>
            </w:r>
          </w:p>
        </w:tc>
        <w:tc>
          <w:tcPr>
            <w:tcW w:w="0" w:type="dxa"/>
            <w:vAlign w:val="bottom"/>
          </w:tcPr>
          <w:p>
            <w:pPr>
              <w:spacing w:after="0"/>
              <w:rPr>
                <w:sz w:val="1"/>
                <w:szCs w:val="1"/>
                <w:color w:val="auto"/>
              </w:rPr>
            </w:pPr>
          </w:p>
        </w:tc>
      </w:tr>
      <w:tr>
        <w:trPr>
          <w:trHeight w:val="115"/>
        </w:trPr>
        <w:tc>
          <w:tcPr>
            <w:tcW w:w="336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Assets - 100%</w:t>
            </w: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8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7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6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50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80" w:type="dxa"/>
            <w:vAlign w:val="bottom"/>
            <w:tcBorders>
              <w:top w:val="single" w:sz="8" w:color="auto"/>
              <w:bottom w:val="single" w:sz="8" w:color="auto"/>
            </w:tcBorders>
            <w:shd w:val="clear" w:color="auto" w:fill="CCEC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457,234</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-2395220</wp:posOffset>
            </wp:positionV>
            <wp:extent cx="93980" cy="119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-2395220</wp:posOffset>
            </wp:positionV>
            <wp:extent cx="93980" cy="1193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-2069465</wp:posOffset>
            </wp:positionV>
            <wp:extent cx="93980" cy="1193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-2069465</wp:posOffset>
            </wp:positionV>
            <wp:extent cx="93980" cy="119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-1743710</wp:posOffset>
            </wp:positionV>
            <wp:extent cx="93980" cy="1193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-1743710</wp:posOffset>
            </wp:positionV>
            <wp:extent cx="93980" cy="119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-1032510</wp:posOffset>
            </wp:positionV>
            <wp:extent cx="93980" cy="1193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-1032510</wp:posOffset>
            </wp:positionV>
            <wp:extent cx="93980" cy="119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-848360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-612140</wp:posOffset>
            </wp:positionV>
            <wp:extent cx="93980" cy="119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-612140</wp:posOffset>
            </wp:positionV>
            <wp:extent cx="93980" cy="1193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-363220</wp:posOffset>
            </wp:positionV>
            <wp:extent cx="93980" cy="1193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-363220</wp:posOffset>
            </wp:positionV>
            <wp:extent cx="93980" cy="1193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-179070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-106045</wp:posOffset>
            </wp:positionV>
            <wp:extent cx="93980" cy="1193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19380"/>
                    </a:xfrm>
                    <a:prstGeom prst="rect">
                      <a:avLst/>
                    </a:prstGeom>
                    <a:noFill/>
                  </pic:spPr>
                </pic:pic>
              </a:graphicData>
            </a:graphic>
          </wp:anchor>
        </w:drawing>
      </w:r>
    </w:p>
    <w:p>
      <w:pPr>
        <w:spacing w:after="0" w:line="161" w:lineRule="exact"/>
        <w:rPr>
          <w:sz w:val="20"/>
          <w:szCs w:val="20"/>
          <w:color w:val="auto"/>
        </w:rPr>
      </w:pPr>
    </w:p>
    <w:p>
      <w:pPr>
        <w:ind w:left="380" w:right="22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right="16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60" w:hanging="372"/>
        <w:spacing w:after="0" w:line="241"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valued by using the pricing service which utilize broker-supplied prices.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located in The Isle of Man. Total cost, fair value, and percentage of Net Assets for the Isle of Man was $54.9 million, $101.4 million, and 22.2%.</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Non-accrual security</w:t>
      </w:r>
    </w:p>
    <w:p>
      <w:pPr>
        <w:spacing w:after="0" w:line="37"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2025, qualifying assets represent 72% of the Company’s total assets and non-qualifying assets represent 28% of the Company’s total assets.</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are in US Companies unless noted otherwise. Total cost, fair value, and percentage of Net Assets for the U.S. Companies were $1,170.3 million, $1,117.1 million, and 244.3%</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investments are not registered under the 1933 Act and have restrictions on resale.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r>
      <w:tr>
        <w:trPr>
          <w:trHeight w:val="97"/>
        </w:trPr>
        <w:tc>
          <w:tcPr>
            <w:tcW w:w="20" w:type="dxa"/>
            <w:vAlign w:val="bottom"/>
          </w:tcPr>
          <w:p>
            <w:pPr>
              <w:spacing w:after="0"/>
              <w:rPr>
                <w:sz w:val="8"/>
                <w:szCs w:val="8"/>
                <w:color w:val="auto"/>
              </w:rPr>
            </w:pPr>
          </w:p>
        </w:tc>
        <w:tc>
          <w:tcPr>
            <w:tcW w:w="3200" w:type="dxa"/>
            <w:vAlign w:val="bottom"/>
            <w:tcBorders>
              <w:top w:val="single" w:sz="8" w:color="auto"/>
            </w:tcBorders>
            <w:shd w:val="clear" w:color="auto" w:fill="CCECFF"/>
          </w:tcPr>
          <w:p>
            <w:pPr>
              <w:spacing w:after="0" w:line="97" w:lineRule="exact"/>
              <w:rPr>
                <w:sz w:val="20"/>
                <w:szCs w:val="20"/>
                <w:color w:val="auto"/>
              </w:rPr>
            </w:pPr>
            <w:r>
              <w:rPr>
                <w:rFonts w:ascii="Times New Roman" w:cs="Times New Roman" w:eastAsia="Times New Roman" w:hAnsi="Times New Roman"/>
                <w:sz w:val="11"/>
                <w:szCs w:val="11"/>
                <w:color w:val="auto"/>
              </w:rPr>
              <w:t>Investments in Non-Controlled, Non-Affiliated Portfolio Companies -</w:t>
            </w:r>
          </w:p>
        </w:tc>
        <w:tc>
          <w:tcPr>
            <w:tcW w:w="120" w:type="dxa"/>
            <w:vAlign w:val="bottom"/>
            <w:shd w:val="clear" w:color="auto" w:fill="CCECFF"/>
          </w:tcPr>
          <w:p>
            <w:pPr>
              <w:spacing w:after="0"/>
              <w:rPr>
                <w:sz w:val="8"/>
                <w:szCs w:val="8"/>
                <w:color w:val="auto"/>
              </w:rPr>
            </w:pPr>
          </w:p>
        </w:tc>
        <w:tc>
          <w:tcPr>
            <w:tcW w:w="600" w:type="dxa"/>
            <w:vAlign w:val="bottom"/>
            <w:tcBorders>
              <w:top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00" w:type="dxa"/>
            <w:vAlign w:val="bottom"/>
            <w:tcBorders>
              <w:top w:val="single" w:sz="8" w:color="auto"/>
            </w:tcBorders>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2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62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70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tcBorders>
              <w:top w:val="single" w:sz="8" w:color="auto"/>
            </w:tcBorders>
            <w:shd w:val="clear" w:color="auto" w:fill="CCECFF"/>
          </w:tcPr>
          <w:p>
            <w:pPr>
              <w:spacing w:after="0"/>
              <w:rPr>
                <w:sz w:val="8"/>
                <w:szCs w:val="8"/>
                <w:color w:val="auto"/>
              </w:rPr>
            </w:pPr>
          </w:p>
        </w:tc>
        <w:tc>
          <w:tcPr>
            <w:tcW w:w="460" w:type="dxa"/>
            <w:vAlign w:val="bottom"/>
            <w:tcBorders>
              <w:top w:val="single" w:sz="8" w:color="auto"/>
            </w:tcBorders>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tcBorders>
              <w:top w:val="single" w:sz="8" w:color="auto"/>
            </w:tcBorders>
            <w:shd w:val="clear" w:color="auto" w:fill="CCECFF"/>
          </w:tcPr>
          <w:p>
            <w:pPr>
              <w:spacing w:after="0"/>
              <w:rPr>
                <w:sz w:val="8"/>
                <w:szCs w:val="8"/>
                <w:color w:val="auto"/>
              </w:rPr>
            </w:pPr>
          </w:p>
        </w:tc>
        <w:tc>
          <w:tcPr>
            <w:tcW w:w="72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r>
      <w:tr>
        <w:trPr>
          <w:trHeight w:val="140"/>
        </w:trPr>
        <w:tc>
          <w:tcPr>
            <w:tcW w:w="20" w:type="dxa"/>
            <w:vAlign w:val="bottom"/>
          </w:tcPr>
          <w:p>
            <w:pPr>
              <w:spacing w:after="0"/>
              <w:rPr>
                <w:sz w:val="12"/>
                <w:szCs w:val="12"/>
                <w:color w:val="auto"/>
              </w:rPr>
            </w:pPr>
          </w:p>
        </w:tc>
        <w:tc>
          <w:tcPr>
            <w:tcW w:w="3200" w:type="dxa"/>
            <w:vAlign w:val="bottom"/>
            <w:shd w:val="clear" w:color="auto" w:fill="CCECFF"/>
          </w:tcPr>
          <w:p>
            <w:pPr>
              <w:spacing w:after="0" w:line="140" w:lineRule="exact"/>
              <w:rPr>
                <w:sz w:val="20"/>
                <w:szCs w:val="20"/>
                <w:color w:val="auto"/>
              </w:rPr>
            </w:pPr>
            <w:r>
              <w:rPr>
                <w:rFonts w:ascii="Times New Roman" w:cs="Times New Roman" w:eastAsia="Times New Roman" w:hAnsi="Times New Roman"/>
                <w:sz w:val="16"/>
                <w:szCs w:val="16"/>
                <w:color w:val="auto"/>
                <w:vertAlign w:val="subscript"/>
              </w:rPr>
              <w:t>184.8%</w:t>
            </w:r>
            <w:r>
              <w:rPr>
                <w:rFonts w:ascii="Times New Roman" w:cs="Times New Roman" w:eastAsia="Times New Roman" w:hAnsi="Times New Roman"/>
                <w:sz w:val="6"/>
                <w:szCs w:val="6"/>
                <w:color w:val="auto"/>
              </w:rPr>
              <w:t xml:space="preserve"> (1), (2)</w:t>
            </w: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- 111.6% of Net Assets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ACP Avenu Buyer,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10/02/2023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9.29%</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15,920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15,827</w:t>
            </w:r>
          </w:p>
        </w:tc>
        <w:tc>
          <w:tcPr>
            <w:tcW w:w="26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15,760</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Avenu Buyer,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10/02/2023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04/21/2027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3,479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w:t>
            </w: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Avenu Buyer,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10/02/2023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w:t>
            </w: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ACP Falcon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07/26/2023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2,533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05/04/2021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10.26%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SOFR+626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292</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Ad.net Acquisition,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05/04/2021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Adweek Purchaser,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05/31/2024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SOFR+700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2,100</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Adweek Purchaser,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05/31/2024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11/30/2025</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9.91%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11,537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11,640</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10.66%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961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Aechelon Technology,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AFC Dell Holding Corp.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12/12/2023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04/09/2027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Dell Holding Corp.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12/12/2023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04/09/2027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w:t>
            </w: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Atlas Purchaser, Inc. - Third Out </w:t>
            </w:r>
            <w:r>
              <w:rPr>
                <w:rFonts w:ascii="Times New Roman" w:cs="Times New Roman" w:eastAsia="Times New Roman" w:hAnsi="Times New Roman"/>
                <w:sz w:val="14"/>
                <w:szCs w:val="14"/>
                <w:color w:val="auto"/>
                <w:vertAlign w:val="superscript"/>
              </w:rPr>
              <w:t>(10)</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03/28/2024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05/06/2028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8,840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265</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Atlas Purchaser, Inc. - Fourth Out </w:t>
            </w:r>
            <w:r>
              <w:rPr>
                <w:rFonts w:ascii="Times New Roman" w:cs="Times New Roman" w:eastAsia="Times New Roman" w:hAnsi="Times New Roman"/>
                <w:sz w:val="14"/>
                <w:szCs w:val="14"/>
                <w:color w:val="auto"/>
                <w:vertAlign w:val="superscript"/>
              </w:rPr>
              <w:t>(10)</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05/06/2028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4,760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Anteriad, LLC (f/k/a MeritDirect,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05/21/2019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06/30/2026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9.90%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SOFR+590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LLC (f/k/a MeritDirect,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05/21/2019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06/30/2026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Aphix Buyer,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07/17/2025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07/17/2031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8.91%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6,106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6,114</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Aphix Buyer,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07/17/2025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07/16/2027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9,172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Aphix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07/17/2025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07/17/2031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2,389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w:t>
            </w: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APT OPCO,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09/29/2025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7,875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7,826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7,826</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OPCO,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09/29/2025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OPCO,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09/29/2025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Arcfield Acquisition Corp.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10/28/2024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10/28/2031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w:t>
            </w: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Archer Lewis,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1,474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Archer Lewis,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08/28/2024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Archer Lewis,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09/13/2024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9.90%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10,349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10,291</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Argano,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09/13/2024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w:t>
            </w: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Argano,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09/13/2024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(12)</w:t>
            </w: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Azureon,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9,811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9,708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9,526</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Azureon,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06/26/2024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Azureon,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06/26/2029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(20)</w:t>
            </w: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Beacon Behavioral Support Service,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12/22/2025</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3,838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0"/>
                <w:szCs w:val="10"/>
                <w:color w:val="auto"/>
              </w:rPr>
            </w:pPr>
          </w:p>
        </w:tc>
      </w:tr>
      <w:tr>
        <w:trPr>
          <w:trHeight w:val="103"/>
        </w:trPr>
        <w:tc>
          <w:tcPr>
            <w:tcW w:w="20" w:type="dxa"/>
            <w:vAlign w:val="bottom"/>
          </w:tcPr>
          <w:p>
            <w:pPr>
              <w:spacing w:after="0"/>
              <w:rPr>
                <w:sz w:val="8"/>
                <w:szCs w:val="8"/>
                <w:color w:val="auto"/>
              </w:rPr>
            </w:pPr>
          </w:p>
        </w:tc>
        <w:tc>
          <w:tcPr>
            <w:tcW w:w="3200" w:type="dxa"/>
            <w:vAlign w:val="bottom"/>
            <w:shd w:val="clear" w:color="auto" w:fill="CCECFF"/>
          </w:tcPr>
          <w:p>
            <w:pPr>
              <w:spacing w:after="0" w:line="103" w:lineRule="exact"/>
              <w:rPr>
                <w:sz w:val="20"/>
                <w:szCs w:val="20"/>
                <w:color w:val="auto"/>
              </w:rPr>
            </w:pPr>
            <w:r>
              <w:rPr>
                <w:rFonts w:ascii="Times New Roman" w:cs="Times New Roman" w:eastAsia="Times New Roman" w:hAnsi="Times New Roman"/>
                <w:sz w:val="11"/>
                <w:szCs w:val="11"/>
                <w:color w:val="auto"/>
              </w:rPr>
              <w:t>Beacon Behavioral Support Service, LLC - Unfunded Term Loan - 3rd</w:t>
            </w: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r>
      <w:tr>
        <w:trPr>
          <w:trHeight w:val="140"/>
        </w:trPr>
        <w:tc>
          <w:tcPr>
            <w:tcW w:w="20" w:type="dxa"/>
            <w:vAlign w:val="bottom"/>
          </w:tcPr>
          <w:p>
            <w:pPr>
              <w:spacing w:after="0"/>
              <w:rPr>
                <w:sz w:val="12"/>
                <w:szCs w:val="12"/>
                <w:color w:val="auto"/>
              </w:rPr>
            </w:pPr>
          </w:p>
        </w:tc>
        <w:tc>
          <w:tcPr>
            <w:tcW w:w="3200" w:type="dxa"/>
            <w:vAlign w:val="bottom"/>
            <w:shd w:val="clear" w:color="auto" w:fill="CCECFF"/>
          </w:tcPr>
          <w:p>
            <w:pPr>
              <w:spacing w:after="0" w:line="140" w:lineRule="exact"/>
              <w:rPr>
                <w:sz w:val="20"/>
                <w:szCs w:val="20"/>
                <w:color w:val="auto"/>
              </w:rPr>
            </w:pPr>
            <w:r>
              <w:rPr>
                <w:rFonts w:ascii="Times New Roman" w:cs="Times New Roman" w:eastAsia="Times New Roman" w:hAnsi="Times New Roman"/>
                <w:sz w:val="11"/>
                <w:szCs w:val="11"/>
                <w:color w:val="auto"/>
              </w:rPr>
              <w:t xml:space="preserve">Amendment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06/21/2024</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06/21/2027</w:t>
            </w:r>
          </w:p>
        </w:tc>
        <w:tc>
          <w:tcPr>
            <w:tcW w:w="120" w:type="dxa"/>
            <w:vAlign w:val="bottom"/>
            <w:shd w:val="clear" w:color="auto" w:fill="CCECFF"/>
          </w:tcPr>
          <w:p>
            <w:pPr>
              <w:spacing w:after="0"/>
              <w:rPr>
                <w:sz w:val="12"/>
                <w:szCs w:val="12"/>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12,627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CECFF"/>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Beacon Behavioral Support Service,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Berwick Industrial Park</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04/26/2022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05/02/2026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3,988</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Best Practice Associates,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11/07/2024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w:t>
            </w: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06/28/2022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07/02/2029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10,537</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Big Top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02/28/2030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BioDerm,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01/30/2023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01/31/2028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10.77%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1,071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1,058</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9.40%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SOFR+540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1,263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1,245</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9.40%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SOFR+540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2,147</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Blackhawk Industrial Distribution,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w:t>
            </w: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11/20/2024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2,248</w:t>
            </w:r>
          </w:p>
        </w:tc>
        <w:tc>
          <w:tcPr>
            <w:tcW w:w="100" w:type="dxa"/>
            <w:vAlign w:val="bottom"/>
            <w:shd w:val="clear" w:color="auto" w:fill="CCECFF"/>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BLC Holding Company,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7,514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11/20/2024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BLC Holding Company,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11/20/2030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Blue Cloud Pediatric Surgery Centers,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08/12/2025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&amp;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9.48%</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2,469</w:t>
            </w:r>
          </w:p>
        </w:tc>
        <w:tc>
          <w:tcPr>
            <w:tcW w:w="100" w:type="dxa"/>
            <w:vAlign w:val="bottom"/>
            <w:shd w:val="clear" w:color="auto" w:fill="CCEC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Blue Cloud Pediatric Surgery Centers,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08/12/2025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&amp;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2,759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Boss Industries,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12/27/2030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bl>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17" w:name="page18"/>
    <w:bookmarkEnd w:id="1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6"/>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12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07/15/2025</w:t>
            </w:r>
          </w:p>
        </w:tc>
        <w:tc>
          <w:tcPr>
            <w:tcW w:w="12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07/15/2031</w:t>
            </w:r>
          </w:p>
        </w:tc>
        <w:tc>
          <w:tcPr>
            <w:tcW w:w="120" w:type="dxa"/>
            <w:vAlign w:val="bottom"/>
          </w:tcPr>
          <w:p>
            <w:pPr>
              <w:spacing w:after="0"/>
              <w:rPr>
                <w:sz w:val="10"/>
                <w:szCs w:val="10"/>
                <w:color w:val="auto"/>
              </w:rPr>
            </w:pPr>
          </w:p>
        </w:tc>
        <w:tc>
          <w:tcPr>
            <w:tcW w:w="1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9.66%</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99"/>
              </w:rPr>
              <w:t>3M SOFR+550</w:t>
            </w:r>
          </w:p>
        </w:tc>
        <w:tc>
          <w:tcPr>
            <w:tcW w:w="220" w:type="dxa"/>
            <w:vAlign w:val="bottom"/>
          </w:tcPr>
          <w:p>
            <w:pPr>
              <w:spacing w:after="0"/>
              <w:rPr>
                <w:sz w:val="10"/>
                <w:szCs w:val="10"/>
                <w:color w:val="auto"/>
              </w:rPr>
            </w:pP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2,481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By Light Professional IT Services,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07/15/2025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988</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Capital Construction,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06/30/2025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10/22/2026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10.20%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SOFR+590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5,608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5,573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5,552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Capital Construction, LLC - Unfunded Term Loan A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06/30/2025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12/30/2025</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11/27/2023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Term Loan 2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11/27/2023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Carisk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11/27/2023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Carnegie Dartlet,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2,326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Dartlet,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02/07/2024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02/09/2026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Dartlet,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3,339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06/01/2022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06/14/2028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10.30%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23,494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06/01/2022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06/14/2028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10.30%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Cartessa Aesthetics,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06/01/2022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06/14/2028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2,297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9.09%</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Case Works,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1,793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Case Works,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CF512,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08/17/2021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08/20/2026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10.18%</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SOFR+602</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CF512,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08/17/2021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07/13/2027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CJX Borrower,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07/13/2027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07/13/2027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10.07%</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893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CJX Borrower,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07/13/2027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Compex Legal Services,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07/24/2023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9.78%</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Compex Legal Services,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07/24/2023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Cornerstone Advisors of Arizona,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05/13/2025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05/13/2032</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Consulting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5,970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Cornerstone Advisors of Arizona,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05/13/2025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05/13/2032</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Consulting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Commercial Fire Protection Holdings,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Commercial Fire Protection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09/23/2030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Crane 1 Services, Inc. - Unfunded Revolver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06/10/2024</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Acquisition,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4,133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11/01/2019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11/03/2025</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9.57%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DRS Holdings III,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11/01/2019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11/03/2025</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Duggal Acquisition,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09/30/2024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Duggal Acquisition,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09/30/2024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2,561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Last-Out Term Loan</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07/15/2024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10/16/2028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9.96%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EDS Buyer,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12/19/2022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01/10/2029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Emergency Care Partners,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10/18/2027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9.69%</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Emergency Care Partners,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10/18/2024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10/19/2026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Emergency Care Partners,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10/18/2027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ENC Parent Corporation</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08/20/2029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3,057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05/24/2023</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05/29/2029</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9.16%</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ETE Intermediate II, LLC - Funded Revolver</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05/24/2023</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05/25/2029</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ETE Intermediate II, LLC - Unfunded Revolver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05/24/2023</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05/25/2029</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 xml:space="preserve">Eval Home Health Solutions Intermediate, LLC - Unfunded Revolver </w:t>
            </w:r>
            <w:r>
              <w:rPr>
                <w:rFonts w:ascii="Times New Roman" w:cs="Times New Roman" w:eastAsia="Times New Roman" w:hAnsi="Times New Roman"/>
                <w:sz w:val="14"/>
                <w:szCs w:val="14"/>
                <w:color w:val="auto"/>
                <w:w w:val="99"/>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05/10/2024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05/10/2030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03/10/2022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03/15/2027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SOFR+635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23,878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23,740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23,878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Exigo Intermediate II,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03/10/2022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03/15/2027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1,856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Express Wash Intermediate,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07/14/2022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04/10/2031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10.58%</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9,975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9,926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Express Wash Intermediate,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07/14/2022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04/10/2031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First Medical MSO,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06/13/2025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4,489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4,445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4,444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First Medical MSO,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06/13/2025</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06/13/2027</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First Medical MSO, LLC - Unfunded Revolver </w:t>
            </w:r>
            <w:r>
              <w:rPr>
                <w:rFonts w:ascii="Times New Roman" w:cs="Times New Roman" w:eastAsia="Times New Roman" w:hAnsi="Times New Roman"/>
                <w:sz w:val="13"/>
                <w:szCs w:val="13"/>
                <w:color w:val="auto"/>
                <w:vertAlign w:val="superscript"/>
              </w:rPr>
              <w:t>(7)</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06/13/2025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06/13/2031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Five Star Buyer,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02/21/2023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02/23/2028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Pictures, Entertainment</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11.46%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SOFR+715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1.00%)</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Five Star Buyer, Inc. - Unfunded Revolver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60" w:type="dxa"/>
            <w:vAlign w:val="bottom"/>
            <w:tcBorders>
              <w:right w:val="single" w:sz="8" w:color="CCECFF"/>
            </w:tcBorders>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02/21/2023</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02/23/2028</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Gauge ETE Blocker,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05/24/2023</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05/21/2029</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12.56%</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60" w:type="dxa"/>
            <w:vAlign w:val="bottom"/>
            <w:tcBorders>
              <w:right w:val="single" w:sz="8" w:color="CCECFF"/>
            </w:tcBorders>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GGG MIDCO,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09/27/2024</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09/27/2030</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9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9.22%</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8,035</w:t>
            </w:r>
          </w:p>
        </w:tc>
        <w:tc>
          <w:tcPr>
            <w:tcW w:w="260" w:type="dxa"/>
            <w:vAlign w:val="bottom"/>
            <w:tcBorders>
              <w:right w:val="single" w:sz="8" w:color="CCECFF"/>
            </w:tcBorders>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GGG MIDCO, LLC - Unfunded Term Loan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09/27/2024</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09/27/2026</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60" w:type="dxa"/>
            <w:vAlign w:val="bottom"/>
            <w:tcBorders>
              <w:right w:val="single" w:sz="8" w:color="CCECFF"/>
            </w:tcBorders>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GGG MIDCO, LLC - Unfunded Revolver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09/27/2024</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09/27/2030</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3"/>
              </w:rPr>
              <w:t>Products</w:t>
            </w: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10/25/2022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Graffiti Buyer,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10/25/2022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Graffiti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Halo Buyer,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07/18/2018</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08/07/2029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16,760</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Halo Buyer,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07/18/2018</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08/07/2029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Halo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07/18/2018</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08/07/2029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3"/>
              </w:rPr>
              <w:t>Insurance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SOFR+560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9,097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9,019</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Term Loan B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02/09/2026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5,574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Term Loan C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08/18/2027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10,226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526</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Harris &amp; Co,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08/09/2030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2,479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HEC Purchaser Corp.</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06/17/2029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9.22%</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4,801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4,778</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4,801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Hills Distribution,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11/02/2023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10.32%</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7,721</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Hills Distribution,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11/02/2023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11/07/2025</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(10)</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06/13/2022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286</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 Funded Revolver </w:t>
            </w:r>
            <w:r>
              <w:rPr>
                <w:rFonts w:ascii="Times New Roman" w:cs="Times New Roman" w:eastAsia="Times New Roman" w:hAnsi="Times New Roman"/>
                <w:sz w:val="14"/>
                <w:szCs w:val="14"/>
                <w:color w:val="auto"/>
                <w:vertAlign w:val="superscript"/>
              </w:rPr>
              <w:t>(10)</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06/13/2022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 Unfunded Revolver </w:t>
            </w:r>
            <w:r>
              <w:rPr>
                <w:rFonts w:ascii="Times New Roman" w:cs="Times New Roman" w:eastAsia="Times New Roman" w:hAnsi="Times New Roman"/>
                <w:sz w:val="14"/>
                <w:szCs w:val="14"/>
                <w:color w:val="auto"/>
                <w:vertAlign w:val="superscript"/>
              </w:rPr>
              <w:t>(7), (10)</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06/13/2022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HW Holdco,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10/11/2019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05/11/2026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3,387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07/11/2022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09/22/2028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IG Investments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07/11/2022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09/22/2028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722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Imagine Acquisitionco,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11/04/2021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11/16/2027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Impact Advisors,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03/19/2032</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7,960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7,921</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Impact Advisors,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03/21/2025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4,686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Impact Advisors,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03/19/2032</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12/21/2022</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12/28/2028</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8,885</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jc w:val="right"/>
              <w:ind w:right="246"/>
              <w:spacing w:after="0" w:line="108" w:lineRule="exact"/>
              <w:rPr>
                <w:sz w:val="20"/>
                <w:szCs w:val="20"/>
                <w:color w:val="auto"/>
              </w:rPr>
            </w:pPr>
            <w:r>
              <w:rPr>
                <w:rFonts w:ascii="Times New Roman" w:cs="Times New Roman" w:eastAsia="Times New Roman" w:hAnsi="Times New Roman"/>
                <w:sz w:val="11"/>
                <w:szCs w:val="11"/>
                <w:color w:val="auto"/>
              </w:rPr>
              <w:t>CAD</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60" w:type="dxa"/>
            <w:vAlign w:val="bottom"/>
            <w:tcBorders>
              <w:right w:val="single" w:sz="8" w:color="CCECFF"/>
            </w:tcBorders>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Infinity Home Services Holdco, Inc. (CAD)</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12/21/2022</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12/28/2028</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1,887</w:t>
            </w:r>
          </w:p>
        </w:tc>
        <w:tc>
          <w:tcPr>
            <w:tcW w:w="260" w:type="dxa"/>
            <w:vAlign w:val="bottom"/>
            <w:tcBorders>
              <w:right w:val="single" w:sz="8" w:color="CCECFF"/>
            </w:tcBorders>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Infinity Home Services Holdco, Inc. - 3rd Amendment Unfunded Term</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jc w:val="center"/>
              <w:ind w:right="6"/>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line="140" w:lineRule="exact"/>
              <w:rPr>
                <w:sz w:val="20"/>
                <w:szCs w:val="20"/>
                <w:color w:val="auto"/>
              </w:rPr>
            </w:pPr>
            <w:r>
              <w:rPr>
                <w:rFonts w:ascii="Times New Roman" w:cs="Times New Roman" w:eastAsia="Times New Roman" w:hAnsi="Times New Roman"/>
                <w:sz w:val="11"/>
                <w:szCs w:val="11"/>
                <w:color w:val="auto"/>
              </w:rPr>
              <w:t xml:space="preserve">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12/21/2022</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10/30/2026</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60" w:type="dxa"/>
            <w:vAlign w:val="bottom"/>
            <w:tcBorders>
              <w:right w:val="single" w:sz="8" w:color="CCECFF"/>
            </w:tcBorders>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Infinity Home Services Holdco, Inc. - Funded Revolver</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12/21/2022</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12/28/2028</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9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12.25%</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60" w:type="dxa"/>
            <w:vAlign w:val="bottom"/>
            <w:tcBorders>
              <w:right w:val="single" w:sz="8" w:color="CCECFF"/>
            </w:tcBorders>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Infinity Home Services Holdco, Inc. - Unfunded Revolver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12/21/2022</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12/28/2028</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Inovex Information Systems Incorporated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Inovex Information Systems Incorporated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12/17/2024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Inventus Power,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03/24/2021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01/15/2026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11.76%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SOFR+761</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Inventus Power,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03/24/2021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01/15/2026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10.19%</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SOFR+615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3,099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3,044</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11/10/2026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SOFR+615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3,070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3,070</w:t>
            </w:r>
          </w:p>
        </w:tc>
        <w:tc>
          <w:tcPr>
            <w:tcW w:w="2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Kinetic Purchaser,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CCECFF"/>
            </w:tcBorders>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Lash OpCo, LLC</w:t>
            </w:r>
          </w:p>
        </w:tc>
        <w:tc>
          <w:tcPr>
            <w:tcW w:w="720" w:type="dxa"/>
            <w:vAlign w:val="bottom"/>
            <w:gridSpan w:val="2"/>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08/16/2021</w:t>
            </w:r>
          </w:p>
        </w:tc>
        <w:tc>
          <w:tcPr>
            <w:tcW w:w="72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02/18/2027</w:t>
            </w: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12.14%</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SOFR+785</w:t>
            </w:r>
          </w:p>
        </w:tc>
        <w:tc>
          <w:tcPr>
            <w:tcW w:w="8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3,055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3,038</w:t>
            </w:r>
          </w:p>
        </w:tc>
        <w:tc>
          <w:tcPr>
            <w:tcW w:w="26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2,979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5.10%)</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Lash OpCo,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12.14%</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SOFR+785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60" w:type="dxa"/>
            <w:vAlign w:val="bottom"/>
            <w:tcBorders>
              <w:right w:val="single" w:sz="8" w:color="CCECFF"/>
            </w:tcBorders>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(PIK 5.10%)</w:t>
            </w:r>
          </w:p>
        </w:tc>
        <w:tc>
          <w:tcPr>
            <w:tcW w:w="220" w:type="dxa"/>
            <w:vAlign w:val="bottom"/>
            <w:shd w:val="clear" w:color="auto" w:fill="CCECFF"/>
          </w:tcPr>
          <w:p>
            <w:pPr>
              <w:spacing w:after="0"/>
              <w:rPr>
                <w:sz w:val="10"/>
                <w:szCs w:val="10"/>
                <w:color w:val="auto"/>
              </w:rPr>
            </w:pPr>
          </w:p>
        </w:tc>
        <w:tc>
          <w:tcPr>
            <w:tcW w:w="700" w:type="dxa"/>
            <w:vAlign w:val="bottom"/>
            <w:tcBorders>
              <w:top w:val="single" w:sz="8" w:color="auto"/>
            </w:tcBorders>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460" w:type="dxa"/>
            <w:vAlign w:val="bottom"/>
            <w:tcBorders>
              <w:top w:val="single" w:sz="8" w:color="auto"/>
            </w:tcBorders>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tcBorders>
              <w:top w:val="single" w:sz="8" w:color="auto"/>
            </w:tcBorders>
            <w:shd w:val="clear" w:color="auto" w:fill="CCECFF"/>
          </w:tcPr>
          <w:p>
            <w:pPr>
              <w:spacing w:after="0"/>
              <w:rPr>
                <w:sz w:val="10"/>
                <w:szCs w:val="10"/>
                <w:color w:val="auto"/>
              </w:rPr>
            </w:pPr>
          </w:p>
        </w:tc>
        <w:tc>
          <w:tcPr>
            <w:tcW w:w="720" w:type="dxa"/>
            <w:vAlign w:val="bottom"/>
            <w:tcBorders>
              <w:top w:val="single" w:sz="8" w:color="auto"/>
            </w:tcBorders>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Lash OpCo,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2,223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Incremental Term Loan</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02/26/2020</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07/31/2029</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10.10%</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3M SOFR+594</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LAV Gear Holdings, Inc. - FOTL</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02/26/2020</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07/31/2029</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10.10%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SOFR+595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LAV Gear Holdings, Inc. - Unfunded Revolver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02/26/2020</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07/31/2029</w:t>
            </w: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20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Ledge Lounger, Inc.</w:t>
            </w:r>
          </w:p>
        </w:tc>
        <w:tc>
          <w:tcPr>
            <w:tcW w:w="720" w:type="dxa"/>
            <w:vAlign w:val="bottom"/>
            <w:gridSpan w:val="2"/>
            <w:shd w:val="clear" w:color="auto" w:fill="CCECFF"/>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11/04/2021</w:t>
            </w:r>
          </w:p>
        </w:tc>
        <w:tc>
          <w:tcPr>
            <w:tcW w:w="72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11/09/2026</w:t>
            </w: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11.65%</w:t>
            </w:r>
          </w:p>
        </w:tc>
        <w:tc>
          <w:tcPr>
            <w:tcW w:w="7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SOFR+765</w:t>
            </w:r>
          </w:p>
        </w:tc>
        <w:tc>
          <w:tcPr>
            <w:tcW w:w="86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8,998</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8,949</w:t>
            </w: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7,018</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1.00%)</w:t>
            </w: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Ledge Lounger, Inc. - Funded Revolver</w:t>
            </w:r>
          </w:p>
        </w:tc>
        <w:tc>
          <w:tcPr>
            <w:tcW w:w="720" w:type="dxa"/>
            <w:vAlign w:val="bottom"/>
            <w:gridSpan w:val="2"/>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11/04/2021</w:t>
            </w:r>
          </w:p>
        </w:tc>
        <w:tc>
          <w:tcPr>
            <w:tcW w:w="72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11/09/2026</w:t>
            </w: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11.65%</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SOFR+765</w:t>
            </w:r>
          </w:p>
        </w:tc>
        <w:tc>
          <w:tcPr>
            <w:tcW w:w="8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1,621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1,621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1,264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1.00%)</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02/03/2020</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02/03/2027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8.91%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2,011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2,011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2,011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Lightspeed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02/03/2020</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02/03/2027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01/18/2023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02/01/2030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8.78%</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5,179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LJ Avalon Holdings,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01/18/2023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02/08/2027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LJ Avalon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01/18/2023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Loving Tan Intermediate II,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05/25/2023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7,054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Loving Tan Intermediate II,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05/25/2023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Loving Tan Intermediate II,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05/25/2023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Loving Tan Intermediate II,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05/25/2023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07/12/2026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Marketplace Events Acquisition,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12/19/2024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06/19/2026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Marketplace Events Acquisition,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12/19/2024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MBS Holdings,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04/14/2021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04/16/2027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9.30%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SOFR+510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MBS Holdings,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04/14/2021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04/16/2027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MDI Buyer,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07/19/2022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11.50%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SOFR+375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MDI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07/19/2022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12/09/2021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SOFR+565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1,903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12/09/2021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SOFR+565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Meadowlark Acquirer, LLC-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12/09/2021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Medina Health,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10/16/2023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10/20/2028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Acquisitionco,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9.67%</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Megawatt Acquisitionco,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Mineola 212,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06/24/2024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12/24/2025</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14.00%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3,515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MOREGroup Holdings,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01/09/2024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01/16/2026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MOREGroup Holdings,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01/09/2024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01/16/2030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09/23/2021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SOFR+515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Municipal Emergency Services,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09/23/2021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01/15/2026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Municipal Emergency Services,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09/23/2021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10/01/2027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NBH Group,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08/19/2026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NORA Acquisition,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08/22/2023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08/31/2029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10.35%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SOFR+635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NORA Acquisition,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08/22/2023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08/31/2029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08/29/2025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29,416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29,269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29,269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American Rail Solutions,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08/29/2025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2,263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08/29/2025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American Rail Solutions,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08/29/2025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08/29/2031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2,383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NP Riverhead Industrial,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05/24/2024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12/10/2025</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15.50%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5,015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Omnia Exterior Solutions,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1,771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Omnia Exterior Solutions,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3,807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Omnia Exterior Solutions,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1,260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1,260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Omnia Exterior Solutions,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ORL Acquisition, Inc.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09/01/2021</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09/03/2027</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13.70%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SOFR+940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0" w:name="page21"/>
    <w:bookmarkEnd w:id="20"/>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9"/>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r>
      <w:tr>
        <w:trPr>
          <w:trHeight w:val="115"/>
        </w:trPr>
        <w:tc>
          <w:tcPr>
            <w:tcW w:w="3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(PIK 7.50%)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ORL Acquisition,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09/01/2021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w:t>
            </w: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12/11/2023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9.81%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6,386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6,298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6,297</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OSP Embedded Purchaser,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12/11/2023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(21)</w:t>
            </w: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Pacific Purchaser,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10/02/2023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10/02/2028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w:t>
            </w: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PAR Excellence Holdings,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9.32%</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11,827</w:t>
            </w:r>
          </w:p>
        </w:tc>
        <w:tc>
          <w:tcPr>
            <w:tcW w:w="26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11,731</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PAR Excellence Holdings,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w:t>
            </w: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Paving Lessor Corp.</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6,974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6,922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6,921</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Paving Lessor Corp.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07/01/2025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Paving Lessor Corp.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w:t>
            </w: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2,322</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PCS MIDCO,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03/02/2026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PCS MIDCO,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1,762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Peninsula Pacific Entertainment</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08/22/2032</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rPr>
              <w:t>Gaming</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9.02%</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5,251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5,238</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Peninsula Pacific Entertainment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08/25/2027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Gaming</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Penta Group Holdings,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Penta Group Holdings,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2,591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Penta Group Holdings,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209</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Penta Group Holdings,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PlayPower,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08/28/2024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11,804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100" w:type="dxa"/>
            <w:vAlign w:val="bottom"/>
            <w:shd w:val="clear" w:color="auto" w:fill="CCECFF"/>
          </w:tcPr>
          <w:p>
            <w:pPr>
              <w:spacing w:after="0"/>
              <w:rPr>
                <w:sz w:val="10"/>
                <w:szCs w:val="10"/>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PlayPower,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08/28/2024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08/28/2030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Podean Buyer,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08/04/2025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4,030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3,990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3,990</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Podean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08/04/2025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08/04/2031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w:t>
            </w: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PL Acquisitionco, LLC - Funded Revolver </w:t>
            </w:r>
            <w:r>
              <w:rPr>
                <w:rFonts w:ascii="Times New Roman" w:cs="Times New Roman" w:eastAsia="Times New Roman" w:hAnsi="Times New Roman"/>
                <w:sz w:val="14"/>
                <w:szCs w:val="14"/>
                <w:color w:val="auto"/>
                <w:vertAlign w:val="superscript"/>
              </w:rPr>
              <w:t>(13)</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11/05/2021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11/09/2027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4.27%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345</w:t>
            </w:r>
          </w:p>
        </w:tc>
        <w:tc>
          <w:tcPr>
            <w:tcW w:w="100" w:type="dxa"/>
            <w:vAlign w:val="bottom"/>
            <w:shd w:val="clear" w:color="auto" w:fill="CCECFF"/>
          </w:tcPr>
          <w:p>
            <w:pPr>
              <w:spacing w:after="0"/>
              <w:rPr>
                <w:sz w:val="10"/>
                <w:szCs w:val="10"/>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PL Acquisitionco, LLC - Unfunded Revolver </w:t>
            </w:r>
            <w:r>
              <w:rPr>
                <w:rFonts w:ascii="Times New Roman" w:cs="Times New Roman" w:eastAsia="Times New Roman" w:hAnsi="Times New Roman"/>
                <w:sz w:val="14"/>
                <w:szCs w:val="14"/>
                <w:color w:val="auto"/>
                <w:vertAlign w:val="superscript"/>
              </w:rPr>
              <w:t>(7), (13)</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11/05/2021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11/09/2027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(453)</w:t>
            </w: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Project Granite Buyer,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12/31/2024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Project Granite Buyer,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12/31/2024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12/31/2030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923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11/14/2022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03/29/2027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10.29%</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Radius Aerospace,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11/14/2022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03/29/2027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(41)</w:t>
            </w: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Rancho Health MSO,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09/27/2021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06/30/2026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Rancho Health MSO,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09/27/2021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06/20/2029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9.29%</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1,962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1,962</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Rancho Health MSO,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09/27/2021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06/20/2029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Recteq,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01/27/2021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01/29/2026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10.46%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Recteq,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01/27/2021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01/29/2026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w:t>
            </w: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Riverpoint Medical,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06/19/2019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 Health,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01/16/2025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01/17/2031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&amp;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1,258</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Ro Health,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01/16/2025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01/17/2031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&amp;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2,935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Rosco Parent,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09/09/2025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8.81%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10,167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10,090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10,090</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Rosco Parent,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09/09/2025</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09/12/2031</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1,332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Route 66 Development</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01/28/2025</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01/24/2031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rPr>
              <w:t>Gaming</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13.16%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SOFR+900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17,655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17,910</w:t>
            </w:r>
          </w:p>
        </w:tc>
        <w:tc>
          <w:tcPr>
            <w:tcW w:w="100" w:type="dxa"/>
            <w:vAlign w:val="bottom"/>
            <w:shd w:val="clear" w:color="auto" w:fill="CCECFF"/>
          </w:tcPr>
          <w:p>
            <w:pPr>
              <w:spacing w:after="0"/>
              <w:rPr>
                <w:sz w:val="10"/>
                <w:szCs w:val="10"/>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2,996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2,978</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RRA Corporate,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CFF"/>
          </w:tcPr>
          <w:p>
            <w:pPr>
              <w:spacing w:after="0"/>
              <w:rPr>
                <w:sz w:val="10"/>
                <w:szCs w:val="10"/>
                <w:color w:val="auto"/>
              </w:rPr>
            </w:pP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RRA Corporate,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08/15/2029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w:t>
            </w: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RTIC Subsidiary Holdings,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Subsidiary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(35)</w:t>
            </w: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06/15/2029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SOFR+575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438</w:t>
            </w:r>
          </w:p>
        </w:tc>
        <w:tc>
          <w:tcPr>
            <w:tcW w:w="100" w:type="dxa"/>
            <w:vAlign w:val="bottom"/>
          </w:tcPr>
          <w:p>
            <w:pPr>
              <w:spacing w:after="0"/>
              <w:rPr>
                <w:sz w:val="10"/>
                <w:szCs w:val="10"/>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Rural Sourcing Holdings,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06/15/2029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(37)</w:t>
            </w: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Government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0"/>
                <w:szCs w:val="10"/>
                <w:color w:val="auto"/>
              </w:rPr>
            </w:pPr>
          </w:p>
        </w:tc>
      </w:tr>
      <w:tr>
        <w:trPr>
          <w:trHeight w:val="121"/>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Systems Technology Solutions,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10/31/2030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Government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Safe Haven Defense US,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9.50%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3,871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3,899</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Safe Haven Defense US,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w:t>
            </w:r>
          </w:p>
        </w:tc>
      </w:tr>
      <w:tr>
        <w:trPr>
          <w:trHeight w:val="121"/>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05/29/2020</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07/07/2026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9.20%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SOFR+520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0"/>
                <w:szCs w:val="10"/>
                <w:color w:val="auto"/>
              </w:rPr>
            </w:pPr>
          </w:p>
        </w:tc>
      </w:tr>
      <w:tr>
        <w:trPr>
          <w:trHeight w:val="122"/>
        </w:trPr>
        <w:tc>
          <w:tcPr>
            <w:tcW w:w="322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Sales Benchmark Index,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05/29/2020</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07/07/2026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r>
      <w:tr>
        <w:trPr>
          <w:trHeight w:val="140"/>
        </w:trPr>
        <w:tc>
          <w:tcPr>
            <w:tcW w:w="3220" w:type="dxa"/>
            <w:vAlign w:val="bottom"/>
          </w:tcPr>
          <w:p>
            <w:pPr>
              <w:spacing w:after="0"/>
              <w:rPr>
                <w:sz w:val="20"/>
                <w:szCs w:val="20"/>
                <w:color w:val="auto"/>
              </w:rPr>
            </w:pPr>
            <w:r>
              <w:rPr>
                <w:rFonts w:ascii="Times New Roman" w:cs="Times New Roman" w:eastAsia="Times New Roman" w:hAnsi="Times New Roman"/>
                <w:sz w:val="11"/>
                <w:szCs w:val="11"/>
                <w:color w:val="auto"/>
              </w:rPr>
              <w:t>Sath Industries,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12/17/2024</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12/17/2029</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Event Services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9.54%</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11,389</w:t>
            </w:r>
          </w:p>
        </w:tc>
        <w:tc>
          <w:tcPr>
            <w:tcW w:w="100" w:type="dxa"/>
            <w:vAlign w:val="bottom"/>
          </w:tcPr>
          <w:p>
            <w:pPr>
              <w:spacing w:after="0"/>
              <w:rPr>
                <w:sz w:val="12"/>
                <w:szCs w:val="12"/>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auto"/>
            </w:tcBorders>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Sath Industries, LLC - Unfunded Revolver </w:t>
            </w:r>
            <w:r>
              <w:rPr>
                <w:rFonts w:ascii="Times New Roman" w:cs="Times New Roman" w:eastAsia="Times New Roman" w:hAnsi="Times New Roman"/>
                <w:sz w:val="13"/>
                <w:szCs w:val="13"/>
                <w:color w:val="auto"/>
                <w:vertAlign w:val="superscript"/>
              </w:rPr>
              <w:t>(7)</w:t>
            </w: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12/17/2024</w:t>
            </w: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12/17/2029</w:t>
            </w:r>
          </w:p>
        </w:tc>
        <w:tc>
          <w:tcPr>
            <w:tcW w:w="120" w:type="dxa"/>
            <w:vAlign w:val="bottom"/>
            <w:shd w:val="clear" w:color="auto" w:fill="CCECFF"/>
          </w:tcPr>
          <w:p>
            <w:pPr>
              <w:spacing w:after="0"/>
              <w:rPr>
                <w:sz w:val="10"/>
                <w:szCs w:val="10"/>
                <w:color w:val="auto"/>
              </w:rPr>
            </w:pPr>
          </w:p>
        </w:tc>
        <w:tc>
          <w:tcPr>
            <w:tcW w:w="162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Event Services</w:t>
            </w:r>
          </w:p>
        </w:tc>
        <w:tc>
          <w:tcPr>
            <w:tcW w:w="100" w:type="dxa"/>
            <w:vAlign w:val="bottom"/>
            <w:shd w:val="clear" w:color="auto" w:fill="CCECFF"/>
          </w:tcPr>
          <w:p>
            <w:pPr>
              <w:spacing w:after="0"/>
              <w:rPr>
                <w:sz w:val="10"/>
                <w:szCs w:val="10"/>
                <w:color w:val="auto"/>
              </w:rPr>
            </w:pPr>
          </w:p>
        </w:tc>
        <w:tc>
          <w:tcPr>
            <w:tcW w:w="6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70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1,300</w:t>
            </w:r>
          </w:p>
        </w:tc>
        <w:tc>
          <w:tcPr>
            <w:tcW w:w="220" w:type="dxa"/>
            <w:vAlign w:val="bottom"/>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46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tcBorders>
              <w:top w:val="single" w:sz="8" w:color="auto"/>
            </w:tcBorders>
            <w:shd w:val="clear" w:color="auto" w:fill="CCECFF"/>
          </w:tcPr>
          <w:p>
            <w:pPr>
              <w:spacing w:after="0"/>
              <w:rPr>
                <w:sz w:val="10"/>
                <w:szCs w:val="10"/>
                <w:color w:val="auto"/>
              </w:rPr>
            </w:pPr>
          </w:p>
        </w:tc>
        <w:tc>
          <w:tcPr>
            <w:tcW w:w="7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Schlesinger Global, Inc.</w:t>
            </w:r>
          </w:p>
        </w:tc>
        <w:tc>
          <w:tcPr>
            <w:tcW w:w="720" w:type="dxa"/>
            <w:vAlign w:val="bottom"/>
            <w:gridSpan w:val="2"/>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07/02/2019</w:t>
            </w:r>
          </w:p>
        </w:tc>
        <w:tc>
          <w:tcPr>
            <w:tcW w:w="72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11/12/2025</w:t>
            </w: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12.92%</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SOFR+860</w:t>
            </w:r>
          </w:p>
        </w:tc>
        <w:tc>
          <w:tcPr>
            <w:tcW w:w="8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2,613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2,605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2,482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5.85%)</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Schlesinger Global, Inc. - Funded Revolver</w:t>
            </w:r>
          </w:p>
        </w:tc>
        <w:tc>
          <w:tcPr>
            <w:tcW w:w="720" w:type="dxa"/>
            <w:vAlign w:val="bottom"/>
            <w:gridSpan w:val="2"/>
            <w:shd w:val="clear" w:color="auto" w:fill="CCECFF"/>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07/02/2019</w:t>
            </w:r>
          </w:p>
        </w:tc>
        <w:tc>
          <w:tcPr>
            <w:tcW w:w="720" w:type="dxa"/>
            <w:vAlign w:val="bottom"/>
            <w:gridSpan w:val="2"/>
            <w:shd w:val="clear" w:color="auto" w:fill="CCECFF"/>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11/12/2025</w:t>
            </w: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12.92%</w:t>
            </w:r>
          </w:p>
        </w:tc>
        <w:tc>
          <w:tcPr>
            <w:tcW w:w="70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SOFR+860</w:t>
            </w:r>
          </w:p>
        </w:tc>
        <w:tc>
          <w:tcPr>
            <w:tcW w:w="86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34</w:t>
            </w: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34</w:t>
            </w: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5.85%)</w:t>
            </w: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Schlesinger Global,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07/02/2019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11/12/2025</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3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NA,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1,801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1,786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Seacoast Service Partners NA,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12/21/2026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3,608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NA,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Seacoast Service Partners NA,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Seaway Buyer,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10.17%</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SOFR+615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4,656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4,611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4,342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Seaway Buyer,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10.19%</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SOFR+615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2,605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Seaway Buyer,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Shiftkey,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06/17/2022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06/21/2027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SOFR+601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15,913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11/30/2021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10.31%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SOFR+615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10,209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11/30/2021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10.90%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SOFR+690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Sigma Defense Systems,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11/30/2021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2,835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02/25/2022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SOFR+515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Spendmend Holdings,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11/25/2026</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02/25/2022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9.15%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SOFR+515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STG Distribution, LLC - First Out New Money Term Loans</w:t>
            </w:r>
          </w:p>
        </w:tc>
        <w:tc>
          <w:tcPr>
            <w:tcW w:w="720" w:type="dxa"/>
            <w:vAlign w:val="bottom"/>
            <w:gridSpan w:val="2"/>
          </w:tcPr>
          <w:p>
            <w:pPr>
              <w:jc w:val="center"/>
              <w:ind w:left="66"/>
              <w:spacing w:after="0" w:line="108" w:lineRule="exact"/>
              <w:rPr>
                <w:sz w:val="20"/>
                <w:szCs w:val="20"/>
                <w:color w:val="auto"/>
              </w:rPr>
            </w:pPr>
            <w:r>
              <w:rPr>
                <w:rFonts w:ascii="Times New Roman" w:cs="Times New Roman" w:eastAsia="Times New Roman" w:hAnsi="Times New Roman"/>
                <w:sz w:val="11"/>
                <w:szCs w:val="11"/>
                <w:color w:val="auto"/>
                <w:w w:val="95"/>
              </w:rPr>
              <w:t>10/03/2024</w:t>
            </w:r>
          </w:p>
        </w:tc>
        <w:tc>
          <w:tcPr>
            <w:tcW w:w="720" w:type="dxa"/>
            <w:vAlign w:val="bottom"/>
            <w:gridSpan w:val="2"/>
          </w:tcPr>
          <w:p>
            <w:pPr>
              <w:jc w:val="center"/>
              <w:ind w:left="46"/>
              <w:spacing w:after="0" w:line="108" w:lineRule="exact"/>
              <w:rPr>
                <w:sz w:val="20"/>
                <w:szCs w:val="20"/>
                <w:color w:val="auto"/>
              </w:rPr>
            </w:pPr>
            <w:r>
              <w:rPr>
                <w:rFonts w:ascii="Times New Roman" w:cs="Times New Roman" w:eastAsia="Times New Roman" w:hAnsi="Times New Roman"/>
                <w:sz w:val="11"/>
                <w:szCs w:val="11"/>
                <w:color w:val="auto"/>
                <w:w w:val="99"/>
              </w:rPr>
              <w:t>10/03/2029</w:t>
            </w: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color w:val="auto"/>
              </w:rPr>
              <w:t>12.57%</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w w:val="99"/>
              </w:rPr>
              <w:t>3M SOFR+835</w:t>
            </w:r>
          </w:p>
        </w:tc>
        <w:tc>
          <w:tcPr>
            <w:tcW w:w="8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4,330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4,131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3,854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7.25%)</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STG Distribution, LLC - Second Out Term Loans </w:t>
            </w:r>
            <w:r>
              <w:rPr>
                <w:rFonts w:ascii="Times New Roman" w:cs="Times New Roman" w:eastAsia="Times New Roman" w:hAnsi="Times New Roman"/>
                <w:sz w:val="14"/>
                <w:szCs w:val="14"/>
                <w:color w:val="auto"/>
                <w:vertAlign w:val="superscript"/>
              </w:rPr>
              <w:t>(13)</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10/03/2029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5.32%</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10,012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5,656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SV-Aero Holdings,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11/02/2026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10/12/2021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9.05%</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9,468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9,415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9,392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System Planning and Analysis,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10/12/2021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06/12/2027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10/12/2021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SOFR+475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System Planning and Analysis,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10/12/2021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4,279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10.52%</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SOFR+650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8,865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8,753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01/23/2029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TCG 3.0 Jogger Acquisitionco, Inc.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01/23/2024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The Bluebird Group,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07/22/2021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07/28/2026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08/25/2021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08/31/2028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8.88%</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SOFR+485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6,638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6,587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 - Funded Revolver</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08/25/2021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08/31/2028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9.01%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SOFR+485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The Vertex Companies,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08/25/2021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08/31/2028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TMII Enterprises, LLC - Unfunded Revolver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12/19/2022</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12/22/2028</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TransGo,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12/29/2028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rPr>
              <w:t>Machinery</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2,775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Urology Management Holdings,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09/03/2024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09/03/2026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US Fertility Enterprises,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10/07/2024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10/11/2031</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8.81%</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SOFR+450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Walker Edison Furniture Company, LLC - New Money DIP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03/01/2023</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Walker Edison Furniture Company, LLC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03/01/2029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10/20/2021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04/30/2028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PIK 9.78%</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1,206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1,227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 - Funded Revolver</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10/20/2021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04/30/2028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PIK 9.78%</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Wash &amp; Wax Systems,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10/20/2021</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04/30/2028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Watchtower Buyer, LLC. - Unfunded Revolver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11/29/2023</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12/03/2029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2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537,235</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517,648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Second Lien Secured Debt - 3.9%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07/26/2022</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07/28/2030</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13.41%</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SOFR+910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7,741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ENC Parent Corporation</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08/06/2021</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08/19/2029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11.76%</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SOFR+776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7,453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TEAM Services Group, LLC</w:t>
            </w:r>
          </w:p>
        </w:tc>
        <w:tc>
          <w:tcPr>
            <w:tcW w:w="720" w:type="dxa"/>
            <w:vAlign w:val="bottom"/>
            <w:tcBorders>
              <w:bottom w:val="single" w:sz="8" w:color="CCECFF"/>
            </w:tcBorders>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04/26/2024</w:t>
            </w:r>
          </w:p>
        </w:tc>
        <w:tc>
          <w:tcPr>
            <w:tcW w:w="72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12/18/2028</w:t>
            </w:r>
          </w:p>
        </w:tc>
        <w:tc>
          <w:tcPr>
            <w:tcW w:w="120" w:type="dxa"/>
            <w:vAlign w:val="bottom"/>
            <w:tcBorders>
              <w:bottom w:val="single" w:sz="8" w:color="CCECFF"/>
            </w:tcBorders>
          </w:tcPr>
          <w:p>
            <w:pPr>
              <w:spacing w:after="0"/>
              <w:rPr>
                <w:sz w:val="10"/>
                <w:szCs w:val="10"/>
                <w:color w:val="auto"/>
              </w:rPr>
            </w:pPr>
          </w:p>
        </w:tc>
        <w:tc>
          <w:tcPr>
            <w:tcW w:w="162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tcBorders>
              <w:bottom w:val="single" w:sz="8" w:color="CCECFF"/>
            </w:tcBorders>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13.57%</w:t>
            </w:r>
          </w:p>
        </w:tc>
        <w:tc>
          <w:tcPr>
            <w:tcW w:w="70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SOFR+926</w:t>
            </w:r>
          </w:p>
        </w:tc>
        <w:tc>
          <w:tcPr>
            <w:tcW w:w="86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3,429</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3,425</w:t>
            </w:r>
          </w:p>
        </w:tc>
        <w:tc>
          <w:tcPr>
            <w:tcW w:w="20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3,411</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18,619</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18,161</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Subordinate Debt/Corporate Notes - 8.2% of Net Assets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-599440</wp:posOffset>
            </wp:positionV>
            <wp:extent cx="85090" cy="1193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-599440</wp:posOffset>
            </wp:positionV>
            <wp:extent cx="85725" cy="1193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-196850</wp:posOffset>
            </wp:positionV>
            <wp:extent cx="8509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-196850</wp:posOffset>
            </wp:positionV>
            <wp:extent cx="8572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auto"/>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color w:val="auto"/>
              </w:rPr>
              <w:t>Beacon Behavioral Holdings, LLC</w:t>
            </w: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06/21/2024</w:t>
            </w:r>
          </w:p>
        </w:tc>
        <w:tc>
          <w:tcPr>
            <w:tcW w:w="120" w:type="dxa"/>
            <w:vAlign w:val="bottom"/>
            <w:shd w:val="clear" w:color="auto" w:fill="CCECFF"/>
          </w:tcPr>
          <w:p>
            <w:pPr>
              <w:spacing w:after="0"/>
              <w:rPr>
                <w:sz w:val="10"/>
                <w:szCs w:val="10"/>
                <w:color w:val="auto"/>
              </w:rPr>
            </w:pPr>
          </w:p>
        </w:tc>
        <w:tc>
          <w:tcPr>
            <w:tcW w:w="60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06/21/2030</w:t>
            </w:r>
          </w:p>
        </w:tc>
        <w:tc>
          <w:tcPr>
            <w:tcW w:w="120" w:type="dxa"/>
            <w:vAlign w:val="bottom"/>
            <w:shd w:val="clear" w:color="auto" w:fill="CCECFF"/>
          </w:tcPr>
          <w:p>
            <w:pPr>
              <w:spacing w:after="0"/>
              <w:rPr>
                <w:sz w:val="10"/>
                <w:szCs w:val="10"/>
                <w:color w:val="auto"/>
              </w:rPr>
            </w:pPr>
          </w:p>
        </w:tc>
        <w:tc>
          <w:tcPr>
            <w:tcW w:w="162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PIK 15.00%</w:t>
            </w:r>
          </w:p>
        </w:tc>
        <w:tc>
          <w:tcPr>
            <w:tcW w:w="220" w:type="dxa"/>
            <w:vAlign w:val="bottom"/>
            <w:shd w:val="clear" w:color="auto" w:fill="CCECFF"/>
          </w:tcPr>
          <w:p>
            <w:pPr>
              <w:spacing w:after="0"/>
              <w:rPr>
                <w:sz w:val="10"/>
                <w:szCs w:val="10"/>
                <w:color w:val="auto"/>
              </w:rPr>
            </w:pPr>
          </w:p>
        </w:tc>
        <w:tc>
          <w:tcPr>
            <w:tcW w:w="70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0"/>
                <w:szCs w:val="10"/>
                <w:color w:val="auto"/>
              </w:rPr>
            </w:pPr>
          </w:p>
        </w:tc>
        <w:tc>
          <w:tcPr>
            <w:tcW w:w="64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5,948</w:t>
            </w:r>
          </w:p>
        </w:tc>
        <w:tc>
          <w:tcPr>
            <w:tcW w:w="220" w:type="dxa"/>
            <w:vAlign w:val="bottom"/>
            <w:shd w:val="clear" w:color="auto" w:fill="CCECFF"/>
          </w:tcPr>
          <w:p>
            <w:pPr>
              <w:spacing w:after="0"/>
              <w:rPr>
                <w:sz w:val="10"/>
                <w:szCs w:val="10"/>
                <w:color w:val="auto"/>
              </w:rPr>
            </w:pPr>
          </w:p>
        </w:tc>
        <w:tc>
          <w:tcPr>
            <w:tcW w:w="120" w:type="dxa"/>
            <w:vAlign w:val="bottom"/>
            <w:tcBorders>
              <w:top w:val="single" w:sz="8" w:color="auto"/>
            </w:tcBorders>
            <w:shd w:val="clear" w:color="auto" w:fill="CCECFF"/>
          </w:tcPr>
          <w:p>
            <w:pPr>
              <w:spacing w:after="0"/>
              <w:rPr>
                <w:sz w:val="10"/>
                <w:szCs w:val="10"/>
                <w:color w:val="auto"/>
              </w:rPr>
            </w:pPr>
          </w:p>
        </w:tc>
        <w:tc>
          <w:tcPr>
            <w:tcW w:w="46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5,885</w:t>
            </w:r>
          </w:p>
        </w:tc>
        <w:tc>
          <w:tcPr>
            <w:tcW w:w="200" w:type="dxa"/>
            <w:vAlign w:val="bottom"/>
            <w:shd w:val="clear" w:color="auto" w:fill="CCECFF"/>
          </w:tcPr>
          <w:p>
            <w:pPr>
              <w:spacing w:after="0"/>
              <w:rPr>
                <w:sz w:val="10"/>
                <w:szCs w:val="10"/>
                <w:color w:val="auto"/>
              </w:rPr>
            </w:pPr>
          </w:p>
        </w:tc>
        <w:tc>
          <w:tcPr>
            <w:tcW w:w="60" w:type="dxa"/>
            <w:vAlign w:val="bottom"/>
            <w:tcBorders>
              <w:top w:val="single" w:sz="8" w:color="auto"/>
            </w:tcBorders>
            <w:shd w:val="clear" w:color="auto" w:fill="CCECFF"/>
          </w:tcPr>
          <w:p>
            <w:pPr>
              <w:spacing w:after="0"/>
              <w:rPr>
                <w:sz w:val="10"/>
                <w:szCs w:val="10"/>
                <w:color w:val="auto"/>
              </w:rPr>
            </w:pPr>
          </w:p>
        </w:tc>
        <w:tc>
          <w:tcPr>
            <w:tcW w:w="72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5,948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07/02/2019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01/08/2026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12.92%</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SOFR+860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Northwinds Topco,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10/30/2029</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PIK 15.00%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11,902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11,814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11,842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Northwinds Topco, Inc. - Unfunded Term Loan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10/30/2029</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ORL Holdco, Inc. - Convertible Notes</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08/02/2024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03/08/2028</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18.00%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ORL Holdco, Inc. - Unfunded Convertible Notes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08/02/2024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03/08/2028</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OSP Embedded Aggregator, LP - Convertible Note</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11/06/2024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05/08/2030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940" w:type="dxa"/>
            <w:vAlign w:val="bottom"/>
            <w:gridSpan w:val="3"/>
            <w:shd w:val="clear" w:color="auto" w:fill="CCEC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237</w:t>
            </w:r>
          </w:p>
        </w:tc>
        <w:tc>
          <w:tcPr>
            <w:tcW w:w="26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StoicLane, Inc. - Convertible Notes</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StoicLane, Inc. - Unfunded Convertible Notes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08/15/2024</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Land Services Intermediate Parent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07/12/2024</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12/23/2026</w:t>
            </w: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PIK 14.75%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18,112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17,872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17,931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200" w:type="dxa"/>
            <w:vAlign w:val="bottom"/>
            <w:shd w:val="clear" w:color="auto" w:fill="CCECFF"/>
          </w:tcPr>
          <w:p>
            <w:pPr>
              <w:spacing w:after="0" w:line="103" w:lineRule="exact"/>
              <w:rPr>
                <w:sz w:val="20"/>
                <w:szCs w:val="20"/>
                <w:color w:val="auto"/>
              </w:rPr>
            </w:pPr>
            <w:r>
              <w:rPr>
                <w:rFonts w:ascii="Times New Roman" w:cs="Times New Roman" w:eastAsia="Times New Roman" w:hAnsi="Times New Roman"/>
                <w:sz w:val="11"/>
                <w:szCs w:val="11"/>
                <w:color w:val="auto"/>
              </w:rPr>
              <w:t>United Land Services Intermediate Parent Holdings, LLC - Unfunded</w:t>
            </w: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00" w:type="dxa"/>
            <w:vAlign w:val="bottom"/>
            <w:shd w:val="clear" w:color="auto" w:fill="CCECFF"/>
          </w:tcPr>
          <w:p>
            <w:pPr>
              <w:spacing w:after="0" w:line="140" w:lineRule="exact"/>
              <w:rPr>
                <w:sz w:val="20"/>
                <w:szCs w:val="20"/>
                <w:color w:val="auto"/>
              </w:rPr>
            </w:pPr>
            <w:r>
              <w:rPr>
                <w:rFonts w:ascii="Times New Roman" w:cs="Times New Roman" w:eastAsia="Times New Roman" w:hAnsi="Times New Roman"/>
                <w:sz w:val="11"/>
                <w:szCs w:val="11"/>
                <w:color w:val="auto"/>
              </w:rPr>
              <w:t xml:space="preserve">Term Loan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07/12/2024</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01/12/2026</w:t>
            </w:r>
          </w:p>
        </w:tc>
        <w:tc>
          <w:tcPr>
            <w:tcW w:w="120" w:type="dxa"/>
            <w:vAlign w:val="bottom"/>
            <w:shd w:val="clear" w:color="auto" w:fill="CCECFF"/>
          </w:tcPr>
          <w:p>
            <w:pPr>
              <w:spacing w:after="0"/>
              <w:rPr>
                <w:sz w:val="12"/>
                <w:szCs w:val="12"/>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720" w:type="dxa"/>
            <w:vAlign w:val="bottom"/>
            <w:tcBorders>
              <w:bottom w:val="single" w:sz="8" w:color="CCECFF"/>
            </w:tcBorders>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10/20/2021</w:t>
            </w:r>
          </w:p>
        </w:tc>
        <w:tc>
          <w:tcPr>
            <w:tcW w:w="720" w:type="dxa"/>
            <w:vAlign w:val="bottom"/>
            <w:tcBorders>
              <w:bottom w:val="single" w:sz="8" w:color="CCECFF"/>
            </w:tcBorders>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07/30/2028</w:t>
            </w:r>
          </w:p>
        </w:tc>
        <w:tc>
          <w:tcPr>
            <w:tcW w:w="120" w:type="dxa"/>
            <w:vAlign w:val="bottom"/>
            <w:tcBorders>
              <w:bottom w:val="single" w:sz="8" w:color="CCECFF"/>
            </w:tcBorders>
          </w:tcPr>
          <w:p>
            <w:pPr>
              <w:spacing w:after="0"/>
              <w:rPr>
                <w:sz w:val="10"/>
                <w:szCs w:val="10"/>
                <w:color w:val="auto"/>
              </w:rPr>
            </w:pPr>
          </w:p>
        </w:tc>
        <w:tc>
          <w:tcPr>
            <w:tcW w:w="162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Borders>
              <w:bottom w:val="single" w:sz="8" w:color="CCECFF"/>
            </w:tcBorders>
          </w:tcPr>
          <w:p>
            <w:pPr>
              <w:spacing w:after="0"/>
              <w:rPr>
                <w:sz w:val="10"/>
                <w:szCs w:val="10"/>
                <w:color w:val="auto"/>
              </w:rPr>
            </w:pPr>
          </w:p>
        </w:tc>
        <w:tc>
          <w:tcPr>
            <w:tcW w:w="840" w:type="dxa"/>
            <w:vAlign w:val="bottom"/>
            <w:tcBorders>
              <w:bottom w:val="single" w:sz="8" w:color="CCECFF"/>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PIK 12.00%</w:t>
            </w:r>
          </w:p>
        </w:tc>
        <w:tc>
          <w:tcPr>
            <w:tcW w:w="70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811</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812</w:t>
            </w:r>
          </w:p>
        </w:tc>
        <w:tc>
          <w:tcPr>
            <w:tcW w:w="20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811</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Subordinate Debt</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37,544</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37,902</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Preferred Equity/Partnership Interests - 4.3% of Net Assets </w:t>
            </w:r>
            <w:r>
              <w:rPr>
                <w:rFonts w:ascii="Times New Roman" w:cs="Times New Roman" w:eastAsia="Times New Roman" w:hAnsi="Times New Roman"/>
                <w:sz w:val="13"/>
                <w:szCs w:val="13"/>
                <w:b w:val="1"/>
                <w:bCs w:val="1"/>
                <w:color w:val="auto"/>
                <w:vertAlign w:val="superscript"/>
              </w:rPr>
              <w:t>(6)</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Accounting Platform Blocker,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08/09/2024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Ad.net Holdings,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05/04/2021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(F-2 Series)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12/07/2023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(G-2 Series)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12/07/2023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(H-2 Series)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12/07/2023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(I-2 Series)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12/07/2023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AFC Acquisitions, Inc. (J-2 Series)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12/07/2023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AH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03/23/2011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05/21/2019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BioDerm Holdings,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01/30/2023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Cartessa Aesthetics,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06/01/2022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3,562,500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8,088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Connatix Parent,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07/08/2021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7,967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Consello Pacific Aggregator,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10/02/2023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782,891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Holdco,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 - Class A-2</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05/24/2023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EvAL Home Health Solutions,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05/10/2024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272,771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Parent Holdings, LLC - Class P</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07/09/2025</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 Class A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04/30/2024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3"/>
              </w:rPr>
              <w:t>Insurance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116,588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HPA SPQ Aggregator, LP</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52,353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Topco, LP Preferred</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11/04/2021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8.00%</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07/25/2023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1,545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1,545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1,424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A-1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07/25/2023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B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07/25/2023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 Partners, LLC - Class A</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06/28/2024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02/26/2019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09/01/2021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PL Acquisitionco, LLC -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05/31/2023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A-1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RTIC Parent Holdings, LLC - Class D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 L2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11/04/2021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331,229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SP L2 Holdings, LLC - Unfunded </w:t>
            </w:r>
            <w:r>
              <w:rPr>
                <w:rFonts w:ascii="Times New Roman" w:cs="Times New Roman" w:eastAsia="Times New Roman" w:hAnsi="Times New Roman"/>
                <w:sz w:val="14"/>
                <w:szCs w:val="14"/>
                <w:color w:val="auto"/>
                <w:vertAlign w:val="superscript"/>
              </w:rPr>
              <w:t>(7)</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11/04/2021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189,274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TPC Holding Company, LP</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12/04/2019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rPr>
              <w:t>Food</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720" w:type="dxa"/>
            <w:vAlign w:val="bottom"/>
            <w:tcBorders>
              <w:bottom w:val="single" w:sz="8" w:color="CCECFF"/>
            </w:tcBorders>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08/25/2021</w:t>
            </w:r>
          </w:p>
        </w:tc>
        <w:tc>
          <w:tcPr>
            <w:tcW w:w="120" w:type="dxa"/>
            <w:vAlign w:val="bottom"/>
            <w:tcBorders>
              <w:bottom w:val="single" w:sz="8" w:color="CCECFF"/>
            </w:tcBorders>
          </w:tcPr>
          <w:p>
            <w:pPr>
              <w:spacing w:after="0"/>
              <w:rPr>
                <w:sz w:val="10"/>
                <w:szCs w:val="10"/>
                <w:color w:val="auto"/>
              </w:rPr>
            </w:pPr>
          </w:p>
        </w:tc>
        <w:tc>
          <w:tcPr>
            <w:tcW w:w="6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2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70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20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15,092</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19,819</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Common Equity/Partnership Interests/Warrants - 30.0% of Net</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line="140" w:lineRule="exact"/>
              <w:rPr>
                <w:sz w:val="20"/>
                <w:szCs w:val="20"/>
                <w:color w:val="auto"/>
              </w:rPr>
            </w:pPr>
            <w:r>
              <w:rPr>
                <w:rFonts w:ascii="Times New Roman" w:cs="Times New Roman" w:eastAsia="Times New Roman" w:hAnsi="Times New Roman"/>
                <w:sz w:val="11"/>
                <w:szCs w:val="11"/>
                <w:b w:val="1"/>
                <w:bCs w:val="1"/>
                <w:color w:val="auto"/>
              </w:rPr>
              <w:t xml:space="preserve">Assets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A1 Garage Equity,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12/19/2022</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2,193,038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Big Top Holdings,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02/29/2024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Manufacturing/Basic Industry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773,800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Holdings,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05/04/2021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2,667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InvestCo,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1,068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Aechelon InvestCo,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08/16/2024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Aftermarket Drivetrain Products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12/29/2023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Machinery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1,645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1,645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11/05/2018</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8,052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AG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11/05/2018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07/23/2019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AMCSI Crash Co-Invest,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07/28/2022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24,898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2,490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AMCSI Crash Co-Invest,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07/28/2022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5,102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05/21/2019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APT INTERMEDIATE,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09/29/2025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384,799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Athletico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02/04/2022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Atlas Investment Aggregator,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05/03/2021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1,700,000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-4366895</wp:posOffset>
            </wp:positionV>
            <wp:extent cx="85090" cy="1193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-4366895</wp:posOffset>
            </wp:positionV>
            <wp:extent cx="85725" cy="1193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-1494790</wp:posOffset>
            </wp:positionV>
            <wp:extent cx="8509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-1494790</wp:posOffset>
            </wp:positionV>
            <wp:extent cx="8572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880" w:type="dxa"/>
            <w:vAlign w:val="bottom"/>
            <w:gridSpan w:val="2"/>
          </w:tcPr>
          <w:p>
            <w:pPr>
              <w:jc w:val="center"/>
              <w:ind w:left="106"/>
              <w:spacing w:after="0" w:line="119"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10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0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0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line="140"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15"/>
        </w:trPr>
        <w:tc>
          <w:tcPr>
            <w:tcW w:w="326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0"/>
                <w:szCs w:val="10"/>
                <w:color w:val="auto"/>
              </w:rPr>
              <w:t xml:space="preserve">Azureon, LLC </w:t>
            </w:r>
            <w:r>
              <w:rPr>
                <w:rFonts w:ascii="Times New Roman" w:cs="Times New Roman" w:eastAsia="Times New Roman" w:hAnsi="Times New Roman"/>
                <w:sz w:val="13"/>
                <w:szCs w:val="13"/>
                <w:color w:val="auto"/>
                <w:vertAlign w:val="superscript"/>
              </w:rPr>
              <w:t>(9)</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06/26/2024</w:t>
            </w: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ind w:left="56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508,238</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508</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BioDerm,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09/09/2024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1,312</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Burgess Point Holdings,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07/21/2022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Carnegie Holdco,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02/07/2024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1,680,300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1,603</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Carisk Parent,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11/27/2023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204,455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Connatix Parent,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07/08/2021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273,207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632</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09/12/2018</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27,778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3,015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08/11/2021</w:t>
            </w: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3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C5MI Holdco,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07/31/2024</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754,200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12/16/2020</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913,649</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866</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1,768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Delta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12/16/2020</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227,395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09/30/2024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EDS Topco,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937,500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938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Events Buyer,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12/17/2024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Event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536,267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536</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03/10/2022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1,458,333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08/26/2021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15,255</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545</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2,023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08/26/2021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2,563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21,817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2,303</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3,002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First Medical Holdings,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06/13/2025</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Parent Holdings,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02/21/2023</w:t>
            </w: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Pictures, Entertainment</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655,714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APHIX Blocker,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07/16/2025</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489,789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ETE Blocker, LLC</w:t>
            </w: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05/24/2023</w:t>
            </w: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374,444</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Lash Coinvest,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12/04/2019</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1,231,392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Gauge Loving Tan,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05/25/2023</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543,562</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544</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04/22/2020</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GCOM InvestCo,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05/11/2021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1,003</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GCP Boss Holdco,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12/27/2024</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1,045,100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1,045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GGG MIDCO, LLC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Housewares and Durable Consumer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6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09/27/2024</w:t>
            </w: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1,222,700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GMP Hills,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11/02/2023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3,747,470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3,747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12/23/2020</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450,000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450</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HPA SPQ Aggregator,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06/08/2023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750,399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HV Watterson Holdings,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06/13/2022</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1,600,000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1,600</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Icon Partners V C,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1,201,283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Icon Partners V C,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12/20/2021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298,717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20"/>
                <w:szCs w:val="20"/>
                <w:color w:val="auto"/>
              </w:rPr>
            </w:pPr>
            <w:r>
              <w:rPr>
                <w:rFonts w:ascii="Times New Roman" w:cs="Times New Roman" w:eastAsia="Times New Roman" w:hAnsi="Times New Roman"/>
                <w:sz w:val="11"/>
                <w:szCs w:val="11"/>
                <w:color w:val="auto"/>
              </w:rPr>
              <w:t>IHS Parent Holdings, LP</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12/21/2022</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1,218,045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Imagine Topco,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11/04/2021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743,826</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Infogroup Parent Holdings, Inc.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Other Media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181,495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2,040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Ironclad Holdco, LLC (Applied Technical Services,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12/23/2020</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4,993</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525</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1,139</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ITC Infusion Co-invest,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02/16/2022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162,445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Class A</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1,308,814</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1,309</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 - Class AA</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11/08/2021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115,688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6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KL Stockton Co-Invest, LP </w:t>
            </w:r>
            <w:r>
              <w:rPr>
                <w:rFonts w:ascii="Times New Roman" w:cs="Times New Roman" w:eastAsia="Times New Roman" w:hAnsi="Times New Roman"/>
                <w:sz w:val="14"/>
                <w:szCs w:val="14"/>
                <w:color w:val="auto"/>
                <w:vertAlign w:val="superscript"/>
              </w:rPr>
              <w:t>(9)</w:t>
            </w:r>
          </w:p>
        </w:tc>
        <w:tc>
          <w:tcPr>
            <w:tcW w:w="12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2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60" w:type="dxa"/>
            <w:vAlign w:val="bottom"/>
            <w:vMerge w:val="continue"/>
            <w:shd w:val="clear" w:color="auto" w:fill="CCECFF"/>
          </w:tcPr>
          <w:p>
            <w:pPr>
              <w:spacing w:after="0"/>
              <w:rPr>
                <w:sz w:val="11"/>
                <w:szCs w:val="11"/>
                <w:color w:val="auto"/>
              </w:rPr>
            </w:pPr>
          </w:p>
        </w:tc>
        <w:tc>
          <w:tcPr>
            <w:tcW w:w="7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07/16/2021</w:t>
            </w: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01/21/2020</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273,143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LJ Avalon,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01/18/2023</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851,087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851</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Lorient Peregrine Investments,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11/18/2022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335,590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4,530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A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1,545,460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Magnolia Topco, LP - Class B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07/25/2023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1,017,840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12/19/2024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14,640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1,464</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1,731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MDI Aggregator,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07/19/2022</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31,904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3,232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12/09/2021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815,385</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802</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 Partners, LLC - Class A</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06/28/2024</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09/28/2021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3,920,145</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3,984</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8,154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NEPRT Parent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01/27/2021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1,299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New Insight Holdings,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07/15/2024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1,157</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New Medina Health,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10/16/2023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1,429,480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1,429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NFS - CFP Holdings, LLC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09/13/2024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662,983</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663</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804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NORA Parent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08/22/2023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North Haven Saints Equity Holdings,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02/25/2022</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351,553</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352</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Northwinds Services Group, LLC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08/16/2024</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840,000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1,680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02/26/2019</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8,188</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OceanSound Discovery Equity,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03/28/2024</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119,966</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OES Co-Invest, LP - Class A</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05/31/2024</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840</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851</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OHCP V BC COI, LP</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12/13/2021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699,844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OHCP V BC COI, LP - Unfunded </w:t>
            </w:r>
            <w:r>
              <w:rPr>
                <w:rFonts w:ascii="Times New Roman" w:cs="Times New Roman" w:eastAsia="Times New Roman" w:hAnsi="Times New Roman"/>
                <w:sz w:val="14"/>
                <w:szCs w:val="14"/>
                <w:color w:val="auto"/>
                <w:vertAlign w:val="superscript"/>
              </w:rPr>
              <w:t>(7)</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12/13/2021</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50,156</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880" w:type="dxa"/>
            <w:vAlign w:val="bottom"/>
            <w:gridSpan w:val="2"/>
            <w:shd w:val="clear" w:color="auto" w:fill="CCEC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7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09/01/2021</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638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OSP Embedded Aggregator, LP</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12/11/2023</w:t>
            </w: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871</w:t>
            </w:r>
          </w:p>
        </w:tc>
        <w:tc>
          <w:tcPr>
            <w:tcW w:w="1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871</w:t>
            </w:r>
          </w:p>
        </w:tc>
        <w:tc>
          <w:tcPr>
            <w:tcW w:w="1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1,011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0"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(3)</w:t>
            </w:r>
          </w:p>
        </w:tc>
        <w:tc>
          <w:tcPr>
            <w:tcW w:w="0" w:type="dxa"/>
            <w:vAlign w:val="bottom"/>
          </w:tcPr>
          <w:p>
            <w:pPr>
              <w:spacing w:after="0"/>
              <w:rPr>
                <w:sz w:val="1"/>
                <w:szCs w:val="1"/>
                <w:color w:val="auto"/>
              </w:rPr>
            </w:pPr>
          </w:p>
        </w:tc>
      </w:tr>
      <w:tr>
        <w:trPr>
          <w:trHeight w:val="115"/>
        </w:trPr>
        <w:tc>
          <w:tcPr>
            <w:tcW w:w="322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1"/>
                <w:szCs w:val="11"/>
                <w:color w:val="auto"/>
              </w:rPr>
              <w:t>OSP PAR Holdings, LP</w:t>
            </w:r>
          </w:p>
        </w:tc>
        <w:tc>
          <w:tcPr>
            <w:tcW w:w="12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09/03/2024</w:t>
            </w: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1,806</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1,812</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Paving Parent,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07/01/2025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1,092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PCS Parent,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03/01/2024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421,304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PennantPark-TSO Senior Loan Fund II, LP </w:t>
            </w:r>
            <w:r>
              <w:rPr>
                <w:rFonts w:ascii="Times New Roman" w:cs="Times New Roman" w:eastAsia="Times New Roman" w:hAnsi="Times New Roman"/>
                <w:sz w:val="14"/>
                <w:szCs w:val="14"/>
                <w:color w:val="auto"/>
                <w:vertAlign w:val="superscript"/>
              </w:rPr>
              <w:t>(11)</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01/07/2022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8,115,794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8,116</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Penta Group Holdings, Inc.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813,376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11/05/2021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Podean Intermediate II,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08/04/2025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Project Granite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12/31/2024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369</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Quad (U.S.) Co-Invest,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10/03/2022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2,607,587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2,608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05/01/2020</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05/01/2020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05/01/2020</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6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RFMG Parent,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12/16/2020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1,050,000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 Health Holdings, Inc.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01/16/2025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&amp;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289,700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Rosco Topco,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09/09/2025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701,149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InvestCo,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Government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32,771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830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1,098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Sabel InvestCo,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Government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47,957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Safe Haven Defense MidCo,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245</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12/23/2019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Seacoast Service Partners,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Conglomerate Service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351</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Seaway Topco,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06/08/2022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2,981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 L2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11/04/2021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881,966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07/11/2018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StellPen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08/17/2021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02/24/2021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254,206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TCG 3.0 Jogger Co-Invest, LP</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01/22/2024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6,475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1,252</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Tinicum Space Coast Co-Invest,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10/29/2024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2,177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Tinicum Space Coast Holdings,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12/06/2023</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Aerospace and Defense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10/27/2021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548,251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Tower Arch Infolinks Media,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10/27/2021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347,194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Holding Company,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12/04/2019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Food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TWD Parent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08/25/2021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United Land Services Holdings, LLC</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07/12/2024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184,049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06/14/2021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Urology Partners Co, LP</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01/20/2023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1,111,111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1,111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Wash &amp; Wax Systems. LLC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04/30/2025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917</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Watchtower Holdings, LLC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11/29/2023</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12,419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1,242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Coinvestment, LP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(9)</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3,754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3,853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 (9)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06/27/2022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White Tiger Newco, LLC</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04/16/2019</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Hotels, Motels, Inns and Gaming</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161,252</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1,848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120,117</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139,097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US Government Securities - 26.9%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U.S. Treasury Bill </w:t>
            </w:r>
            <w:r>
              <w:rPr>
                <w:rFonts w:ascii="Times New Roman" w:cs="Times New Roman" w:eastAsia="Times New Roman" w:hAnsi="Times New Roman"/>
                <w:sz w:val="14"/>
                <w:szCs w:val="14"/>
                <w:color w:val="auto"/>
                <w:vertAlign w:val="superscript"/>
              </w:rPr>
              <w:t>(5)</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Short-Term U.S. Government</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10/02/2025</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10/31/2025</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Securities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3.98%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124,809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US Government Securities</w:t>
            </w: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2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70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4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auto"/>
              <w:bottom w:val="single" w:sz="8" w:color="auto"/>
            </w:tcBorders>
            <w:shd w:val="clear" w:color="auto" w:fill="CCECFF"/>
          </w:tcPr>
          <w:p>
            <w:pPr>
              <w:spacing w:after="0"/>
              <w:rPr>
                <w:sz w:val="10"/>
                <w:szCs w:val="10"/>
                <w:color w:val="auto"/>
              </w:rPr>
            </w:pPr>
          </w:p>
        </w:tc>
        <w:tc>
          <w:tcPr>
            <w:tcW w:w="46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124,809</w:t>
            </w: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60" w:type="dxa"/>
            <w:vAlign w:val="bottom"/>
            <w:tcBorders>
              <w:top w:val="single" w:sz="8" w:color="auto"/>
              <w:bottom w:val="single" w:sz="8" w:color="auto"/>
            </w:tcBorders>
            <w:shd w:val="clear" w:color="auto" w:fill="CCECFF"/>
          </w:tcPr>
          <w:p>
            <w:pPr>
              <w:spacing w:after="0"/>
              <w:rPr>
                <w:sz w:val="10"/>
                <w:szCs w:val="10"/>
                <w:color w:val="auto"/>
              </w:rPr>
            </w:pPr>
          </w:p>
        </w:tc>
        <w:tc>
          <w:tcPr>
            <w:tcW w:w="7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124,788</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20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853,416</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857,415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22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Companies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200" w:type="dxa"/>
            <w:vAlign w:val="bottom"/>
            <w:shd w:val="clear" w:color="auto" w:fill="CCECFF"/>
          </w:tcPr>
          <w:p>
            <w:pPr>
              <w:spacing w:after="0" w:line="97" w:lineRule="exact"/>
              <w:rPr>
                <w:sz w:val="20"/>
                <w:szCs w:val="20"/>
                <w:color w:val="auto"/>
              </w:rPr>
            </w:pPr>
            <w:r>
              <w:rPr>
                <w:rFonts w:ascii="Times New Roman" w:cs="Times New Roman" w:eastAsia="Times New Roman" w:hAnsi="Times New Roman"/>
                <w:sz w:val="11"/>
                <w:szCs w:val="11"/>
                <w:color w:val="auto"/>
                <w:w w:val="98"/>
              </w:rPr>
              <w:t>Investments in Non-Controlled, Affiliated Portfolio Companies - 1.1% of</w:t>
            </w: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6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62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00" w:type="dxa"/>
            <w:vAlign w:val="bottom"/>
            <w:shd w:val="clear" w:color="auto" w:fill="CCECFF"/>
          </w:tcPr>
          <w:p>
            <w:pPr>
              <w:spacing w:after="0" w:line="140" w:lineRule="exact"/>
              <w:rPr>
                <w:sz w:val="20"/>
                <w:szCs w:val="20"/>
                <w:color w:val="auto"/>
              </w:rPr>
            </w:pPr>
            <w:r>
              <w:rPr>
                <w:rFonts w:ascii="Times New Roman" w:cs="Times New Roman" w:eastAsia="Times New Roman" w:hAnsi="Times New Roman"/>
                <w:sz w:val="11"/>
                <w:szCs w:val="11"/>
                <w:color w:val="auto"/>
              </w:rPr>
              <w:t xml:space="preserve">Net Assets </w:t>
            </w:r>
            <w:r>
              <w:rPr>
                <w:rFonts w:ascii="Times New Roman" w:cs="Times New Roman" w:eastAsia="Times New Roman" w:hAnsi="Times New Roman"/>
                <w:sz w:val="14"/>
                <w:szCs w:val="14"/>
                <w:color w:val="auto"/>
                <w:vertAlign w:val="superscript"/>
              </w:rPr>
              <w:t>(1), (2)</w:t>
            </w: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 - 1.1% of Net Assets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Cascade Environmental Holdings,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02/19/2025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1,657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Cascade Environmental Holdings, LLC - Series B</w:t>
            </w:r>
          </w:p>
        </w:tc>
        <w:tc>
          <w:tcPr>
            <w:tcW w:w="720" w:type="dxa"/>
            <w:vAlign w:val="bottom"/>
            <w:tcBorders>
              <w:bottom w:val="single" w:sz="8" w:color="CCECFF"/>
            </w:tcBorders>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02/19/2025</w:t>
            </w:r>
          </w:p>
        </w:tc>
        <w:tc>
          <w:tcPr>
            <w:tcW w:w="120" w:type="dxa"/>
            <w:vAlign w:val="bottom"/>
            <w:tcBorders>
              <w:bottom w:val="single" w:sz="8" w:color="CCECFF"/>
            </w:tcBorders>
          </w:tcPr>
          <w:p>
            <w:pPr>
              <w:spacing w:after="0"/>
              <w:rPr>
                <w:sz w:val="10"/>
                <w:szCs w:val="10"/>
                <w:color w:val="auto"/>
              </w:rPr>
            </w:pPr>
          </w:p>
        </w:tc>
        <w:tc>
          <w:tcPr>
            <w:tcW w:w="6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20" w:type="dxa"/>
            <w:vAlign w:val="bottom"/>
            <w:tcBorders>
              <w:bottom w:val="single" w:sz="8" w:color="CCECFF"/>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tcBorders>
              <w:bottom w:val="single" w:sz="8" w:color="CCECFF"/>
            </w:tcBorders>
          </w:tcPr>
          <w:p>
            <w:pPr>
              <w:spacing w:after="0"/>
              <w:rPr>
                <w:sz w:val="10"/>
                <w:szCs w:val="10"/>
                <w:color w:val="auto"/>
              </w:rPr>
            </w:pPr>
          </w:p>
        </w:tc>
        <w:tc>
          <w:tcPr>
            <w:tcW w:w="62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700" w:type="dxa"/>
            <w:vAlign w:val="bottom"/>
            <w:tcBorders>
              <w:bottom w:val="single" w:sz="8" w:color="CCECFF"/>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5,887,236</w:t>
            </w:r>
          </w:p>
        </w:tc>
        <w:tc>
          <w:tcPr>
            <w:tcW w:w="220" w:type="dxa"/>
            <w:vAlign w:val="bottom"/>
            <w:tcBorders>
              <w:bottom w:val="single" w:sz="8" w:color="CCEC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32,791</w:t>
            </w:r>
          </w:p>
        </w:tc>
        <w:tc>
          <w:tcPr>
            <w:tcW w:w="20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3,234</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33,709</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4,891</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20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Common Equity/Partnership Interests/Warrants - 0.0% of Net Assets</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20" w:type="dxa"/>
            <w:vAlign w:val="bottom"/>
            <w:gridSpan w:val="2"/>
          </w:tcPr>
          <w:p>
            <w:pPr>
              <w:spacing w:after="0"/>
              <w:rPr>
                <w:sz w:val="20"/>
                <w:szCs w:val="20"/>
                <w:color w:val="auto"/>
              </w:rPr>
            </w:pPr>
            <w:r>
              <w:rPr>
                <w:rFonts w:ascii="Times New Roman" w:cs="Times New Roman" w:eastAsia="Times New Roman" w:hAnsi="Times New Roman"/>
                <w:sz w:val="7"/>
                <w:szCs w:val="7"/>
                <w:b w:val="1"/>
                <w:bCs w:val="1"/>
                <w:color w:val="auto"/>
              </w:rPr>
              <w:t>(6)</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7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02/19/2015</w:t>
            </w: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2,852</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8"/>
              </w:rPr>
              <w:t>Total Investments in Non-Controlled, Affiliated Portfolio Companies</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36,561</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4,891</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Pr>
          <w:p>
            <w:pPr>
              <w:spacing w:after="0" w:line="115" w:lineRule="exact"/>
              <w:rPr>
                <w:sz w:val="20"/>
                <w:szCs w:val="20"/>
                <w:color w:val="auto"/>
              </w:rPr>
            </w:pPr>
            <w:r>
              <w:rPr>
                <w:rFonts w:ascii="Times New Roman" w:cs="Times New Roman" w:eastAsia="Times New Roman" w:hAnsi="Times New Roman"/>
                <w:sz w:val="10"/>
                <w:szCs w:val="10"/>
                <w:color w:val="auto"/>
              </w:rPr>
              <w:t xml:space="preserve">Investments in Controlled, Affiliated Portfolio Companies - 91.6% </w:t>
            </w:r>
            <w:r>
              <w:rPr>
                <w:rFonts w:ascii="Times New Roman" w:cs="Times New Roman" w:eastAsia="Times New Roman" w:hAnsi="Times New Roman"/>
                <w:sz w:val="13"/>
                <w:szCs w:val="13"/>
                <w:color w:val="auto"/>
                <w:vertAlign w:val="superscript"/>
              </w:rPr>
              <w:t>(1), (2)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- 14.0%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(11)</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jc w:val="right"/>
              <w:ind w:right="266"/>
              <w:spacing w:after="0" w:line="108" w:lineRule="exact"/>
              <w:rPr>
                <w:sz w:val="20"/>
                <w:szCs w:val="20"/>
                <w:color w:val="auto"/>
              </w:rPr>
            </w:pPr>
            <w:r>
              <w:rPr>
                <w:rFonts w:ascii="Times New Roman" w:cs="Times New Roman" w:eastAsia="Times New Roman" w:hAnsi="Times New Roman"/>
                <w:sz w:val="11"/>
                <w:szCs w:val="11"/>
                <w:color w:val="auto"/>
              </w:rPr>
              <w:t>GBP</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03/07/2018</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03/15/2027</w:t>
            </w:r>
          </w:p>
        </w:tc>
        <w:tc>
          <w:tcPr>
            <w:tcW w:w="120" w:type="dxa"/>
            <w:vAlign w:val="bottom"/>
          </w:tcPr>
          <w:p>
            <w:pPr>
              <w:spacing w:after="0"/>
              <w:rPr>
                <w:sz w:val="11"/>
                <w:szCs w:val="1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11.19%</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3M SOFR+700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54,714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Pragmatic Institute,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07/05/2022</w:t>
            </w:r>
          </w:p>
        </w:tc>
        <w:tc>
          <w:tcPr>
            <w:tcW w:w="7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9"/>
              </w:rPr>
              <w:t>03/28/2030</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ind w:left="120"/>
              <w:spacing w:after="0" w:line="122" w:lineRule="exact"/>
              <w:rPr>
                <w:sz w:val="20"/>
                <w:szCs w:val="20"/>
                <w:color w:val="auto"/>
              </w:rPr>
            </w:pPr>
            <w:r>
              <w:rPr>
                <w:rFonts w:ascii="Times New Roman" w:cs="Times New Roman" w:eastAsia="Times New Roman" w:hAnsi="Times New Roman"/>
                <w:sz w:val="11"/>
                <w:szCs w:val="11"/>
                <w:color w:val="auto"/>
              </w:rPr>
              <w:t>PIK 9.50%</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3M SOFR+550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20" w:type="dxa"/>
            <w:vAlign w:val="bottom"/>
            <w:shd w:val="clear" w:color="auto" w:fill="CCECFF"/>
          </w:tcPr>
          <w:p>
            <w:pPr>
              <w:spacing w:after="0"/>
              <w:rPr>
                <w:sz w:val="10"/>
                <w:szCs w:val="10"/>
                <w:color w:val="auto"/>
              </w:rPr>
            </w:pPr>
          </w:p>
        </w:tc>
        <w:tc>
          <w:tcPr>
            <w:tcW w:w="120" w:type="dxa"/>
            <w:vAlign w:val="bottom"/>
            <w:tcBorders>
              <w:bottom w:val="single" w:sz="8" w:color="auto"/>
            </w:tcBorders>
            <w:shd w:val="clear" w:color="auto" w:fill="CCECFF"/>
          </w:tcPr>
          <w:p>
            <w:pPr>
              <w:spacing w:after="0"/>
              <w:rPr>
                <w:sz w:val="10"/>
                <w:szCs w:val="10"/>
                <w:color w:val="auto"/>
              </w:rPr>
            </w:pPr>
          </w:p>
        </w:tc>
        <w:tc>
          <w:tcPr>
            <w:tcW w:w="4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69,714</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64,725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Subordinated Debt - 35.2%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Flock Financial, LLC </w:t>
            </w:r>
            <w:r>
              <w:rPr>
                <w:rFonts w:ascii="Times New Roman" w:cs="Times New Roman" w:eastAsia="Times New Roman" w:hAnsi="Times New Roman"/>
                <w:sz w:val="14"/>
                <w:szCs w:val="14"/>
                <w:color w:val="auto"/>
                <w:vertAlign w:val="superscript"/>
              </w:rPr>
              <w:t>(11)</w:t>
            </w:r>
          </w:p>
        </w:tc>
        <w:tc>
          <w:tcPr>
            <w:tcW w:w="7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04/19/2024</w:t>
            </w:r>
          </w:p>
        </w:tc>
        <w:tc>
          <w:tcPr>
            <w:tcW w:w="7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10/19/2027</w:t>
            </w: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12.50%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23,031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23,031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-2131060</wp:posOffset>
            </wp:positionV>
            <wp:extent cx="85090" cy="119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-2131060</wp:posOffset>
            </wp:positionV>
            <wp:extent cx="85725" cy="1193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-1805305</wp:posOffset>
            </wp:positionV>
            <wp:extent cx="85090" cy="119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-1805305</wp:posOffset>
            </wp:positionV>
            <wp:extent cx="85725" cy="1193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-1170940</wp:posOffset>
            </wp:positionV>
            <wp:extent cx="85090" cy="1193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-1170940</wp:posOffset>
            </wp:positionV>
            <wp:extent cx="85725" cy="119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-870585</wp:posOffset>
            </wp:positionV>
            <wp:extent cx="85090" cy="119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-870585</wp:posOffset>
            </wp:positionV>
            <wp:extent cx="85725" cy="119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-686435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-686435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-304800</wp:posOffset>
            </wp:positionV>
            <wp:extent cx="8509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6766560</wp:posOffset>
            </wp:positionH>
            <wp:positionV relativeFrom="paragraph">
              <wp:posOffset>-304800</wp:posOffset>
            </wp:positionV>
            <wp:extent cx="8572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311150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628" w:right="55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 - continued</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r>
        <w:rPr>
          <w:rFonts w:ascii="Times New Roman" w:cs="Times New Roman" w:eastAsia="Times New Roman" w:hAnsi="Times New Roman"/>
          <w:sz w:val="14"/>
          <w:szCs w:val="14"/>
          <w:b w:val="1"/>
          <w:bCs w:val="1"/>
          <w:color w:val="FFFFFF"/>
        </w:rPr>
        <w:t>th</w:t>
      </w:r>
    </w:p>
    <w:p>
      <w:pPr>
        <w:spacing w:after="0" w:line="190"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Par /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0" w:lineRule="exact"/>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PennantPark Senior Loan Fund, LLC </w:t>
            </w:r>
            <w:r>
              <w:rPr>
                <w:rFonts w:ascii="Times New Roman" w:cs="Times New Roman" w:eastAsia="Times New Roman" w:hAnsi="Times New Roman"/>
                <w:sz w:val="13"/>
                <w:szCs w:val="13"/>
                <w:color w:val="auto"/>
                <w:vertAlign w:val="superscript"/>
              </w:rPr>
              <w:t>(11)</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5"/>
              </w:rPr>
              <w:t>07/31/2020</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07/31/2027</w:t>
            </w: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12.29%</w:t>
            </w:r>
          </w:p>
        </w:tc>
        <w:tc>
          <w:tcPr>
            <w:tcW w:w="7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w w:val="99"/>
              </w:rPr>
              <w:t>3M SOFR+800</w:t>
            </w:r>
          </w:p>
        </w:tc>
        <w:tc>
          <w:tcPr>
            <w:tcW w:w="860" w:type="dxa"/>
            <w:vAlign w:val="bottom"/>
            <w:gridSpan w:val="2"/>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140,287</w:t>
            </w: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140,287</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140,287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163,318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163,318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Preferred Equity - 5.7% of Net Assets </w:t>
            </w:r>
            <w:r>
              <w:rPr>
                <w:rFonts w:ascii="Times New Roman" w:cs="Times New Roman" w:eastAsia="Times New Roman" w:hAnsi="Times New Roman"/>
                <w:sz w:val="13"/>
                <w:szCs w:val="13"/>
                <w:color w:val="auto"/>
                <w:vertAlign w:val="superscript"/>
              </w:rPr>
              <w:t>(6)</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Flock Financial Class A </w:t>
            </w:r>
            <w:r>
              <w:rPr>
                <w:rFonts w:ascii="Times New Roman" w:cs="Times New Roman" w:eastAsia="Times New Roman" w:hAnsi="Times New Roman"/>
                <w:sz w:val="14"/>
                <w:szCs w:val="14"/>
                <w:color w:val="auto"/>
                <w:vertAlign w:val="superscript"/>
              </w:rPr>
              <w:t>(11)</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04/19/2024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2,047,727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7,313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Flock Financial Class B </w:t>
            </w:r>
            <w:r>
              <w:rPr>
                <w:rFonts w:ascii="Times New Roman" w:cs="Times New Roman" w:eastAsia="Times New Roman" w:hAnsi="Times New Roman"/>
                <w:sz w:val="14"/>
                <w:szCs w:val="14"/>
                <w:color w:val="auto"/>
                <w:vertAlign w:val="superscript"/>
              </w:rPr>
              <w:t>(9), (11)</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04/19/2024</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5,409,091</w:t>
            </w: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19,318</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8,415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26,631</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26,283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Common Equity - 36.8% of Net Assets </w:t>
            </w:r>
            <w:r>
              <w:rPr>
                <w:rFonts w:ascii="Times New Roman" w:cs="Times New Roman" w:eastAsia="Times New Roman" w:hAnsi="Times New Roman"/>
                <w:sz w:val="13"/>
                <w:szCs w:val="13"/>
                <w:b w:val="1"/>
                <w:bCs w:val="1"/>
                <w:color w:val="auto"/>
                <w:vertAlign w:val="superscript"/>
              </w:rPr>
              <w:t>(6)</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A </w:t>
            </w:r>
            <w:r>
              <w:rPr>
                <w:rFonts w:ascii="Times New Roman" w:cs="Times New Roman" w:eastAsia="Times New Roman" w:hAnsi="Times New Roman"/>
                <w:sz w:val="14"/>
                <w:szCs w:val="14"/>
                <w:color w:val="auto"/>
                <w:vertAlign w:val="superscript"/>
              </w:rPr>
              <w:t>(8), (11)</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03/07/2018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B </w:t>
            </w:r>
            <w:r>
              <w:rPr>
                <w:rFonts w:ascii="Times New Roman" w:cs="Times New Roman" w:eastAsia="Times New Roman" w:hAnsi="Times New Roman"/>
                <w:sz w:val="14"/>
                <w:szCs w:val="14"/>
                <w:color w:val="auto"/>
                <w:vertAlign w:val="superscript"/>
              </w:rPr>
              <w:t>(8), (11)</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03/07/2018</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AKW Holdings Limited - Class C </w:t>
            </w:r>
            <w:r>
              <w:rPr>
                <w:rFonts w:ascii="Times New Roman" w:cs="Times New Roman" w:eastAsia="Times New Roman" w:hAnsi="Times New Roman"/>
                <w:sz w:val="14"/>
                <w:szCs w:val="14"/>
                <w:color w:val="auto"/>
                <w:vertAlign w:val="superscript"/>
              </w:rPr>
              <w:t>(8), (11)</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03/07/2018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JF Intermediate,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08/31/2022</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43,918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4,488</w:t>
            </w: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68,332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07/31/2020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82,176,579</w:t>
            </w:r>
          </w:p>
        </w:tc>
        <w:tc>
          <w:tcPr>
            <w:tcW w:w="3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82,358</w:t>
            </w:r>
          </w:p>
        </w:tc>
        <w:tc>
          <w:tcPr>
            <w:tcW w:w="2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67,513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Pragmatic Institute, LLC</w:t>
            </w:r>
          </w:p>
        </w:tc>
        <w:tc>
          <w:tcPr>
            <w:tcW w:w="7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03/28/2025</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480</w:t>
            </w: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87,248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170,641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346,911</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424,967</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Pr>
          <w:p>
            <w:pPr>
              <w:spacing w:after="0" w:line="115" w:lineRule="exact"/>
              <w:rPr>
                <w:sz w:val="20"/>
                <w:szCs w:val="20"/>
                <w:color w:val="auto"/>
              </w:rPr>
            </w:pPr>
            <w:r>
              <w:rPr>
                <w:rFonts w:ascii="Times New Roman" w:cs="Times New Roman" w:eastAsia="Times New Roman" w:hAnsi="Times New Roman"/>
                <w:sz w:val="10"/>
                <w:szCs w:val="10"/>
                <w:b w:val="1"/>
                <w:bCs w:val="1"/>
                <w:color w:val="auto"/>
              </w:rPr>
              <w:t xml:space="preserve">Total Investments - 277.5% of Net Assets </w:t>
            </w:r>
            <w:r>
              <w:rPr>
                <w:rFonts w:ascii="Times New Roman" w:cs="Times New Roman" w:eastAsia="Times New Roman" w:hAnsi="Times New Roman"/>
                <w:sz w:val="13"/>
                <w:szCs w:val="13"/>
                <w:b w:val="1"/>
                <w:bCs w:val="1"/>
                <w:color w:val="auto"/>
                <w:vertAlign w:val="superscript"/>
              </w:rPr>
              <w:t>(12), (14)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1,236,888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1,287,273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Equivalents - 6.6% of Net Assets</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tcBorders>
              <w:bottom w:val="single" w:sz="8" w:color="CCECFF"/>
            </w:tcBorders>
          </w:tcPr>
          <w:p>
            <w:pPr>
              <w:spacing w:after="0" w:line="122" w:lineRule="exact"/>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120" w:type="dxa"/>
            <w:vAlign w:val="bottom"/>
            <w:tcBorders>
              <w:bottom w:val="single" w:sz="8" w:color="CCECFF"/>
            </w:tcBorders>
          </w:tcPr>
          <w:p>
            <w:pPr>
              <w:spacing w:after="0"/>
              <w:rPr>
                <w:sz w:val="10"/>
                <w:szCs w:val="10"/>
                <w:color w:val="auto"/>
              </w:rPr>
            </w:pPr>
          </w:p>
        </w:tc>
        <w:tc>
          <w:tcPr>
            <w:tcW w:w="6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600" w:type="dxa"/>
            <w:vAlign w:val="bottom"/>
            <w:tcBorders>
              <w:bottom w:val="single" w:sz="8" w:color="CCECFF"/>
            </w:tcBorders>
          </w:tcPr>
          <w:p>
            <w:pPr>
              <w:spacing w:after="0"/>
              <w:rPr>
                <w:sz w:val="10"/>
                <w:szCs w:val="10"/>
                <w:color w:val="auto"/>
              </w:rPr>
            </w:pPr>
          </w:p>
        </w:tc>
        <w:tc>
          <w:tcPr>
            <w:tcW w:w="120" w:type="dxa"/>
            <w:vAlign w:val="bottom"/>
            <w:tcBorders>
              <w:bottom w:val="single" w:sz="8" w:color="CCECFF"/>
            </w:tcBorders>
          </w:tcPr>
          <w:p>
            <w:pPr>
              <w:spacing w:after="0"/>
              <w:rPr>
                <w:sz w:val="10"/>
                <w:szCs w:val="10"/>
                <w:color w:val="auto"/>
              </w:rPr>
            </w:pPr>
          </w:p>
        </w:tc>
        <w:tc>
          <w:tcPr>
            <w:tcW w:w="1620" w:type="dxa"/>
            <w:vAlign w:val="bottom"/>
            <w:tcBorders>
              <w:bottom w:val="single" w:sz="8" w:color="CCECFF"/>
            </w:tcBorders>
          </w:tcPr>
          <w:p>
            <w:pPr>
              <w:spacing w:after="0"/>
              <w:rPr>
                <w:sz w:val="10"/>
                <w:szCs w:val="10"/>
                <w:color w:val="auto"/>
              </w:rPr>
            </w:pPr>
          </w:p>
        </w:tc>
        <w:tc>
          <w:tcPr>
            <w:tcW w:w="940" w:type="dxa"/>
            <w:vAlign w:val="bottom"/>
            <w:tcBorders>
              <w:bottom w:val="single" w:sz="8" w:color="CCECFF"/>
            </w:tcBorders>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70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640" w:type="dxa"/>
            <w:vAlign w:val="bottom"/>
            <w:tcBorders>
              <w:bottom w:val="single" w:sz="8" w:color="CCECFF"/>
            </w:tcBorders>
          </w:tcPr>
          <w:p>
            <w:pPr>
              <w:spacing w:after="0"/>
              <w:rPr>
                <w:sz w:val="10"/>
                <w:szCs w:val="10"/>
                <w:color w:val="auto"/>
              </w:rPr>
            </w:pPr>
          </w:p>
        </w:tc>
        <w:tc>
          <w:tcPr>
            <w:tcW w:w="220" w:type="dxa"/>
            <w:vAlign w:val="bottom"/>
            <w:tcBorders>
              <w:bottom w:val="single" w:sz="8" w:color="CCEC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30,711</w:t>
            </w:r>
          </w:p>
        </w:tc>
        <w:tc>
          <w:tcPr>
            <w:tcW w:w="200" w:type="dxa"/>
            <w:vAlign w:val="bottom"/>
            <w:tcBorders>
              <w:bottom w:val="single" w:sz="8" w:color="CCEC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30,711</w:t>
            </w:r>
          </w:p>
        </w:tc>
        <w:tc>
          <w:tcPr>
            <w:tcW w:w="100" w:type="dxa"/>
            <w:vAlign w:val="bottom"/>
            <w:tcBorders>
              <w:bottom w:val="single" w:sz="8" w:color="CCEC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Cash Equivalents</w:t>
            </w: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6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30,711</w:t>
            </w:r>
          </w:p>
        </w:tc>
        <w:tc>
          <w:tcPr>
            <w:tcW w:w="20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30,711</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- 4.5% of Net Assets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Non-Money Market Cash</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48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21,028</w:t>
            </w:r>
          </w:p>
        </w:tc>
        <w:tc>
          <w:tcPr>
            <w:tcW w:w="200" w:type="dxa"/>
            <w:vAlign w:val="bottom"/>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7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21,072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Cash</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21,028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21,072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- 288.6%</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1,288,627</w:t>
            </w:r>
          </w:p>
        </w:tc>
        <w:tc>
          <w:tcPr>
            <w:tcW w:w="260" w:type="dxa"/>
            <w:vAlign w:val="bottom"/>
            <w:gridSpan w:val="2"/>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1,339,056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6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4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(188.6)%</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(875,106)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CCECFF"/>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Assets - 100%</w:t>
            </w: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60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162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62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70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4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480" w:type="dxa"/>
            <w:vAlign w:val="bottom"/>
            <w:tcBorders>
              <w:top w:val="single" w:sz="8" w:color="CCECFF"/>
              <w:bottom w:val="single" w:sz="8" w:color="CCECFF"/>
            </w:tcBorders>
            <w:shd w:val="clear" w:color="auto" w:fill="CCECFF"/>
          </w:tcPr>
          <w:p>
            <w:pPr>
              <w:spacing w:after="0"/>
              <w:rPr>
                <w:sz w:val="10"/>
                <w:szCs w:val="10"/>
                <w:color w:val="auto"/>
              </w:rPr>
            </w:pPr>
          </w:p>
        </w:tc>
        <w:tc>
          <w:tcPr>
            <w:tcW w:w="200" w:type="dxa"/>
            <w:vAlign w:val="bottom"/>
            <w:tcBorders>
              <w:top w:val="single" w:sz="8" w:color="CCECFF"/>
              <w:bottom w:val="single" w:sz="8" w:color="CCECFF"/>
            </w:tcBorders>
            <w:shd w:val="clear" w:color="auto" w:fill="CCECFF"/>
          </w:tcPr>
          <w:p>
            <w:pPr>
              <w:spacing w:after="0"/>
              <w:rPr>
                <w:sz w:val="10"/>
                <w:szCs w:val="10"/>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463,950</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6301740</wp:posOffset>
            </wp:positionH>
            <wp:positionV relativeFrom="paragraph">
              <wp:posOffset>-1991995</wp:posOffset>
            </wp:positionV>
            <wp:extent cx="85090" cy="1193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-1991995</wp:posOffset>
            </wp:positionV>
            <wp:extent cx="85725" cy="1193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-1666875</wp:posOffset>
            </wp:positionV>
            <wp:extent cx="85090" cy="119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-1666875</wp:posOffset>
            </wp:positionV>
            <wp:extent cx="85725" cy="1193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-1032510</wp:posOffset>
            </wp:positionV>
            <wp:extent cx="85090" cy="1193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-1032510</wp:posOffset>
            </wp:positionV>
            <wp:extent cx="85725" cy="1193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-848360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-848360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-612140</wp:posOffset>
            </wp:positionV>
            <wp:extent cx="85090" cy="119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090" cy="11938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-612140</wp:posOffset>
            </wp:positionV>
            <wp:extent cx="85725" cy="1193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19380"/>
                    </a:xfrm>
                    <a:prstGeom prst="rect">
                      <a:avLst/>
                    </a:prstGeom>
                    <a:noFill/>
                  </pic:spPr>
                </pic:pic>
              </a:graphicData>
            </a:graphic>
          </wp:anchor>
        </w:drawing>
        <w:drawing>
          <wp:anchor simplePos="0" relativeHeight="251657728" behindDoc="1" locked="0" layoutInCell="0" allowOverlap="1">
            <wp:simplePos x="0" y="0"/>
            <wp:positionH relativeFrom="column">
              <wp:posOffset>6301740</wp:posOffset>
            </wp:positionH>
            <wp:positionV relativeFrom="paragraph">
              <wp:posOffset>-363855</wp:posOffset>
            </wp:positionV>
            <wp:extent cx="8509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-363855</wp:posOffset>
            </wp:positionV>
            <wp:extent cx="8572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-179705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-179705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6918960</wp:posOffset>
            </wp:positionH>
            <wp:positionV relativeFrom="paragraph">
              <wp:posOffset>-106680</wp:posOffset>
            </wp:positionV>
            <wp:extent cx="8572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12" w:lineRule="exact"/>
        <w:rPr>
          <w:sz w:val="20"/>
          <w:szCs w:val="20"/>
          <w:color w:val="auto"/>
        </w:rPr>
      </w:pPr>
    </w:p>
    <w:p>
      <w:pPr>
        <w:ind w:left="380" w:right="20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right="14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40" w:hanging="372"/>
        <w:spacing w:after="0" w:line="241"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valued by using the pricing service which utilize broker-supplied prices.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located in The Isle of Man. Total cost, fair value, and percentage of Net Assets for the Isle of Man was $55.1 million, $88.6 million, and 19.1%.</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Non-accrual security</w:t>
      </w:r>
    </w:p>
    <w:p>
      <w:pPr>
        <w:spacing w:after="0" w:line="3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2025, qualifying assets represent 74% of the Company’s total assets and non-qualifying assets represent 26% of the Company’s total assets.</w:t>
      </w:r>
    </w:p>
    <w:p>
      <w:pPr>
        <w:spacing w:after="0" w:line="3"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are in US Companies unless noted otherwise. Total cost, fair value, and percentage of Net Assets for the U.S. Companies were $1,181.8 million, $1,198.6 million, and 258.4%</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Partial non-accrual PIK security.</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investments are not registered under the 1933 Act and have restrictions on resale.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8" w:right="359" w:bottom="1440" w:gutter="0" w:footer="0" w:header="0"/>
        </w:sectPr>
      </w:pPr>
    </w:p>
    <w:bookmarkStart w:id="26" w:name="page27"/>
    <w:bookmarkEnd w:id="26"/>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principal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222"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have entered into an investment management agreement, (the "Investment Management Agreement"), with PennantPark Investment Advisors, LLC (the "Investment Adviser"), an external adviser that manages our day-to-day operations. We have also entered into an administration agreement, (the "Administration Agreement"), with PennantPark Investment Administrator LLC (the "Administrator"), which provides the administrative services necessary for us to operate.</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or Pantheon, entered into a limited liability company agreement to co-manage PSLF, a newly formed unconsolidated joint venture formed as a Delaware limited liability company.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paid semi-annually on May 1 and November 1 of each year, at a rate of 4.50% per year, commencing November 1, 2021. The effective interest rate is 4.62%.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Notes is paid semiannually on May 1 and November 1 of each year, at a rate of 4.00% per year, commencing May 1, 2022. The effective interest rate is 4.12%.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On November 22, 2021, we formed PNNT Investment Holdings II, LLC, a Delaware limited liability company (“Holdings II”), as a wholly owned subsidiary. On December 31, 2022, we contributed 100% of our interests in PNNT Investment Holdings, LLC (“Holdings”) to Holdings II. Effective as of January 1, 2024, Holdings II elected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In January 2022, we formed PennantPark-TSO Senior Loan Fund II, LP, ("PTSF II"), an unconsolidated limited partnership, organized as a Delaware limited partnership. We sold $82.3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December 31, 2025, our capital commitment of $15.0 million was 100% funded and we held 23.1% of the total outstanding Class A Units of PTSF II and a 4.99% voting interest in the general partner which manages PTSF II.</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27" w:name="page28"/>
    <w:bookmarkEnd w:id="27"/>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("FASB’s") or Accounting Standards Codification, as amended ("ASC"), serve as a single source of accounting literature. Subsequent events are evaluated and disclosed as appropriate for events occurring through the date the consolidated financial statements are issued.</w:t>
      </w:r>
    </w:p>
    <w:p>
      <w:pPr>
        <w:spacing w:after="0" w:line="2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5" w:lineRule="exact"/>
        <w:rPr>
          <w:sz w:val="20"/>
          <w:szCs w:val="20"/>
          <w:color w:val="auto"/>
        </w:rPr>
      </w:pPr>
    </w:p>
    <w:p>
      <w:pPr>
        <w:ind w:left="640" w:hanging="377"/>
        <w:spacing w:after="0"/>
        <w:tabs>
          <w:tab w:leader="none" w:pos="64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40" w:right="20" w:hanging="383"/>
        <w:spacing w:after="0" w:line="26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5"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40" w:right="20" w:hanging="383"/>
        <w:spacing w:after="0" w:line="261"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ind w:left="640" w:hanging="377"/>
        <w:spacing w:after="0"/>
        <w:tabs>
          <w:tab w:leader="none" w:pos="64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0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recurring in nature. Such fees include loan prepayment penalties, structuring fees, amendment fees, and agency fees and are recorded as other investment income when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28" w:name="page29"/>
    <w:bookmarkEnd w:id="28"/>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2025, we had four portfolio companies on non-accrual status, representing 2.2% of overall portfolio on a cost and 1.1% fair value basis. As of September 30, 2025, we had four portfolio companies on non-accrual status, representing 1.3% and 0.1% of our overall portfolio on a cost and fair value basis, respectively.</w:t>
      </w:r>
    </w:p>
    <w:p>
      <w:pPr>
        <w:spacing w:after="0" w:line="106" w:lineRule="exact"/>
        <w:rPr>
          <w:sz w:val="20"/>
          <w:szCs w:val="20"/>
          <w:color w:val="auto"/>
        </w:rPr>
      </w:pPr>
    </w:p>
    <w:p>
      <w:pPr>
        <w:ind w:left="640" w:hanging="377"/>
        <w:spacing w:after="0"/>
        <w:tabs>
          <w:tab w:leader="none" w:pos="64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months ended December 31, 2025 and 2024, we recorded a provision for taxes on net investment income of $0.7 million and $0.7 million respectively, which pertains to U.S. federal excise tax.</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Holdings II, is subject to U.S. federal, state and local corporate income taxes. The income tax expense and related tax liabilities of the Taxable Subsidiary are reflected in the Company’s consolidated financial statements.</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2025 and 2024, the Company recognized a provision for taxes of less than $(0.1) million and zero on net realized gain (loss) on investments by the Taxable Subsidiary, respectively. For the three months ended December 31, 2025 and 2024, the Company recognized a provision for taxes of zero and less than $(0.1) million, on net unrealized gain (loss) on investments by the Taxable Subsidiary, respectively. The provision for taxes on net realized and unrealized gains on investments is the result of netting (i) the expected tax liability on the gains from the sales of investments which is likely to be realized and unrealized during fiscal year ending and (ii) the expected tax benefit resulting from the use of loss carryforwards to offset such gains.</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During the three months ended December 31, 2025 and 2024, the Company paid zero and zero in federal taxes on realized gains on the sale of investments held by the Taxable Subsidiary, respectively. The state and local tax liability is zero as of December 31, 2025 is included under accrued other expenses in the consolidated statement of assets and liabilities.</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5" w:lineRule="exact"/>
        <w:rPr>
          <w:sz w:val="20"/>
          <w:szCs w:val="20"/>
          <w:color w:val="auto"/>
        </w:rPr>
      </w:pPr>
    </w:p>
    <w:p>
      <w:pPr>
        <w:ind w:left="640" w:hanging="377"/>
        <w:spacing w:after="0"/>
        <w:tabs>
          <w:tab w:leader="none" w:pos="64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5"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On June 4, 2024, we entered into the Equity Distribution Agreements with Truist Securities, Inc. and Keefe, Bruyette &amp; Woods, Inc. as the the Sales Agents in connection with the sale of shares of our common stock, with an aggregate offering price of up to $100 million under an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ATM Program offerings will not be made at price less than our current NAV per share. Any such payments made by the Investment Adviser will not be subject to reimbursement by us. On April 28, 2025, our registration statement pursuant to which shares were issued under the ATM Program expired.</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During the three months ended December 31, 2024, we did not issue any shares under the ATM program.</w:t>
      </w:r>
    </w:p>
    <w:p>
      <w:pPr>
        <w:spacing w:after="0" w:line="132" w:lineRule="exact"/>
        <w:rPr>
          <w:sz w:val="20"/>
          <w:szCs w:val="20"/>
          <w:color w:val="auto"/>
        </w:rPr>
      </w:pPr>
    </w:p>
    <w:p>
      <w:pPr>
        <w:ind w:left="640" w:hanging="377"/>
        <w:spacing w:after="0"/>
        <w:tabs>
          <w:tab w:leader="none" w:pos="64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29" w:name="page30"/>
    <w:bookmarkEnd w:id="29"/>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8" w:lineRule="exact"/>
        <w:rPr>
          <w:sz w:val="20"/>
          <w:szCs w:val="20"/>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5" w:lineRule="exact"/>
        <w:rPr>
          <w:sz w:val="20"/>
          <w:szCs w:val="20"/>
          <w:color w:val="auto"/>
        </w:rPr>
      </w:pPr>
    </w:p>
    <w:p>
      <w:pPr>
        <w:ind w:left="640" w:hanging="377"/>
        <w:spacing w:after="0"/>
        <w:tabs>
          <w:tab w:leader="none" w:pos="64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Taxable Subsidiary in our Consolidated Financial Statements. We do not consolidate our non-controlling interests in PSLF or PTSF II. See further description of our investment in PSLF in Note 4.</w:t>
      </w:r>
    </w:p>
    <w:p>
      <w:pPr>
        <w:spacing w:after="0" w:line="105" w:lineRule="exact"/>
        <w:rPr>
          <w:sz w:val="20"/>
          <w:szCs w:val="20"/>
          <w:color w:val="auto"/>
        </w:rPr>
      </w:pPr>
    </w:p>
    <w:p>
      <w:pPr>
        <w:ind w:left="640" w:hanging="377"/>
        <w:spacing w:after="0"/>
        <w:tabs>
          <w:tab w:leader="none" w:pos="64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14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91" w:lineRule="exact"/>
        <w:rPr>
          <w:sz w:val="20"/>
          <w:szCs w:val="20"/>
          <w:color w:val="auto"/>
        </w:rPr>
      </w:pPr>
    </w:p>
    <w:p>
      <w:pPr>
        <w:ind w:left="580" w:hanging="348"/>
        <w:spacing w:after="0"/>
        <w:tabs>
          <w:tab w:leader="none" w:pos="58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Segment Reporting</w:t>
      </w:r>
    </w:p>
    <w:p>
      <w:pPr>
        <w:spacing w:after="0" w:line="27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accordance with ASC Topic 280 – Segment Reporting, the Company has determined that it has a single reporting segment and operating unit structure. As a result, the Company’s segment accounting policies are the same as described herein and the Company does not have any intra-segment sales and transfers of assets. See Note 13 for additional information on the Company’s segment accounting policies.</w:t>
      </w:r>
    </w:p>
    <w:p>
      <w:pPr>
        <w:spacing w:after="0" w:line="105" w:lineRule="exact"/>
        <w:rPr>
          <w:sz w:val="20"/>
          <w:szCs w:val="20"/>
          <w:color w:val="auto"/>
        </w:rPr>
      </w:pPr>
    </w:p>
    <w:p>
      <w:pPr>
        <w:ind w:left="580" w:hanging="348"/>
        <w:spacing w:after="0"/>
        <w:tabs>
          <w:tab w:leader="none" w:pos="58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two-year extension to December 31, 2024, for transitioning away from LIBOR. The Company has adopted the ASU 2020-04, the effect of which was not material to the consolidated financial statements.</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June 2022, the FASB issued Accounting Standards Update No.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was not material to the consolidated financial statements.</w:t>
      </w:r>
    </w:p>
    <w:p>
      <w:pPr>
        <w:spacing w:after="0" w:line="110" w:lineRule="exact"/>
        <w:rPr>
          <w:sz w:val="20"/>
          <w:szCs w:val="20"/>
          <w:color w:val="auto"/>
        </w:rPr>
      </w:pPr>
    </w:p>
    <w:p>
      <w:pPr>
        <w:jc w:val="both"/>
        <w:ind w:firstLine="492"/>
        <w:spacing w:after="0" w:line="229" w:lineRule="auto"/>
        <w:rPr>
          <w:sz w:val="20"/>
          <w:szCs w:val="20"/>
          <w:color w:val="auto"/>
        </w:rPr>
      </w:pPr>
      <w:r>
        <w:rPr>
          <w:rFonts w:ascii="Times New Roman" w:cs="Times New Roman" w:eastAsia="Times New Roman" w:hAnsi="Times New Roman"/>
          <w:sz w:val="14"/>
          <w:szCs w:val="14"/>
          <w:color w:val="auto"/>
        </w:rPr>
        <w:t>In November 2023, FASB issued Accounting Standards Update No.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(the "CODM") and included within each reported measure of segment's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fiscal years beginning December 15, 2024, and should be applied on a retrospective basis to all periods presented, noting early adoption is permitted. The Company has adopted ASU 2023-07 effective September 30, 2025 and concluded that the application of this guidance did not have a material impact on its consolidated financial statements. See Note 13 for more information on the effects of the adoption of ASU 2023-07.</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0" w:name="page31"/>
    <w:bookmarkEnd w:id="3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  Investment Management Agreement</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May 2025. Under the Investment Management Agreement, the Investment Adviser, subject to the overall supervision of our board of directors, manages the day-to-day operations of and provides investment advisory services to, us. For providing these services, the Investment Adviser receives a fee from us, consisting of two components— a base management fee and an incentive fee or, collectively, Management Fees.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140"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2025 and 2024, we recorded base management fees of $3.9 million and $4.3 million, respectively, paid by us to the Investment Adviser.</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2025 and 2024, we recorded an incentive fee of zero and $2.8 million, respectively, related to incentive fees on net investment income.</w:t>
      </w:r>
    </w:p>
    <w:p>
      <w:pPr>
        <w:spacing w:after="0" w:line="123"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Times New Roman" w:cs="Times New Roman" w:eastAsia="Times New Roman" w:hAnsi="Times New Roman"/>
          <w:sz w:val="14"/>
          <w:szCs w:val="14"/>
          <w:color w:val="auto"/>
          <w:strike w:val="1"/>
        </w:rPr>
        <w:t>,</w:t>
      </w:r>
      <w:r>
        <w:rPr>
          <w:rFonts w:ascii="Times New Roman" w:cs="Times New Roman" w:eastAsia="Times New Roman" w:hAnsi="Times New Roman"/>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2025 and 2024, we did not accrue an incentive fee on capital gains.</w:t>
      </w:r>
    </w:p>
    <w:p>
      <w:pPr>
        <w:spacing w:after="0" w:line="109"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months ended December 31, 2025 and 2024, we did not accrue an incentive fee on capital gains as calculated under GAAP.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1" w:name="page32"/>
    <w:bookmarkEnd w:id="31"/>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May 2025. Under the Administration Agreement, the Administrator provides administrative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and their respective staffs. The amount billed by the Administrator may include credits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2025 and 2024, we recorded $0.4 million and $0.5 million, respectively, for the services described above.</w:t>
      </w:r>
    </w:p>
    <w:p>
      <w:pPr>
        <w:spacing w:after="0" w:line="113"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Under the Administration Agreement, the Administrator may be reimbursed by the Company for the costs and expenses to be borne by the Company set forth above include the costs and expenses allocable with respect to the provision of in-house legal, tax, or other professional advice and/or services to the Company, including performing due diligence on its prospective portfolio companies as deemed appropriate by the Administrator, where such in-house personnel perform services that would be paid by the Company if outside service providers provided the same services, subject to the Board's oversight.</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The Company, the Investment Adviser and certain other affiliates have been granted an order for exemptive relief by the SEC for the Company to co-invest with other funds managed by the Investment Adviser. If we co-invest with other affiliated funds, our Investment Adviser would not receive compensation except to the extent permitted by the exemptive order and applicable law, including the limitations set forth in Section 57(k) of the 1940 Act.</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months ended December 31, 2025 and 2024.</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we sold $128.9 million in investments to PSLF at fair value and recognized $0.4 million of net realized gains. For the three months ended December 31, 2024, we sold $286.6 million in investments to PSLF at fair value, and recognized $0.8 million of net realized gains.</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we sold zero in investments to PTSF II at fair value, and recognized zero of net realized gains. For the three months ended December 31, 2024, we sold zero in investments to PTSF II at fair value, and recognized zero of net realized gains.</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2025 and September 30, 2025, PNNT had a receivable from Administrator of $0.1 million and $0.2 million, respectively, presented as a due from affiliates on the consolidated statement of assets and liabilities. These amounts are related to agency fees collected on behalf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Purchases of investments, including PIK interest, for the three months ended December 31, 2025 and 2024 totaled $117.5 million and $297.9 million, respectively (excluding U.S.</w:t>
      </w:r>
    </w:p>
    <w:p>
      <w:pPr>
        <w:spacing w:after="0" w:line="226" w:lineRule="auto"/>
        <w:rPr>
          <w:sz w:val="20"/>
          <w:szCs w:val="20"/>
          <w:color w:val="auto"/>
        </w:rPr>
      </w:pPr>
      <w:r>
        <w:rPr>
          <w:rFonts w:ascii="Times New Roman" w:cs="Times New Roman" w:eastAsia="Times New Roman" w:hAnsi="Times New Roman"/>
          <w:sz w:val="14"/>
          <w:szCs w:val="14"/>
          <w:color w:val="auto"/>
        </w:rPr>
        <w:t>Government Securities). Sales and repayments of investments for the three months ended December 31, 2025 and 2024 totaled $273.2 million and $353.7 million, respectively (excluding U.S.</w:t>
      </w:r>
    </w:p>
    <w:p>
      <w:pPr>
        <w:spacing w:after="0"/>
        <w:rPr>
          <w:sz w:val="20"/>
          <w:szCs w:val="20"/>
          <w:color w:val="auto"/>
        </w:rPr>
      </w:pPr>
      <w:r>
        <w:rPr>
          <w:rFonts w:ascii="Times New Roman" w:cs="Times New Roman" w:eastAsia="Times New Roman" w:hAnsi="Times New Roman"/>
          <w:sz w:val="14"/>
          <w:szCs w:val="14"/>
          <w:color w:val="auto"/>
        </w:rPr>
        <w:t>Government Securities).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Investment Classification </w:t>
            </w:r>
            <w:r>
              <w:rPr>
                <w:rFonts w:ascii="Times New Roman" w:cs="Times New Roman" w:eastAsia="Times New Roman" w:hAnsi="Times New Roman"/>
                <w:sz w:val="14"/>
                <w:szCs w:val="14"/>
                <w:color w:val="auto"/>
              </w:rPr>
              <w:t>($ in thousands)</w:t>
            </w:r>
          </w:p>
        </w:tc>
        <w:tc>
          <w:tcPr>
            <w:tcW w:w="14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First lien</w:t>
            </w:r>
          </w:p>
        </w:tc>
        <w:tc>
          <w:tcPr>
            <w:tcW w:w="340" w:type="dxa"/>
            <w:vAlign w:val="bottom"/>
            <w:shd w:val="clear" w:color="auto" w:fill="CCEC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509,004</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487,900</w:t>
            </w:r>
          </w:p>
        </w:tc>
        <w:tc>
          <w:tcPr>
            <w:tcW w:w="1140" w:type="dxa"/>
            <w:vAlign w:val="bottom"/>
            <w:gridSpan w:val="2"/>
            <w:shd w:val="clear" w:color="auto" w:fill="CCECFF"/>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606,949</w:t>
            </w:r>
          </w:p>
        </w:tc>
        <w:tc>
          <w:tcPr>
            <w:tcW w:w="500" w:type="dxa"/>
            <w:vAlign w:val="bottom"/>
            <w:gridSpan w:val="2"/>
            <w:shd w:val="clear" w:color="auto" w:fill="CCEC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582,373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U.S. Government Securities</w:t>
            </w:r>
          </w:p>
        </w:tc>
        <w:tc>
          <w:tcPr>
            <w:tcW w:w="3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209,555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209,485</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Second lien</w:t>
            </w:r>
          </w:p>
        </w:tc>
        <w:tc>
          <w:tcPr>
            <w:tcW w:w="3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18,639</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18,236</w:t>
            </w: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18,619</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18,161</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Subordinated debt / corporate notes</w:t>
            </w:r>
          </w:p>
        </w:tc>
        <w:tc>
          <w:tcPr>
            <w:tcW w:w="3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64,797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65,367</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60,575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 in PSLF</w:t>
            </w:r>
          </w:p>
        </w:tc>
        <w:tc>
          <w:tcPr>
            <w:tcW w:w="340" w:type="dxa"/>
            <w:vAlign w:val="bottom"/>
            <w:shd w:val="clear" w:color="auto" w:fill="CCECFF"/>
          </w:tcPr>
          <w:p>
            <w:pPr>
              <w:spacing w:after="0"/>
              <w:rPr>
                <w:sz w:val="12"/>
                <w:szCs w:val="12"/>
                <w:color w:val="auto"/>
              </w:rPr>
            </w:pPr>
          </w:p>
        </w:tc>
        <w:tc>
          <w:tcPr>
            <w:tcW w:w="11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140,287</w:t>
            </w:r>
          </w:p>
        </w:tc>
        <w:tc>
          <w:tcPr>
            <w:tcW w:w="2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140,287</w:t>
            </w:r>
          </w:p>
        </w:tc>
        <w:tc>
          <w:tcPr>
            <w:tcW w:w="2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140,287</w:t>
            </w:r>
          </w:p>
        </w:tc>
        <w:tc>
          <w:tcPr>
            <w:tcW w:w="2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140,287</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3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200,566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237,432</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203,291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Borders>
              <w:bottom w:val="single" w:sz="8" w:color="CCECFF"/>
            </w:tcBorders>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Equity in PSLF</w:t>
            </w:r>
          </w:p>
        </w:tc>
        <w:tc>
          <w:tcPr>
            <w:tcW w:w="3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82,358</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spacing w:after="0"/>
              <w:rPr>
                <w:sz w:val="12"/>
                <w:szCs w:val="12"/>
                <w:color w:val="auto"/>
              </w:rPr>
            </w:pPr>
          </w:p>
        </w:tc>
        <w:tc>
          <w:tcPr>
            <w:tcW w:w="12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59,767</w:t>
            </w:r>
          </w:p>
        </w:tc>
        <w:tc>
          <w:tcPr>
            <w:tcW w:w="26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82,358</w:t>
            </w:r>
          </w:p>
        </w:tc>
        <w:tc>
          <w:tcPr>
            <w:tcW w:w="2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2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67,513</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1,225,206</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1,218,474</w:t>
            </w:r>
          </w:p>
        </w:tc>
        <w:tc>
          <w:tcPr>
            <w:tcW w:w="2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1,236,888</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1,287,273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CFF"/>
            </w:tcBorders>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auto"/>
            </w:tcBorders>
            <w:shd w:val="clear" w:color="auto" w:fill="CCECFF"/>
          </w:tcPr>
          <w:p>
            <w:pPr>
              <w:spacing w:after="0"/>
              <w:rPr>
                <w:sz w:val="12"/>
                <w:szCs w:val="12"/>
                <w:color w:val="auto"/>
              </w:rPr>
            </w:pPr>
          </w:p>
        </w:tc>
        <w:tc>
          <w:tcPr>
            <w:tcW w:w="11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45,751</w:t>
            </w:r>
          </w:p>
        </w:tc>
        <w:tc>
          <w:tcPr>
            <w:tcW w:w="2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spacing w:after="0"/>
              <w:rPr>
                <w:sz w:val="12"/>
                <w:szCs w:val="12"/>
                <w:color w:val="auto"/>
              </w:rPr>
            </w:pPr>
          </w:p>
        </w:tc>
        <w:tc>
          <w:tcPr>
            <w:tcW w:w="12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45,860</w:t>
            </w:r>
          </w:p>
        </w:tc>
        <w:tc>
          <w:tcPr>
            <w:tcW w:w="260" w:type="dxa"/>
            <w:vAlign w:val="bottom"/>
            <w:tcBorders>
              <w:bottom w:val="single" w:sz="8" w:color="CCECFF"/>
            </w:tcBorders>
            <w:shd w:val="clear" w:color="auto" w:fill="CCECFF"/>
          </w:tcPr>
          <w:p>
            <w:pPr>
              <w:spacing w:after="0"/>
              <w:rPr>
                <w:sz w:val="12"/>
                <w:szCs w:val="12"/>
                <w:color w:val="auto"/>
              </w:rPr>
            </w:pPr>
          </w:p>
        </w:tc>
        <w:tc>
          <w:tcPr>
            <w:tcW w:w="880" w:type="dxa"/>
            <w:vAlign w:val="bottom"/>
            <w:tcBorders>
              <w:bottom w:val="single" w:sz="8" w:color="auto"/>
            </w:tcBorders>
            <w:shd w:val="clear" w:color="auto" w:fill="CCECFF"/>
          </w:tcPr>
          <w:p>
            <w:pPr>
              <w:spacing w:after="0"/>
              <w:rPr>
                <w:sz w:val="12"/>
                <w:szCs w:val="12"/>
                <w:color w:val="auto"/>
              </w:rPr>
            </w:pPr>
          </w:p>
        </w:tc>
        <w:tc>
          <w:tcPr>
            <w:tcW w:w="60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51,739</w:t>
            </w:r>
          </w:p>
        </w:tc>
        <w:tc>
          <w:tcPr>
            <w:tcW w:w="2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12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51,783</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1,270,957</w:t>
            </w:r>
          </w:p>
        </w:tc>
        <w:tc>
          <w:tcPr>
            <w:tcW w:w="4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1,264,334</w:t>
            </w:r>
          </w:p>
        </w:tc>
        <w:tc>
          <w:tcPr>
            <w:tcW w:w="1140" w:type="dxa"/>
            <w:vAlign w:val="bottom"/>
            <w:gridSpan w:val="2"/>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1,288,627</w:t>
            </w:r>
          </w:p>
        </w:tc>
        <w:tc>
          <w:tcPr>
            <w:tcW w:w="5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1,339,056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-334010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-334010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-334010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-128270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-128270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-128270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 below describes investments by industry classification by cost and fair value and enumerates the percentage, by fair value and total net asset value in such industries as of:</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xml:space="preserve">December 31, 2025 </w:t>
            </w:r>
            <w:r>
              <w:rPr>
                <w:rFonts w:ascii="Times New Roman" w:cs="Times New Roman" w:eastAsia="Times New Roman" w:hAnsi="Times New Roman"/>
                <w:sz w:val="19"/>
                <w:szCs w:val="19"/>
                <w:b w:val="1"/>
                <w:bCs w:val="1"/>
                <w:color w:val="auto"/>
                <w:vertAlign w:val="superscript"/>
              </w:rPr>
              <w:t>(1)</w:t>
            </w: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xml:space="preserve">September 30, 2025 </w:t>
            </w:r>
            <w:r>
              <w:rPr>
                <w:rFonts w:ascii="Times New Roman" w:cs="Times New Roman" w:eastAsia="Times New Roman" w:hAnsi="Times New Roman"/>
                <w:sz w:val="19"/>
                <w:szCs w:val="19"/>
                <w:b w:val="1"/>
                <w:bCs w:val="1"/>
                <w:color w:val="auto"/>
                <w:vertAlign w:val="superscript"/>
              </w:rPr>
              <w:t>(1)</w:t>
            </w: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0" w:type="dxa"/>
            <w:vAlign w:val="bottom"/>
          </w:tcPr>
          <w:p>
            <w:pPr>
              <w:spacing w:after="0"/>
              <w:rPr>
                <w:sz w:val="1"/>
                <w:szCs w:val="1"/>
                <w:color w:val="auto"/>
              </w:rPr>
            </w:pPr>
          </w:p>
        </w:tc>
      </w:tr>
      <w:tr>
        <w:trPr>
          <w:trHeight w:val="148"/>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U.S. Government Securities</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209,555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209,485</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124,809</w:t>
            </w:r>
          </w:p>
        </w:tc>
        <w:tc>
          <w:tcPr>
            <w:tcW w:w="1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124,788</w:t>
            </w:r>
          </w:p>
        </w:tc>
        <w:tc>
          <w:tcPr>
            <w:tcW w:w="1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Healthcare, Education and Childcare</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115,196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164,480</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128,969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168,000</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Business Services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144,342</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184,452</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Financial Services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75,456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77,916</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70,403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68,959</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58,221</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130,850</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Consumer Products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53,072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47,932</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53,746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49,414</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Auto Sector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44,618</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27,826</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Aerospace and Defense</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47,113</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Environmental Services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27,144</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31,238</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Gaming</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23,183</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22,853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23,151</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Media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20,583</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17,434</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Diversified Conglomerate Service</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19,734</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16,416</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Consumer Services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19,698</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19,319</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Personal, Food and Miscellaneous Services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19,416</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18,769</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Manufacturing/Basic Industry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16,191</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43,067</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Telecommunications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12,519</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13,657</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13,695</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Chemicals, Plastics and Rubber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12,783</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12,240</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Buildings and Real Estate</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12,546</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12,495</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Electronics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6,048</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Event Services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12,073</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6"/>
        </w:trPr>
        <w:tc>
          <w:tcPr>
            <w:tcW w:w="26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Home and Office Furnishings, Housewares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9,258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9,723</w:t>
            </w:r>
          </w:p>
        </w:tc>
        <w:tc>
          <w:tcPr>
            <w:tcW w:w="1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Durable Consumer Products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Consulting Services</w:t>
            </w:r>
          </w:p>
        </w:tc>
        <w:tc>
          <w:tcPr>
            <w:tcW w:w="1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w:t>
            </w:r>
          </w:p>
        </w:tc>
        <w:tc>
          <w:tcPr>
            <w:tcW w:w="1340" w:type="dxa"/>
            <w:vAlign w:val="bottom"/>
            <w:gridSpan w:val="3"/>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40" w:type="dxa"/>
            <w:vAlign w:val="bottom"/>
            <w:gridSpan w:val="2"/>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42,946</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37,000</w:t>
            </w:r>
          </w:p>
        </w:tc>
        <w:tc>
          <w:tcPr>
            <w:tcW w:w="1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60" w:type="dxa"/>
            <w:vAlign w:val="bottom"/>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1,002,561</w:t>
            </w:r>
          </w:p>
        </w:tc>
        <w:tc>
          <w:tcPr>
            <w:tcW w:w="24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1,018,420</w:t>
            </w:r>
          </w:p>
        </w:tc>
        <w:tc>
          <w:tcPr>
            <w:tcW w:w="1240" w:type="dxa"/>
            <w:vAlign w:val="bottom"/>
            <w:gridSpan w:val="3"/>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140" w:type="dxa"/>
            <w:vAlign w:val="bottom"/>
            <w:gridSpan w:val="2"/>
            <w:shd w:val="clear" w:color="auto" w:fill="CCEC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223%</w:t>
            </w:r>
          </w:p>
        </w:tc>
        <w:tc>
          <w:tcPr>
            <w:tcW w:w="24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1,014,243</w:t>
            </w:r>
          </w:p>
        </w:tc>
        <w:tc>
          <w:tcPr>
            <w:tcW w:w="200" w:type="dxa"/>
            <w:vAlign w:val="bottom"/>
            <w:gridSpan w:val="2"/>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1,079,473</w:t>
            </w:r>
          </w:p>
        </w:tc>
        <w:tc>
          <w:tcPr>
            <w:tcW w:w="1340" w:type="dxa"/>
            <w:vAlign w:val="bottom"/>
            <w:gridSpan w:val="3"/>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140" w:type="dxa"/>
            <w:vAlign w:val="bottom"/>
            <w:gridSpan w:val="2"/>
            <w:shd w:val="clear" w:color="auto" w:fill="CCEC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48"/>
        </w:trPr>
        <w:tc>
          <w:tcPr>
            <w:tcW w:w="1880" w:type="dxa"/>
            <w:vAlign w:val="bottom"/>
            <w:tcBorders>
              <w:top w:val="single" w:sz="8" w:color="CCECFF"/>
              <w:bottom w:val="single" w:sz="8" w:color="auto"/>
            </w:tcBorders>
          </w:tcPr>
          <w:p>
            <w:pPr>
              <w:spacing w:after="0"/>
              <w:rPr>
                <w:sz w:val="4"/>
                <w:szCs w:val="4"/>
                <w:color w:val="auto"/>
              </w:rPr>
            </w:pPr>
          </w:p>
        </w:tc>
        <w:tc>
          <w:tcPr>
            <w:tcW w:w="780" w:type="dxa"/>
            <w:vAlign w:val="bottom"/>
            <w:tcBorders>
              <w:top w:val="single" w:sz="8" w:color="CCECFF"/>
            </w:tcBorders>
          </w:tcPr>
          <w:p>
            <w:pPr>
              <w:spacing w:after="0"/>
              <w:rPr>
                <w:sz w:val="4"/>
                <w:szCs w:val="4"/>
                <w:color w:val="auto"/>
              </w:rPr>
            </w:pPr>
          </w:p>
        </w:tc>
        <w:tc>
          <w:tcPr>
            <w:tcW w:w="160" w:type="dxa"/>
            <w:vAlign w:val="bottom"/>
            <w:tcBorders>
              <w:top w:val="single" w:sz="8" w:color="CCEC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Borders>
              <w:top w:val="single" w:sz="8" w:color="CCEC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Borders>
              <w:top w:val="single" w:sz="8" w:color="CCECFF"/>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20" w:type="dxa"/>
            <w:vAlign w:val="bottom"/>
            <w:tcBorders>
              <w:top w:val="single" w:sz="8" w:color="CCECFF"/>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Borders>
              <w:top w:val="single" w:sz="8" w:color="CCECFF"/>
            </w:tcBorders>
          </w:tcPr>
          <w:p>
            <w:pPr>
              <w:spacing w:after="0"/>
              <w:rPr>
                <w:sz w:val="4"/>
                <w:szCs w:val="4"/>
                <w:color w:val="auto"/>
              </w:rPr>
            </w:pPr>
          </w:p>
        </w:tc>
        <w:tc>
          <w:tcPr>
            <w:tcW w:w="100" w:type="dxa"/>
            <w:vAlign w:val="bottom"/>
            <w:tcBorders>
              <w:top w:val="single" w:sz="8" w:color="CCECFF"/>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Borders>
              <w:top w:val="single" w:sz="8" w:color="CCEC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Borders>
              <w:top w:val="single" w:sz="8" w:color="CCECFF"/>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 w:type="dxa"/>
            <w:vAlign w:val="bottom"/>
            <w:tcBorders>
              <w:top w:val="single" w:sz="8" w:color="CCECFF"/>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Borders>
              <w:top w:val="single" w:sz="8" w:color="CCEC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-76835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-59690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-76835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-59690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-76835</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-59690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-76835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-59690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-76835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-59690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-76835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-59690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-76835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-59690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-76835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-59690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380" w:hanging="372"/>
        <w:spacing w:after="0" w:line="228"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investments in PSLF.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3" w:name="page34"/>
    <w:bookmarkEnd w:id="33"/>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as a Delaware limited liability company. PSLF invests primarily in middle-market and other corporate debt securities consistent with its strategy. As of December 31, 2025 and September 30, 2025, PSLF had total assets of $1,409.3 million and $1,315.4 million, respectively and its investment portfolio consisted of debt investments in 118 and 109 portfolio companies, respectively. As of December 31, 2025, we and Pantheon had remaining commitments to fund subordinated notes of $8.2 million and $11.7 million, respectively, and equity interest of $5.0 million and $7.1 million, respectively, in PSLF. As of September 30, 2025, we and Pantheon had remaining commitments to fund subordinated notes of $8.2 million and $11.7 million, respectively, and equity interests of $5.0 million and $7.1 million, respectively, in PSLF. As of December 31, 2025, at fair value, the largest investment in a single portfolio company in PSLF was $26.6 million and the five largest investments totaled $123.6 million. As of September 30, 2025, at fair value, the largest investment in a single portfolio company in PSLF was $24.8 million and the five largest investments totaled $121.4 million. PSLF invests in portfolio companies in the same industries in which we may directly invest.</w:t>
      </w:r>
    </w:p>
    <w:p>
      <w:pPr>
        <w:spacing w:after="0" w:line="2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December 31, 2025, we and Pantheon owned 55.8% and 44.2%, respectively, of each of the outstanding subordinated notes and equity interests of PSLF. As of September 30, 2025, we and Pantheon owned 55.8% and 44.2%, respectively, of each of the outstanding subordinated notes and equity interest of PSLF. As of December 31, 2025, our investment in PSLF consisted of subordinated notes of $140.3 million and equity interests of $82.4 million, respectively. As of September 30, 2025, our investment in PSLF consisted of subordinated notes of $140.3 million and equity interests of $82.4 million respectively.</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being entitled to cast two votes on each matter; and (iii) the presence of four members of the Member Designees’ Committee constitute a quorum, provided that the two individuals are present that were elected, designated or appointed by each of us and Pantheon.</w:t>
      </w:r>
    </w:p>
    <w:p>
      <w:pPr>
        <w:spacing w:after="0" w:line="110"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Additionally, PSLF, through its wholly-owned subsidiary, has entered into a $400.0 million (increased from $325.0 million in August 2024) senior secured revolving credit facility, with BNP Paribas, which bears interest at SOFR (or an alternative risk-free interest rate index) plus 225 basis points during the investment period and is subject to leverage and borrowing base restrictions.</w:t>
      </w:r>
    </w:p>
    <w:p>
      <w:pPr>
        <w:spacing w:after="0" w:line="26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carefully constructed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December 31, 2025 and September 30, 2025 there were $246.0 million and $246.0 million, respectively, of external 2034 Asset-Backed Debt.</w:t>
      </w:r>
    </w:p>
    <w:p>
      <w:pPr>
        <w:spacing w:after="0" w:line="110"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On July 26, 2023, CLO VII , LLC ("CLO VII") completed a $300 million debt securitization in the form of a collateralized loan obligation (the "2035 Debt Securitization" or "2035 Asset-Backed Debt"). The 2035 Asset-Backed Debt is secured by a carefully constructed portfolio consisting primarily of middle market loans. The 2035 Debt Securitization was executed through a private placement of: (i)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$21.0 million Class B Senior Secured Floating Rate Notes due 2035, which bear interest at the three-month SOFR plus 4.1%, (v) $24.0 million Class C Secured Deferrable Floating Rate Notes due 2035, which bear interest at the three-month SOFR plus 4.7%, and (vi) $18.0 million Class D Secured Deferrable Floating Rate Notes due 2035, which bear interest at the three-month SOFR plus 7.0%. On July 21, 2025, CLO VII closed a partial refinancing of the 2035 Debt Securitization where the $21.0 million Class B (B-R) Senior Secured Floating Rate Notes interest rate was decreased to SOFR plus 2.0%, the $24.0 million Class C (C-R) Secured Deferrable Floating Rate Notes interest rate was decreased to SOFR plus 2.3% and the $18.0 million Class D (D-R) Secured Deferrable Floating Rate Notes interest rate was decreased to SOFR plus 3.4%. As of December 31, 2025 and September 30, 2025, there were $246.0 million and $246.0 million of external 2035 Asset-Backed Debt.</w:t>
      </w:r>
    </w:p>
    <w:p>
      <w:pPr>
        <w:spacing w:after="0" w:line="115"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On December 23, 2024, PennantPark CLO X, LLC ("CLO X”) completed a $400.5 million debt securitization in the form of a collateralized loan obligation (the "2037 Debt Securitization" or "2037 Asset-Backed Debt"). The 2037 Asset-Backed Debt is secured by a carefully constructed portfolio consisting primarily of middle market loans. The 2037 Debt Securitization was executed through a private placement of: (i) $158.0 million Class A-1 Notes maturing 2037, which bear interest at the three-month SOFR plus 1.59%, (ii) $30.0 million Class A-1A Loans maturing 2037, which bear interest at the three-month SOFR plus 1.59%, (iii) $40.0 million Class A-1W Loans maturing 2037, which bear interest at the three-month SOFR plus 1.59%, (iv) $16.0 million Class A-2W Loans due 2037, which bear interest at the three-month SOFR plus 1.75%, (v) $28.0 million Class B Notes due 2037, which bear interest at the three-month SOFR plus 1.85%, (vi) $32.0 million Class C Notes due 2037, which bear interest at the three-month SOFR plus 2.40%., (vii) $24.0 million Class D Notes due 2037, which bear interest at the three-month SOFR plus 3.85%. As of December 31, 2025 and September 30, 2025 there were $328.0 million and $328.0 million, respectively, of external 2037 Asset-Backed Debt.</w:t>
      </w:r>
    </w:p>
    <w:p>
      <w:pPr>
        <w:spacing w:after="0" w:line="113"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August 28, 2024, PSLF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“PSLF Member”) to request to redeem its interests in PSLF (in minimum tranches of 25% of the interests then-owned by such PSFL Member) at any time. Under the Amendment, if a PSLF Member makes a redemption request, PSLF will be required to use commercially reasonable efforts to redeem any such PSFL Member’s interests within 18 months and, in any event, within three years from the date of such redemption request, subject to customary limitations with respect to the liquidity of PSLF and the requirement that the Company’s proportionate share or ownership of PSLF not exceed 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4" w:name="page35"/>
    <w:bookmarkEnd w:id="3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48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5"/>
        </w:trPr>
        <w:tc>
          <w:tcPr>
            <w:tcW w:w="43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3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Total investments</w:t>
            </w:r>
          </w:p>
        </w:tc>
        <w:tc>
          <w:tcPr>
            <w:tcW w:w="348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1,357,342</w:t>
            </w: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1,265,901</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8"/>
        </w:trPr>
        <w:tc>
          <w:tcPr>
            <w:tcW w:w="43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Number of portfolio companies in PSLF</w:t>
            </w:r>
          </w:p>
        </w:tc>
        <w:tc>
          <w:tcPr>
            <w:tcW w:w="3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3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26,563</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34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123,565</w:t>
            </w: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121,360</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2025 (par and $ in thousands)</w:t>
      </w:r>
    </w:p>
    <w:tbl>
      <w:tblPr>
        <w:tblLayout w:type="fixed"/>
        <w:tblInd w:w="0" w:type="dxa"/>
        <w:tblCellMar>
          <w:top w:w="0" w:type="dxa"/>
          <w:left w:w="0" w:type="dxa"/>
          <w:bottom w:w="0" w:type="dxa"/>
          <w:right w:w="0" w:type="dxa"/>
        </w:tblCellMar>
      </w:tblPr>
      <w:tr>
        <w:trPr>
          <w:trHeight w:val="134"/>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First Lien Secured Debt - 1,258.% of Net Assets</w:t>
            </w: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ACP Avenu Buyer,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23,450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23,183</w:t>
            </w:r>
          </w:p>
        </w:tc>
        <w:tc>
          <w:tcPr>
            <w:tcW w:w="28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23,391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Falcon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10/06/23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08/01/29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15,157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14,937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AFC-Dell Holding Corp.</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04/09/27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 Care Providers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APT OPCO,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12/24/25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09/30/31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9.93%</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SOFR+626</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16,270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16,270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Alpine Acquisition Corp II </w:t>
            </w:r>
            <w:r>
              <w:rPr>
                <w:rFonts w:ascii="Times New Roman" w:cs="Times New Roman" w:eastAsia="Times New Roman" w:hAnsi="Times New Roman"/>
                <w:sz w:val="14"/>
                <w:szCs w:val="14"/>
                <w:color w:val="auto"/>
                <w:vertAlign w:val="superscript"/>
              </w:rPr>
              <w:t>(4), (6)</w:t>
            </w:r>
          </w:p>
        </w:tc>
        <w:tc>
          <w:tcPr>
            <w:tcW w:w="1140" w:type="dxa"/>
            <w:vAlign w:val="bottom"/>
            <w:gridSpan w:val="2"/>
            <w:vMerge w:val="restart"/>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10/12/22</w:t>
            </w:r>
          </w:p>
        </w:tc>
        <w:tc>
          <w:tcPr>
            <w:tcW w:w="940" w:type="dxa"/>
            <w:vAlign w:val="bottom"/>
            <w:gridSpan w:val="2"/>
            <w:vMerge w:val="restart"/>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11/30/26</w:t>
            </w:r>
          </w:p>
        </w:tc>
        <w:tc>
          <w:tcPr>
            <w:tcW w:w="300" w:type="dxa"/>
            <w:vAlign w:val="bottom"/>
            <w:shd w:val="clear" w:color="auto" w:fill="CCECFF"/>
          </w:tcPr>
          <w:p>
            <w:pPr>
              <w:spacing w:after="0"/>
              <w:rPr>
                <w:sz w:val="12"/>
                <w:szCs w:val="12"/>
                <w:color w:val="auto"/>
              </w:rPr>
            </w:pPr>
          </w:p>
        </w:tc>
        <w:tc>
          <w:tcPr>
            <w:tcW w:w="1380" w:type="dxa"/>
            <w:vAlign w:val="bottom"/>
            <w:shd w:val="clear" w:color="auto" w:fill="CCECFF"/>
          </w:tcPr>
          <w:p>
            <w:pPr>
              <w:jc w:val="center"/>
              <w:ind w:right="6"/>
              <w:spacing w:after="0"/>
              <w:rPr>
                <w:sz w:val="20"/>
                <w:szCs w:val="20"/>
                <w:color w:val="auto"/>
              </w:rPr>
            </w:pPr>
            <w:r>
              <w:rPr>
                <w:rFonts w:ascii="Times New Roman" w:cs="Times New Roman" w:eastAsia="Times New Roman" w:hAnsi="Times New Roman"/>
                <w:sz w:val="11"/>
                <w:szCs w:val="11"/>
                <w:color w:val="auto"/>
                <w:w w:val="98"/>
              </w:rPr>
              <w:t>Containers, Packaging and</w:t>
            </w: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9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15,157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15,028</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800" w:type="dxa"/>
            <w:vAlign w:val="bottom"/>
            <w:shd w:val="clear" w:color="auto" w:fill="CCECFF"/>
          </w:tcPr>
          <w:p>
            <w:pPr>
              <w:spacing w:after="0"/>
              <w:rPr>
                <w:sz w:val="8"/>
                <w:szCs w:val="8"/>
                <w:color w:val="auto"/>
              </w:rPr>
            </w:pPr>
          </w:p>
        </w:tc>
        <w:tc>
          <w:tcPr>
            <w:tcW w:w="1140" w:type="dxa"/>
            <w:vAlign w:val="bottom"/>
            <w:gridSpan w:val="2"/>
            <w:vMerge w:val="continue"/>
            <w:shd w:val="clear" w:color="auto" w:fill="CCECFF"/>
          </w:tcPr>
          <w:p>
            <w:pPr>
              <w:spacing w:after="0"/>
              <w:rPr>
                <w:sz w:val="8"/>
                <w:szCs w:val="8"/>
                <w:color w:val="auto"/>
              </w:rPr>
            </w:pPr>
          </w:p>
        </w:tc>
        <w:tc>
          <w:tcPr>
            <w:tcW w:w="940" w:type="dxa"/>
            <w:vAlign w:val="bottom"/>
            <w:gridSpan w:val="2"/>
            <w:vMerge w:val="continue"/>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Glass</w:t>
            </w:r>
          </w:p>
        </w:tc>
        <w:tc>
          <w:tcPr>
            <w:tcW w:w="1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900" w:type="dxa"/>
            <w:vAlign w:val="bottom"/>
            <w:gridSpan w:val="2"/>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20" w:type="dxa"/>
            <w:vAlign w:val="bottom"/>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940" w:type="dxa"/>
            <w:vAlign w:val="bottom"/>
            <w:vMerge w:val="continue"/>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Amsive Holdings Corporation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13,717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Anteriad, LLC (f/k/a MeritDirect,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06/30/26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9.57%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13,618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Arcfield Acquisition Corp.</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07/26/22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10/28/31</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Archer Lewis,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08/28/29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09/13/29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20,305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20,111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20,508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11/20/30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Beacon Behavioral Support Services,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09/16/24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Best Practice Associates,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01/21/25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10.47%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19,800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19,560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08/11/22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07/02/29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Manufacturing / Basic</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Big Top Holdings,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02/28/30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Industries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Bioderm,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01/31/28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09/17/26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9.07%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SOFR+540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25,179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25,036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 Care Providers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Blue Cloud Pediatric Surgery Centers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01/21/31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Boss Industries,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12/27/30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10/03/22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07/25/29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9,775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CF512,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12/29/21</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08/20/26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SOFR+619</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9,019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Carisk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02/09/24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12/01/29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11,341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Carnegie Dartlet,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02/07/30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22,598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22,312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09/09/22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06/14/28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21,670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21,824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11/26/24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10,342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Commercial Fire Protection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09/23/30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20,682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11.22%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Cornerstone Advisors of Arizona,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05/13/32</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08/12/22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07/13/27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9.70%</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8,601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08/16/27</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9.08%</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SOFR+536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DRI Holding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08/04/22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12/21/28</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9.07%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5,450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11/03/25</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4,399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4,455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Electronic Equipment,</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DX Electric Company,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10/01/31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Instruments and Components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7,046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09/30/30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4,938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4,899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4,938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Dynata, LLC - First Out Term Loan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07/15/24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07/17/28</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9.14%</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 Out Term Loan</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07/15/24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10/16/28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9,646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9,646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5,848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EDS Buyer,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01/10/29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22,885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05/29/29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Emergency Care Partners,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10/18/27</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EvAL Home Care Solutions Intermediate,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07/23/24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05/10/30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03/15/27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10.07%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9,499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Hotels, Motels, Inns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02/23/28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Gaming</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rPr>
              <w:t>12.98%</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SOFR+925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7"/>
              </w:rPr>
              <w:t>Housewares and Durable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GGG Midco,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09/27/30</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15,096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680" w:type="dxa"/>
            <w:vAlign w:val="bottom"/>
            <w:gridSpan w:val="2"/>
            <w:shd w:val="clear" w:color="auto" w:fill="CCECFF"/>
          </w:tcPr>
          <w:p>
            <w:pPr>
              <w:jc w:val="center"/>
              <w:ind w:left="206"/>
              <w:spacing w:after="0" w:line="108" w:lineRule="exact"/>
              <w:rPr>
                <w:sz w:val="20"/>
                <w:szCs w:val="20"/>
                <w:color w:val="auto"/>
              </w:rPr>
            </w:pPr>
            <w:r>
              <w:rPr>
                <w:rFonts w:ascii="Times New Roman" w:cs="Times New Roman" w:eastAsia="Times New Roman" w:hAnsi="Times New Roman"/>
                <w:sz w:val="11"/>
                <w:szCs w:val="11"/>
                <w:color w:val="auto"/>
                <w:w w:val="97"/>
              </w:rPr>
              <w:t>Banking, Finance, Insurance &amp;</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03/16/26</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Real Estate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9.33%</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6,287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6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Graffiti Buyer, Inc.</w:t>
            </w:r>
          </w:p>
        </w:tc>
        <w:tc>
          <w:tcPr>
            <w:tcW w:w="2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03/02/22</w:t>
            </w:r>
          </w:p>
        </w:tc>
        <w:tc>
          <w:tcPr>
            <w:tcW w:w="180" w:type="dxa"/>
            <w:vAlign w:val="bottom"/>
          </w:tcPr>
          <w:p>
            <w:pPr>
              <w:spacing w:after="0"/>
              <w:rPr>
                <w:sz w:val="10"/>
                <w:szCs w:val="10"/>
                <w:color w:val="auto"/>
              </w:rPr>
            </w:pPr>
          </w:p>
        </w:tc>
        <w:tc>
          <w:tcPr>
            <w:tcW w:w="7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08/10/27</w:t>
            </w:r>
          </w:p>
        </w:tc>
        <w:tc>
          <w:tcPr>
            <w:tcW w:w="30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Distribution</w:t>
            </w:r>
          </w:p>
        </w:tc>
        <w:tc>
          <w:tcPr>
            <w:tcW w:w="10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SOFR+560</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3,951</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3,923</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HEC Purchaser Corp.</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09/16/24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06/17/29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8.87%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12,530</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(4)</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15,449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HW Holdco,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05/10/26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9.80%</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23,121</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23,082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08/09/30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19,134</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18,950</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Hills Distribution,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02/13/24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14,347</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14,264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09/22/28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4,339</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4,298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Acquisitionco,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11/15/27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5,438</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5,393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Impact Advisors,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12/10/25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03/19/32</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Health Care Technology</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02/07/23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12/28/28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Infolinks Media Buyco,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13,011</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Inovex Information Systems Incorporated</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03/04/25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Inventus Power,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10/10/23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01/15/26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11.33%</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SOFR+761</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13,701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Takeback TL</w:t>
            </w: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800" w:type="dxa"/>
            <w:vAlign w:val="bottom"/>
            <w:vMerge w:val="continue"/>
            <w:shd w:val="clear" w:color="auto" w:fill="CCECFF"/>
          </w:tcPr>
          <w:p>
            <w:pPr>
              <w:spacing w:after="0"/>
              <w:rPr>
                <w:sz w:val="6"/>
                <w:szCs w:val="6"/>
                <w:color w:val="auto"/>
              </w:rPr>
            </w:pPr>
          </w:p>
        </w:tc>
        <w:tc>
          <w:tcPr>
            <w:tcW w:w="1140" w:type="dxa"/>
            <w:vAlign w:val="bottom"/>
            <w:gridSpan w:val="2"/>
            <w:vMerge w:val="restart"/>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07/31/25</w:t>
            </w:r>
          </w:p>
        </w:tc>
        <w:tc>
          <w:tcPr>
            <w:tcW w:w="940" w:type="dxa"/>
            <w:vAlign w:val="bottom"/>
            <w:gridSpan w:val="2"/>
            <w:vMerge w:val="restart"/>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shd w:val="clear" w:color="auto" w:fill="CCECFF"/>
          </w:tcPr>
          <w:p>
            <w:pPr>
              <w:spacing w:after="0"/>
              <w:rPr>
                <w:sz w:val="6"/>
                <w:szCs w:val="6"/>
                <w:color w:val="auto"/>
              </w:rPr>
            </w:pPr>
          </w:p>
        </w:tc>
        <w:tc>
          <w:tcPr>
            <w:tcW w:w="13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740" w:type="dxa"/>
            <w:vAlign w:val="bottom"/>
            <w:gridSpan w:val="2"/>
            <w:vMerge w:val="restart"/>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shd w:val="clear" w:color="auto" w:fill="CCECFF"/>
          </w:tcPr>
          <w:p>
            <w:pPr>
              <w:spacing w:after="0"/>
              <w:rPr>
                <w:sz w:val="6"/>
                <w:szCs w:val="6"/>
                <w:color w:val="auto"/>
              </w:rPr>
            </w:pPr>
          </w:p>
        </w:tc>
        <w:tc>
          <w:tcPr>
            <w:tcW w:w="6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9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86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2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800" w:type="dxa"/>
            <w:vAlign w:val="bottom"/>
            <w:shd w:val="clear" w:color="auto" w:fill="CCECFF"/>
          </w:tcPr>
          <w:p>
            <w:pPr>
              <w:spacing w:after="0"/>
              <w:rPr>
                <w:sz w:val="5"/>
                <w:szCs w:val="5"/>
                <w:color w:val="auto"/>
              </w:rPr>
            </w:pPr>
          </w:p>
        </w:tc>
        <w:tc>
          <w:tcPr>
            <w:tcW w:w="1140" w:type="dxa"/>
            <w:vAlign w:val="bottom"/>
            <w:gridSpan w:val="2"/>
            <w:vMerge w:val="continue"/>
            <w:shd w:val="clear" w:color="auto" w:fill="CCECFF"/>
          </w:tcPr>
          <w:p>
            <w:pPr>
              <w:spacing w:after="0"/>
              <w:rPr>
                <w:sz w:val="5"/>
                <w:szCs w:val="5"/>
                <w:color w:val="auto"/>
              </w:rPr>
            </w:pPr>
          </w:p>
        </w:tc>
        <w:tc>
          <w:tcPr>
            <w:tcW w:w="940" w:type="dxa"/>
            <w:vAlign w:val="bottom"/>
            <w:gridSpan w:val="2"/>
            <w:vMerge w:val="continue"/>
            <w:shd w:val="clear" w:color="auto" w:fill="CCECFF"/>
          </w:tcPr>
          <w:p>
            <w:pPr>
              <w:spacing w:after="0"/>
              <w:rPr>
                <w:sz w:val="5"/>
                <w:szCs w:val="5"/>
                <w:color w:val="auto"/>
              </w:rPr>
            </w:pPr>
          </w:p>
        </w:tc>
        <w:tc>
          <w:tcPr>
            <w:tcW w:w="300" w:type="dxa"/>
            <w:vAlign w:val="bottom"/>
            <w:shd w:val="clear" w:color="auto" w:fill="CCECFF"/>
          </w:tcPr>
          <w:p>
            <w:pPr>
              <w:spacing w:after="0"/>
              <w:rPr>
                <w:sz w:val="5"/>
                <w:szCs w:val="5"/>
                <w:color w:val="auto"/>
              </w:rPr>
            </w:pPr>
          </w:p>
        </w:tc>
        <w:tc>
          <w:tcPr>
            <w:tcW w:w="1380" w:type="dxa"/>
            <w:vAlign w:val="bottom"/>
            <w:vMerge w:val="continue"/>
            <w:shd w:val="clear" w:color="auto" w:fill="CCECFF"/>
          </w:tcPr>
          <w:p>
            <w:pPr>
              <w:spacing w:after="0"/>
              <w:rPr>
                <w:sz w:val="5"/>
                <w:szCs w:val="5"/>
                <w:color w:val="auto"/>
              </w:rPr>
            </w:pPr>
          </w:p>
        </w:tc>
        <w:tc>
          <w:tcPr>
            <w:tcW w:w="740" w:type="dxa"/>
            <w:vAlign w:val="bottom"/>
            <w:gridSpan w:val="2"/>
            <w:vMerge w:val="continue"/>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640" w:type="dxa"/>
            <w:vAlign w:val="bottom"/>
            <w:vMerge w:val="continue"/>
            <w:shd w:val="clear" w:color="auto" w:fill="CCECFF"/>
          </w:tcPr>
          <w:p>
            <w:pPr>
              <w:spacing w:after="0"/>
              <w:rPr>
                <w:sz w:val="5"/>
                <w:szCs w:val="5"/>
                <w:color w:val="auto"/>
              </w:rPr>
            </w:pPr>
          </w:p>
        </w:tc>
        <w:tc>
          <w:tcPr>
            <w:tcW w:w="900" w:type="dxa"/>
            <w:vAlign w:val="bottom"/>
            <w:gridSpan w:val="2"/>
            <w:vMerge w:val="continue"/>
            <w:shd w:val="clear" w:color="auto" w:fill="CCECFF"/>
          </w:tcPr>
          <w:p>
            <w:pPr>
              <w:spacing w:after="0"/>
              <w:rPr>
                <w:sz w:val="5"/>
                <w:szCs w:val="5"/>
                <w:color w:val="auto"/>
              </w:rPr>
            </w:pPr>
          </w:p>
        </w:tc>
        <w:tc>
          <w:tcPr>
            <w:tcW w:w="860" w:type="dxa"/>
            <w:vAlign w:val="bottom"/>
            <w:gridSpan w:val="2"/>
            <w:vMerge w:val="continue"/>
            <w:shd w:val="clear" w:color="auto" w:fill="CCECFF"/>
          </w:tcPr>
          <w:p>
            <w:pPr>
              <w:spacing w:after="0"/>
              <w:rPr>
                <w:sz w:val="5"/>
                <w:szCs w:val="5"/>
                <w:color w:val="auto"/>
              </w:rPr>
            </w:pPr>
          </w:p>
        </w:tc>
        <w:tc>
          <w:tcPr>
            <w:tcW w:w="1220" w:type="dxa"/>
            <w:vAlign w:val="bottom"/>
            <w:gridSpan w:val="2"/>
            <w:vMerge w:val="continue"/>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 - Priority TL</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07/31/25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Lash OpCo,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02/18/27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10.94%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SOFR+710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21,806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21,754</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21,260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02/03/27</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02/01/30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8.46%</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12,251</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12,167</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8,153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7,952</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MDI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07/25/28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8.57%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19,677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19,529</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03/04/25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12/19/30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19,684</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MBS Holdings,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04/16/27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8,223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8,182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8,223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04/01/22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2,885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2,861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Medina Health,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01/18/24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10/20/28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19,317</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Acquisitionco,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07/17/24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7,774</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MOREgroup Holdings,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08/29/24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01/16/30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19,433</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9,496</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NBH Group,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08/19/26</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9.71%</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SOFR+585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7,145</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NORA Acquisition,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11/21/23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08/31/29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10.02%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08/29/31</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Road and Rail</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01/17/25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18,879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18,753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Omnia Exterior Solutions,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07/25/24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12/29/29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17,945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17,743</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One Stop Mailing,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06/07/23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8,227</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8,161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08/29/24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5,739</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5,678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5,767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PN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07/31/31</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3,556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Pacific Purchaser,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03/21/24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9.85%</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12,773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12,613</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12,466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PAR Excellence Holdings,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11/26/24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09/03/30</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8.77%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PD Tri-State Holdco,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10/14/30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Commercial Services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Paving Lessor Corp. First Lien -Term Loan</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10/24/25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07/01/31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Supplies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8.94%</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6,862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(4)</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04/01/22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11/09/27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4.27%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8,913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8,699</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Project Granite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07/21/25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5,889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Puget Collision,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10/02/31</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9,945</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9,938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08/15/29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3,930</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RTIC Subsidiary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05/03/29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24,637</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24,318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11/06/19</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03/29/27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11,717</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06/20/29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8.99%</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22,629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22,561</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Recteq,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01/29/26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10.07%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SOFR+640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9,525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9,521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06/21/27</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3,683</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Healthcare Providers &amp;</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Ro Health,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04/03/25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01/17/31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Rosco Parent,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09/12/31</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5,154</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5,119</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5,115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06/16/29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9.85%</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5,493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01/07/25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10/31/30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11,784</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07/07/26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6,582</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Sath Industries,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12/10/25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rPr>
              <w:t>Building Products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Seacoast Service Partners NA,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09/14/22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06/13/29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14,369</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12/01/23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10.62%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26,831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26,686</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26,563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10,578</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w w:val="99"/>
              </w:rPr>
              <w:t xml:space="preserve">STG Distribution, LLC - First Out New Money Term Loans </w:t>
            </w:r>
            <w:r>
              <w:rPr>
                <w:rFonts w:ascii="Times New Roman" w:cs="Times New Roman" w:eastAsia="Times New Roman" w:hAnsi="Times New Roman"/>
                <w:sz w:val="14"/>
                <w:szCs w:val="14"/>
                <w:color w:val="auto"/>
                <w:w w:val="99"/>
                <w:vertAlign w:val="superscript"/>
              </w:rPr>
              <w:t>(4)</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10/03/24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10/03/29</w:t>
            </w:r>
          </w:p>
        </w:tc>
        <w:tc>
          <w:tcPr>
            <w:tcW w:w="3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520" w:type="dxa"/>
            <w:vAlign w:val="bottom"/>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(2)</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80" w:type="dxa"/>
            <w:vAlign w:val="bottom"/>
            <w:shd w:val="clear" w:color="auto" w:fill="CCECFF"/>
          </w:tcPr>
          <w:p>
            <w:pPr>
              <w:spacing w:after="0" w:line="115" w:lineRule="exact"/>
              <w:rPr>
                <w:sz w:val="20"/>
                <w:szCs w:val="20"/>
                <w:color w:val="auto"/>
              </w:rPr>
            </w:pPr>
            <w:r>
              <w:rPr>
                <w:rFonts w:ascii="Times New Roman" w:cs="Times New Roman" w:eastAsia="Times New Roman" w:hAnsi="Times New Roman"/>
                <w:sz w:val="10"/>
                <w:szCs w:val="10"/>
                <w:color w:val="auto"/>
              </w:rPr>
              <w:t xml:space="preserve">STG Distribution, LLC - Second Out Term Loans </w:t>
            </w:r>
            <w:r>
              <w:rPr>
                <w:rFonts w:ascii="Times New Roman" w:cs="Times New Roman" w:eastAsia="Times New Roman" w:hAnsi="Times New Roman"/>
                <w:sz w:val="13"/>
                <w:szCs w:val="13"/>
                <w:color w:val="auto"/>
                <w:vertAlign w:val="superscript"/>
              </w:rPr>
              <w:t>(4)</w:t>
            </w:r>
          </w:p>
        </w:tc>
        <w:tc>
          <w:tcPr>
            <w:tcW w:w="1160" w:type="dxa"/>
            <w:vAlign w:val="bottom"/>
            <w:gridSpan w:val="2"/>
            <w:shd w:val="clear" w:color="auto" w:fill="CCECFF"/>
          </w:tcPr>
          <w:p>
            <w:pPr>
              <w:jc w:val="center"/>
              <w:ind w:left="206"/>
              <w:spacing w:after="0" w:line="115" w:lineRule="exact"/>
              <w:rPr>
                <w:sz w:val="20"/>
                <w:szCs w:val="20"/>
                <w:color w:val="auto"/>
              </w:rPr>
            </w:pPr>
            <w:r>
              <w:rPr>
                <w:rFonts w:ascii="Times New Roman" w:cs="Times New Roman" w:eastAsia="Times New Roman" w:hAnsi="Times New Roman"/>
                <w:sz w:val="11"/>
                <w:szCs w:val="11"/>
                <w:color w:val="auto"/>
                <w:w w:val="97"/>
              </w:rPr>
              <w:t>10/03/24</w:t>
            </w:r>
          </w:p>
        </w:tc>
        <w:tc>
          <w:tcPr>
            <w:tcW w:w="960" w:type="dxa"/>
            <w:vAlign w:val="bottom"/>
            <w:gridSpan w:val="2"/>
            <w:shd w:val="clear" w:color="auto" w:fill="CCECFF"/>
          </w:tcPr>
          <w:p>
            <w:pPr>
              <w:jc w:val="center"/>
              <w:ind w:left="126"/>
              <w:spacing w:after="0" w:line="115" w:lineRule="exact"/>
              <w:rPr>
                <w:sz w:val="20"/>
                <w:szCs w:val="20"/>
                <w:color w:val="auto"/>
              </w:rPr>
            </w:pPr>
            <w:r>
              <w:rPr>
                <w:rFonts w:ascii="Times New Roman" w:cs="Times New Roman" w:eastAsia="Times New Roman" w:hAnsi="Times New Roman"/>
                <w:sz w:val="11"/>
                <w:szCs w:val="11"/>
                <w:color w:val="auto"/>
                <w:w w:val="97"/>
              </w:rPr>
              <w:t>10/03/29</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2,593</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346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SV-Aero Holdings,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10/31/24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11/01/30</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14,563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Systems Planning And Analysis, Inc.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08/16/27</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16,785</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02/27/24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01/23/29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4"/>
              </w:rPr>
              <w:t>10.17%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9,713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5"/>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TMII Enterprises,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12/22/28</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8.22%</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19,654</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US Parent,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11/24/25</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Food</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9.89%</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5"/>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Team Services Group,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12/20/27</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9.09%</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9,427</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Bluebird Group,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07/28/26</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9.57%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08/31/28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14,443</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14,364</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Transgo,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06/07/24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12/29/28</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Tyto Athene,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04/01/28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8.88%</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11,342</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11,280</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10,888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Watchtower Buyer,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09/19/24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12/01/29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23,055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04/30/25</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04/30/28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6,676</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340" w:type="dxa"/>
            <w:vAlign w:val="bottom"/>
            <w:tcBorders>
              <w:bottom w:val="single" w:sz="8" w:color="CCECFF"/>
            </w:tcBorders>
            <w:shd w:val="clear" w:color="auto" w:fill="CCECFF"/>
          </w:tcPr>
          <w:p>
            <w:pPr>
              <w:spacing w:after="0"/>
              <w:rPr>
                <w:sz w:val="10"/>
                <w:szCs w:val="10"/>
                <w:color w:val="auto"/>
              </w:rPr>
            </w:pPr>
          </w:p>
        </w:tc>
        <w:tc>
          <w:tcPr>
            <w:tcW w:w="13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520" w:type="dxa"/>
            <w:vAlign w:val="bottom"/>
            <w:tcBorders>
              <w:bottom w:val="single" w:sz="8" w:color="auto"/>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900" w:type="dxa"/>
            <w:vAlign w:val="bottom"/>
            <w:tcBorders>
              <w:bottom w:val="single" w:sz="8" w:color="auto"/>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1,382,302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1,347,821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 - 4.1%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Systems, LLC - Subordinate Debt</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04/30/25</w:t>
            </w:r>
          </w:p>
        </w:tc>
        <w:tc>
          <w:tcPr>
            <w:tcW w:w="96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7"/>
              </w:rPr>
              <w:t>07/30/28</w:t>
            </w:r>
          </w:p>
        </w:tc>
        <w:tc>
          <w:tcPr>
            <w:tcW w:w="34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12.00%</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Securities - 4.8%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New Insight Holdings, Inc. - Common Equity</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07/15/24</w:t>
            </w:r>
          </w:p>
        </w:tc>
        <w:tc>
          <w:tcPr>
            <w:tcW w:w="18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134,330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48Forty Intermediate Holdings, Inc. - Common Equity</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11/05/24</w:t>
            </w:r>
          </w:p>
        </w:tc>
        <w:tc>
          <w:tcPr>
            <w:tcW w:w="18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Group, LP - Common Equity</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04/30/25</w:t>
            </w:r>
          </w:p>
        </w:tc>
        <w:tc>
          <w:tcPr>
            <w:tcW w:w="18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White Tiger Newco, LLC - Common Equity</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07/31/25</w:t>
            </w: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8,177</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Total Investments - 1,267.0% of Net Assets</w:t>
            </w:r>
            <w:r>
              <w:rPr>
                <w:rFonts w:ascii="Times New Roman" w:cs="Times New Roman" w:eastAsia="Times New Roman" w:hAnsi="Times New Roman"/>
                <w:sz w:val="14"/>
                <w:szCs w:val="14"/>
                <w:b w:val="1"/>
                <w:bCs w:val="1"/>
                <w:color w:val="auto"/>
                <w:vertAlign w:val="superscript"/>
              </w:rPr>
              <w:t>(3)(5)</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1,394,885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b w:val="1"/>
                <w:bCs w:val="1"/>
                <w:color w:val="auto"/>
              </w:rPr>
              <w:t>Cash Equivalents - 19.51%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JPMorgan U.S. Government  (Money Market Fund)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3.61%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Goldman Sachs Financial Square Government Fund (Money</w:t>
            </w: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 Fund)</w:t>
            </w:r>
          </w:p>
        </w:tc>
        <w:tc>
          <w:tcPr>
            <w:tcW w:w="2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3.71%</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12,264</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3.69%</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Equivalents</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20,904</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20,904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Cash - 22.54% of Net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3"/>
          </w:tcPr>
          <w:p>
            <w:pPr>
              <w:spacing w:after="0"/>
              <w:rPr>
                <w:sz w:val="10"/>
                <w:szCs w:val="10"/>
                <w:color w:val="auto"/>
              </w:rPr>
            </w:pPr>
          </w:p>
        </w:tc>
        <w:tc>
          <w:tcPr>
            <w:tcW w:w="10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1,439,937</w:t>
            </w:r>
          </w:p>
        </w:tc>
        <w:tc>
          <w:tcPr>
            <w:tcW w:w="220" w:type="dxa"/>
            <w:vAlign w:val="bottom"/>
            <w:gridSpan w:val="2"/>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1,402,394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780" w:type="dxa"/>
            <w:vAlign w:val="bottom"/>
            <w:shd w:val="clear" w:color="auto" w:fill="CCECFF"/>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(1208.9)% of Net</w:t>
            </w:r>
          </w:p>
        </w:tc>
        <w:tc>
          <w:tcPr>
            <w:tcW w:w="260" w:type="dxa"/>
            <w:vAlign w:val="bottom"/>
            <w:shd w:val="clear" w:color="auto" w:fill="CCECFF"/>
          </w:tcPr>
          <w:p>
            <w:pPr>
              <w:spacing w:after="0"/>
              <w:rPr>
                <w:sz w:val="7"/>
                <w:szCs w:val="7"/>
                <w:color w:val="auto"/>
              </w:rPr>
            </w:pPr>
          </w:p>
        </w:tc>
        <w:tc>
          <w:tcPr>
            <w:tcW w:w="9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780" w:type="dxa"/>
            <w:vAlign w:val="bottom"/>
            <w:shd w:val="clear" w:color="auto" w:fill="CCECFF"/>
          </w:tcPr>
          <w:p>
            <w:pPr>
              <w:spacing w:after="0"/>
              <w:rPr>
                <w:sz w:val="7"/>
                <w:szCs w:val="7"/>
                <w:color w:val="auto"/>
              </w:rPr>
            </w:pPr>
          </w:p>
        </w:tc>
        <w:tc>
          <w:tcPr>
            <w:tcW w:w="340" w:type="dxa"/>
            <w:vAlign w:val="bottom"/>
            <w:shd w:val="clear" w:color="auto" w:fill="CCECFF"/>
          </w:tcPr>
          <w:p>
            <w:pPr>
              <w:spacing w:after="0"/>
              <w:rPr>
                <w:sz w:val="7"/>
                <w:szCs w:val="7"/>
                <w:color w:val="auto"/>
              </w:rPr>
            </w:pPr>
          </w:p>
        </w:tc>
        <w:tc>
          <w:tcPr>
            <w:tcW w:w="13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66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60" w:type="dxa"/>
            <w:vAlign w:val="bottom"/>
            <w:shd w:val="clear" w:color="auto" w:fill="CCECFF"/>
          </w:tcPr>
          <w:p>
            <w:pPr>
              <w:spacing w:after="0"/>
              <w:rPr>
                <w:sz w:val="7"/>
                <w:szCs w:val="7"/>
                <w:color w:val="auto"/>
              </w:rPr>
            </w:pPr>
          </w:p>
        </w:tc>
        <w:tc>
          <w:tcPr>
            <w:tcW w:w="100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(1,295,254)</w:t>
            </w:r>
          </w:p>
        </w:tc>
        <w:tc>
          <w:tcPr>
            <w:tcW w:w="0" w:type="dxa"/>
            <w:vAlign w:val="bottom"/>
          </w:tcPr>
          <w:p>
            <w:pPr>
              <w:spacing w:after="0"/>
              <w:rPr>
                <w:sz w:val="1"/>
                <w:szCs w:val="1"/>
                <w:color w:val="auto"/>
              </w:rPr>
            </w:pPr>
          </w:p>
        </w:tc>
      </w:tr>
      <w:tr>
        <w:trPr>
          <w:trHeight w:val="124"/>
        </w:trPr>
        <w:tc>
          <w:tcPr>
            <w:tcW w:w="2780" w:type="dxa"/>
            <w:vAlign w:val="bottom"/>
            <w:shd w:val="clear" w:color="auto" w:fill="CCEC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1000" w:type="dxa"/>
            <w:vAlign w:val="bottom"/>
            <w:gridSpan w:val="2"/>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3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Members' Equity—100.0%</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107,140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-2562225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-2185035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-1370965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-745490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-556895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-367665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80" w:hanging="372"/>
        <w:spacing w:after="0" w:line="235" w:lineRule="auto"/>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 60-day, 90-day or 180-day SOFR rate (1MS, 2MS, 3MS, or 6MS, respectively), at the borrower’s option. All securities are subject to the SOFR floor where a spread is provided, unless noted. The spread provided includes PIK interest and other fee rates, if any.</w:t>
      </w:r>
    </w:p>
    <w:p>
      <w:pPr>
        <w:spacing w:after="0" w:line="6"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Valued based on PSLF's accounting policy.</w:t>
      </w:r>
    </w:p>
    <w:p>
      <w:pPr>
        <w:spacing w:after="0" w:line="12"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of December 31, 2025, all investments are in US Companies. Total cost, fair value, and percentage of Net Assets for U.S Companies were $1,394.9 million, $1,357.3 million and 1,267.0%.</w:t>
      </w:r>
    </w:p>
    <w:p>
      <w:pPr>
        <w:spacing w:after="0" w:line="4"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Non-accrual security</w:t>
      </w:r>
    </w:p>
    <w:p>
      <w:pPr>
        <w:spacing w:after="0" w:line="9"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All investments are not registered under the 1933 Act and have restrictions on resale.</w:t>
      </w:r>
    </w:p>
    <w:p>
      <w:pPr>
        <w:spacing w:after="0" w:line="12" w:lineRule="exact"/>
        <w:rPr>
          <w:rFonts w:ascii="Times New Roman" w:cs="Times New Roman" w:eastAsia="Times New Roman" w:hAnsi="Times New Roman"/>
          <w:sz w:val="9"/>
          <w:szCs w:val="9"/>
          <w:color w:val="auto"/>
        </w:rPr>
      </w:pPr>
    </w:p>
    <w:p>
      <w:pPr>
        <w:ind w:left="380" w:right="60" w:hanging="372"/>
        <w:spacing w:after="0" w:line="234" w:lineRule="auto"/>
        <w:tabs>
          <w:tab w:leader="none" w:pos="3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securities, or a portion thereof, are not 1) pledge as collateral under the Credit Facility and held through Funding I; or, 2) securing the 2034 Asset-Backed Debt and held through PennantPark CLOIV, LLC, or 3) securing the 2035 Asset-Backed Debt and held through PennantPark CLO VII, LLC, or 4) securing the 2037 Asset-Backed Debt and held through PennantPark CLO X, LLC.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7" w:name="page38"/>
    <w:bookmarkEnd w:id="37"/>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656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2025 (par and $ in thousands):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2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- 1,035.8% of Net Assets</w:t>
            </w:r>
          </w:p>
        </w:tc>
        <w:tc>
          <w:tcPr>
            <w:tcW w:w="2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Avenu Buyer,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04/23/24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9.04%</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7,590</w:t>
            </w:r>
          </w:p>
        </w:tc>
        <w:tc>
          <w:tcPr>
            <w:tcW w:w="3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7,474</w:t>
            </w:r>
          </w:p>
        </w:tc>
        <w:tc>
          <w:tcPr>
            <w:tcW w:w="2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Acp Falcon Buyer,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10/06/23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08/01/29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9.79%</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15,196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15,348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AFC-Dell Holding Corp.</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04/09/27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9.83%</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16,181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10.26%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4,718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Alpine Acquisition Corp II (4), (7)</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10/12/22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11/30/26</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7,896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Amsive Holdings Corporation</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13,805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Anteriad, LLC (f/k/a MeritDirect,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06/30/26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13,803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Arcfield Acquisition Corp.</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07/26/22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10/28/31</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9.31%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Archer Lewis,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08/28/29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15,426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09/13/29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11/20/30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Environmental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Beacon Behavioral Support Services,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09/16/24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9.50%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24,305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Best Practice Associates,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01/21/25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10.91%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19,606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08/11/22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07/02/29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14,375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Manufacturing / Basic</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Big Top Holdings,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02/28/30</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Industries</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6,531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Bioderm,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01/31/28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10.77%</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09/17/26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SOFR+540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25,244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25,052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24,802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Boss Industries,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07/21/25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12/27/30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5,916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10/03/22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07/25/29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5,348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10/09/24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CF512,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12/29/21</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SOFR+619</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8,983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8,952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Carisk Buyer,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02/09/24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12/01/29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Carnegie Dartlet,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02/07/30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22,655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22,360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22,428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06/14/28</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21,708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11/26/24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10,366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9,966</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Commercial Fire Protection Holdings,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09/23/30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20,831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20,730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20,831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Compex Legal Services,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02/09/26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SOFR+750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08/12/22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07/13/27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8,614</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8,624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08/16/27</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10.03%</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DRI Holding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08/04/22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12/21/28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5,442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5,655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11/03/25</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4,478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09/30/30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4,910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Dynata, LLC - First Out Term Loan</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07/15/24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07/17/28</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1,572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 Out Term Loan</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07/15/24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10/16/28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9,670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7,873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EDS Buyer,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01/10/29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23,169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22,915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05/29/29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9.16%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11,963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Emergency Care Partners,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10/18/27</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EvAL Home Care Solutions Intermediate,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07/23/24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05/10/30</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03/15/27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Hotels, Motels, Inns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Buyer,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02/23/28</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Gaming</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13.35%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SOFR+915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Housewares and Durable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GGG Midco,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09/27/30</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Banking, Finance, Insurance &amp;</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03/16/26</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9.74%</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SOFR+560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08/10/27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3,959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3,928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HEC Purchaser Corp.</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09/16/24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06/17/29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8.87%</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7,798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HV Watterson Holdings, LLC (4)</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8.00%</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15,496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HW Holdco,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23,593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23,537</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23,593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12/20/24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08/09/30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Financial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19,182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19,015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Hills Distribution,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02/13/24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10.32%</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14,148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09/22/28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9.31%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4,305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4,328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Acquisitionco,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11/15/27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5,452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5,402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5,452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02/07/23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12/28/28</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10.16%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13,622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Infolinks Media Buyco,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13,007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12,981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Inovex Information Systems Incorporated</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5,918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Inventus Power,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10/10/23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01/15/26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11.78%</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SOFR+761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12,968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11/10/27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13,701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11,646</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8" w:name="page39"/>
    <w:bookmarkEnd w:id="3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6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4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8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top w:val="single" w:sz="8" w:color="auto"/>
            </w:tcBorders>
          </w:tcPr>
          <w:p>
            <w:pPr>
              <w:jc w:val="center"/>
              <w:ind w:right="6"/>
              <w:spacing w:after="0" w:line="102"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 - Takeback TL</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07/31/25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Pictures, Entertainment</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10.10%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Priority TL</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07/31/25</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Pictures, Entertainment</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10.10%</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Lash OpCo,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02/18/27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12.16%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SOFR+785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21,466</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20,987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02/03/27</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20,115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20,017</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20,115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02/01/30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Environmental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8.77%</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7,636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7,550</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7,939</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MDI Buyer,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12/20/24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07/25/28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8.95%</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12/19/30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19,727</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MBS Holdings,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04/16/27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9.30%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8,244</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8,197</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04/01/22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2,893</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2,865</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Medina Health,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01/18/24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10/20/28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10.25%</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Acquisitionco,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07/17/24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7,880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7,788</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MOREgroup Holdings,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08/29/24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01/16/30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19,472</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9,512</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9,575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NBH Group,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08/19/26</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10.12%</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NORA Acquisition,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11/21/23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08/31/29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10.35%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SOFR+635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20,090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19,860</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01/17/25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18,926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18,793</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18,661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Omnia Exterior Solutions,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07/25/24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12/29/29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9.26%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17,982</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17,766</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One Stop Mailing,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06/07/23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10.53%</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8,274</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8,199</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08/29/24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Financial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5,753</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5,688</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5,753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Pink Lily Holdco, LLC (5)</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04/01/22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11/09/27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4.27%</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8,761</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8,699</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Pacific Purchaser,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03/21/24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12,773</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12,602</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PAR Excellence Holdings,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11/26/24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09/03/30</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Project Granite Buyer,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6,015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08/15/29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3,930</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RTIC Subsidiary Holdings,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05/03/29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24,700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24,365</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24,453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11/06/19</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03/29/27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10.45%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11,714</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06/20/29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9.29%</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22,704</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22,631</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Recteq,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01/29/26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SOFR+640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9,537</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06/21/27</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3,861</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Healthcare Providers &amp;</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Ro Health,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04/03/25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01/17/31</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9,249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06/16/29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5,435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5,367</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4,891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01/07/25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10/31/30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11,813</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07/07/26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10.20%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6,617</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Seacoast Service Partners NA,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07/21/25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09/14/22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06/13/29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10.15%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SOFR+615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14,394</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12/01/23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12/20/27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23,904</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23,741</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23,904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9,412</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9,261</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9,412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STG Distribution, LLC - First Out New Money Term Loans</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12.57%</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SOFR+835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1,895</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STG Distribution, LLC - Second Out Term Loans (5)</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5.32%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4,566</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2,594</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SV-Aero Holdings,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10/31/24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14,719</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14,656</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Systems Planning And Analysis,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16,919</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16,816</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16,784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02/27/24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01/23/29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10.52%</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9,732</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TMII Enterprises,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12/22/28</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8.66%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19,692</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US Parent,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11/24/25</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Food</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10.19%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11,269</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11,185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Team Services Group,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12/20/27</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9.56%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9,588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9,434</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9,548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Bluebird Group,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07/28/26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16,348</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16,306</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08/31/28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8.93%</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14,480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14,393</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Transgo,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06/07/24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12/29/28</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16,363</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16,215</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16,486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Tyto Athene,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11,342</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11,271</w:t>
            </w:r>
          </w:p>
        </w:tc>
        <w:tc>
          <w:tcPr>
            <w:tcW w:w="10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11,058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Urology Management Holdings,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06/15/27</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9.66%</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Fertility Enterprises,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09/03/25</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10/11/31</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4,931</w:t>
            </w:r>
          </w:p>
        </w:tc>
        <w:tc>
          <w:tcPr>
            <w:tcW w:w="1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Watchtower Buyer,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09/19/24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12/01/29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23,114</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22,912</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22,885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Borders>
              <w:bottom w:val="single" w:sz="8" w:color="CCECFF"/>
            </w:tcBorders>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1160" w:type="dxa"/>
            <w:vAlign w:val="bottom"/>
            <w:tcBorders>
              <w:bottom w:val="single" w:sz="8" w:color="CCECFF"/>
            </w:tcBorders>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04/30/25</w:t>
            </w:r>
          </w:p>
        </w:tc>
        <w:tc>
          <w:tcPr>
            <w:tcW w:w="940" w:type="dxa"/>
            <w:vAlign w:val="bottom"/>
            <w:tcBorders>
              <w:bottom w:val="single" w:sz="8" w:color="CCECFF"/>
            </w:tcBorders>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04/30/28</w:t>
            </w:r>
          </w:p>
        </w:tc>
        <w:tc>
          <w:tcPr>
            <w:tcW w:w="300" w:type="dxa"/>
            <w:vAlign w:val="bottom"/>
            <w:tcBorders>
              <w:bottom w:val="single" w:sz="8" w:color="CCECFF"/>
            </w:tcBorders>
            <w:shd w:val="clear" w:color="auto" w:fill="CCECFF"/>
          </w:tcPr>
          <w:p>
            <w:pPr>
              <w:spacing w:after="0"/>
              <w:rPr>
                <w:sz w:val="10"/>
                <w:szCs w:val="10"/>
                <w:color w:val="auto"/>
              </w:rPr>
            </w:pPr>
          </w:p>
        </w:tc>
        <w:tc>
          <w:tcPr>
            <w:tcW w:w="1360" w:type="dxa"/>
            <w:vAlign w:val="bottom"/>
            <w:tcBorders>
              <w:bottom w:val="single" w:sz="8" w:color="CCECFF"/>
            </w:tcBorders>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tcBorders>
              <w:bottom w:val="single" w:sz="8" w:color="CCECFF"/>
            </w:tcBorders>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9.81%</w:t>
            </w:r>
          </w:p>
        </w:tc>
        <w:tc>
          <w:tcPr>
            <w:tcW w:w="22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tcBorders>
              <w:bottom w:val="single" w:sz="8" w:color="CCECFF"/>
            </w:tcBorders>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6,577</w:t>
            </w:r>
          </w:p>
        </w:tc>
        <w:tc>
          <w:tcPr>
            <w:tcW w:w="2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6,686</w:t>
            </w:r>
          </w:p>
        </w:tc>
        <w:tc>
          <w:tcPr>
            <w:tcW w:w="220" w:type="dxa"/>
            <w:vAlign w:val="bottom"/>
            <w:tcBorders>
              <w:bottom w:val="single" w:sz="8" w:color="CCECFF"/>
            </w:tcBorders>
            <w:shd w:val="clear" w:color="auto" w:fill="CCECFF"/>
          </w:tcPr>
          <w:p>
            <w:pPr>
              <w:spacing w:after="0"/>
              <w:rPr>
                <w:sz w:val="10"/>
                <w:szCs w:val="10"/>
                <w:color w:val="auto"/>
              </w:rPr>
            </w:pPr>
          </w:p>
        </w:tc>
        <w:tc>
          <w:tcPr>
            <w:tcW w:w="82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6,708</w:t>
            </w:r>
          </w:p>
        </w:tc>
        <w:tc>
          <w:tcPr>
            <w:tcW w:w="12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1,276,720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1,253,543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 - 3.7% of Net Assets</w:t>
            </w:r>
          </w:p>
        </w:tc>
        <w:tc>
          <w:tcPr>
            <w:tcW w:w="2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Systems, LLC - Subordinate Debt</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04/30/25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07/30/28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12.00%</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2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20" w:type="dxa"/>
            <w:vAlign w:val="bottom"/>
            <w:tcBorders>
              <w:bottom w:val="single" w:sz="8" w:color="CCECFF"/>
            </w:tcBorders>
            <w:shd w:val="clear" w:color="auto" w:fill="CCECFF"/>
          </w:tcPr>
          <w:p>
            <w:pPr>
              <w:spacing w:after="0"/>
              <w:rPr>
                <w:sz w:val="11"/>
                <w:szCs w:val="1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-385445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Equity Securities - 6.6% of Net Assets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39" w:name="page40"/>
    <w:bookmarkEnd w:id="39"/>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w:t>
            </w:r>
          </w:p>
        </w:tc>
        <w:tc>
          <w:tcPr>
            <w:tcW w:w="20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54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New Insight Holdings, Inc. - Common Equity</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07/15/24</w:t>
            </w:r>
          </w:p>
        </w:tc>
        <w:tc>
          <w:tcPr>
            <w:tcW w:w="180" w:type="dxa"/>
            <w:vAlign w:val="bottom"/>
          </w:tcPr>
          <w:p>
            <w:pPr>
              <w:spacing w:after="0"/>
              <w:rPr>
                <w:sz w:val="12"/>
                <w:szCs w:val="12"/>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134,330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48Forty Intermediate Holdings, Inc. - Common Equity</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11/05/24</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Group, LP - Common Equity</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04/30/25</w:t>
            </w:r>
          </w:p>
        </w:tc>
        <w:tc>
          <w:tcPr>
            <w:tcW w:w="180" w:type="dxa"/>
            <w:vAlign w:val="bottom"/>
          </w:tcPr>
          <w:p>
            <w:pPr>
              <w:spacing w:after="0"/>
              <w:rPr>
                <w:sz w:val="12"/>
                <w:szCs w:val="12"/>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White Tiger Newco, LLC - Common Equity</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07/31/25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shd w:val="clear" w:color="auto" w:fill="CCECFF"/>
          </w:tcPr>
          <w:p>
            <w:pPr>
              <w:spacing w:after="0"/>
              <w:rPr>
                <w:sz w:val="12"/>
                <w:szCs w:val="12"/>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10,805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8,177</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Investments - 1,046.0% of Net Assets(3)(6)</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1,289,319</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1,265,901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Equivalents - 13.9% of Net Assets</w:t>
            </w: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JPMorgan U.S. Government  (Money Market Fund)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4.09%</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Goldman Sachs Financial Square Government Fund (Money</w:t>
            </w: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 Fund)</w:t>
            </w: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4.18%</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6,946</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4.19%</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Equivalents</w:t>
            </w: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16,838</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- 19.9% of Net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w:t>
            </w: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780" w:type="dxa"/>
            <w:vAlign w:val="bottom"/>
            <w:shd w:val="clear" w:color="auto" w:fill="CCEC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- 1,079.8%</w:t>
            </w:r>
          </w:p>
        </w:tc>
        <w:tc>
          <w:tcPr>
            <w:tcW w:w="260" w:type="dxa"/>
            <w:vAlign w:val="bottom"/>
            <w:shd w:val="clear" w:color="auto" w:fill="CCECFF"/>
          </w:tcPr>
          <w:p>
            <w:pPr>
              <w:spacing w:after="0"/>
              <w:rPr>
                <w:sz w:val="8"/>
                <w:szCs w:val="8"/>
                <w:color w:val="auto"/>
              </w:rPr>
            </w:pPr>
          </w:p>
        </w:tc>
        <w:tc>
          <w:tcPr>
            <w:tcW w:w="92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vMerge w:val="restart"/>
            <w:shd w:val="clear" w:color="auto" w:fill="CCEC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1,330,304</w:t>
            </w:r>
          </w:p>
        </w:tc>
        <w:tc>
          <w:tcPr>
            <w:tcW w:w="200" w:type="dxa"/>
            <w:vAlign w:val="bottom"/>
            <w:shd w:val="clear" w:color="auto" w:fill="CCECFF"/>
          </w:tcPr>
          <w:p>
            <w:pPr>
              <w:spacing w:after="0"/>
              <w:rPr>
                <w:sz w:val="8"/>
                <w:szCs w:val="8"/>
                <w:color w:val="auto"/>
              </w:rPr>
            </w:pPr>
          </w:p>
        </w:tc>
        <w:tc>
          <w:tcPr>
            <w:tcW w:w="180" w:type="dxa"/>
            <w:vAlign w:val="bottom"/>
            <w:vMerge w:val="restart"/>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1,306,886</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780" w:type="dxa"/>
            <w:vAlign w:val="bottom"/>
            <w:tcBorders>
              <w:bottom w:val="single" w:sz="8" w:color="CCECFF"/>
            </w:tcBorders>
            <w:shd w:val="clear" w:color="auto" w:fill="CCEC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of Net Assets</w:t>
            </w:r>
          </w:p>
        </w:tc>
        <w:tc>
          <w:tcPr>
            <w:tcW w:w="26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3"/>
            <w:shd w:val="clear" w:color="auto" w:fill="CCECFF"/>
          </w:tcPr>
          <w:p>
            <w:pPr>
              <w:spacing w:after="0"/>
              <w:rPr>
                <w:sz w:val="11"/>
                <w:szCs w:val="11"/>
                <w:color w:val="auto"/>
              </w:rPr>
            </w:pPr>
          </w:p>
        </w:tc>
        <w:tc>
          <w:tcPr>
            <w:tcW w:w="120" w:type="dxa"/>
            <w:vAlign w:val="bottom"/>
            <w:tcBorders>
              <w:bottom w:val="single" w:sz="8" w:color="auto"/>
            </w:tcBorders>
            <w:vMerge w:val="continue"/>
            <w:shd w:val="clear" w:color="auto" w:fill="CCECFF"/>
          </w:tcPr>
          <w:p>
            <w:pPr>
              <w:spacing w:after="0"/>
              <w:rPr>
                <w:sz w:val="11"/>
                <w:szCs w:val="11"/>
                <w:color w:val="auto"/>
              </w:rPr>
            </w:pPr>
          </w:p>
        </w:tc>
        <w:tc>
          <w:tcPr>
            <w:tcW w:w="540" w:type="dxa"/>
            <w:vAlign w:val="bottom"/>
            <w:tcBorders>
              <w:bottom w:val="single" w:sz="8" w:color="auto"/>
            </w:tcBorders>
            <w:vMerge w:val="continue"/>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vMerge w:val="continue"/>
            <w:shd w:val="clear" w:color="auto" w:fill="CCECFF"/>
          </w:tcPr>
          <w:p>
            <w:pPr>
              <w:spacing w:after="0"/>
              <w:rPr>
                <w:sz w:val="11"/>
                <w:szCs w:val="11"/>
                <w:color w:val="auto"/>
              </w:rPr>
            </w:pPr>
          </w:p>
        </w:tc>
        <w:tc>
          <w:tcPr>
            <w:tcW w:w="620" w:type="dxa"/>
            <w:vAlign w:val="bottom"/>
            <w:tcBorders>
              <w:bottom w:val="single" w:sz="8" w:color="auto"/>
            </w:tcBorders>
            <w:vMerge w:val="continue"/>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(979.8)% of Net</w:t>
            </w: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(1,185,860)</w:t>
            </w:r>
          </w:p>
        </w:tc>
        <w:tc>
          <w:tcPr>
            <w:tcW w:w="0" w:type="dxa"/>
            <w:vAlign w:val="bottom"/>
          </w:tcPr>
          <w:p>
            <w:pPr>
              <w:spacing w:after="0"/>
              <w:rPr>
                <w:sz w:val="1"/>
                <w:szCs w:val="1"/>
                <w:color w:val="auto"/>
              </w:rPr>
            </w:pPr>
          </w:p>
        </w:tc>
      </w:tr>
      <w:tr>
        <w:trPr>
          <w:trHeight w:val="124"/>
        </w:trPr>
        <w:tc>
          <w:tcPr>
            <w:tcW w:w="2780" w:type="dxa"/>
            <w:vAlign w:val="bottom"/>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8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Members' Equity—100.0%</w:t>
            </w:r>
          </w:p>
        </w:tc>
        <w:tc>
          <w:tcPr>
            <w:tcW w:w="26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80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121,026</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-1328420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-702310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-513715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-282575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-264795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380" w:right="180" w:hanging="372"/>
        <w:spacing w:after="0" w:line="235" w:lineRule="auto"/>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 60-day, 90-day or 180-day SOFR rate (1MS, 2MS, 3MS, or 6MS, respectively), at the borrower’s option. All securities are subject to the SOFR floor where a spread is provided, unless noted. The spread provided includes PIK interest and other fee rates, if any.</w:t>
      </w:r>
    </w:p>
    <w:p>
      <w:pPr>
        <w:spacing w:after="0" w:line="6"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Valued based on PSLF's accounting policy.</w:t>
      </w:r>
    </w:p>
    <w:p>
      <w:pPr>
        <w:spacing w:after="0" w:line="12"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of September 30, 2025, all investments are in US Companies. Total cost, fair value, and percentage of Net Assets for U.S Companies were $1,289.3 million, $1,265.9 million and 1,046.0%.</w:t>
      </w:r>
    </w:p>
    <w:p>
      <w:pPr>
        <w:spacing w:after="0" w:line="4"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Non-accrual security</w:t>
      </w:r>
    </w:p>
    <w:p>
      <w:pPr>
        <w:spacing w:after="0" w:line="9"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Partial non-accrual PIK security</w:t>
      </w:r>
    </w:p>
    <w:p>
      <w:pPr>
        <w:spacing w:after="0" w:line="12" w:lineRule="exact"/>
        <w:rPr>
          <w:rFonts w:ascii="Times New Roman" w:cs="Times New Roman" w:eastAsia="Times New Roman" w:hAnsi="Times New Roman"/>
          <w:sz w:val="9"/>
          <w:szCs w:val="9"/>
          <w:color w:val="auto"/>
        </w:rPr>
      </w:pPr>
    </w:p>
    <w:p>
      <w:pPr>
        <w:ind w:left="380" w:hanging="372"/>
        <w:spacing w:after="0"/>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All investments are not registered under the 1933 Act and have restrictions on resale.</w:t>
      </w:r>
    </w:p>
    <w:p>
      <w:pPr>
        <w:spacing w:after="0" w:line="4" w:lineRule="exact"/>
        <w:rPr>
          <w:rFonts w:ascii="Times New Roman" w:cs="Times New Roman" w:eastAsia="Times New Roman" w:hAnsi="Times New Roman"/>
          <w:sz w:val="9"/>
          <w:szCs w:val="9"/>
          <w:color w:val="auto"/>
        </w:rPr>
      </w:pPr>
    </w:p>
    <w:p>
      <w:pPr>
        <w:ind w:left="380" w:right="60" w:hanging="372"/>
        <w:spacing w:after="0" w:line="234" w:lineRule="auto"/>
        <w:tabs>
          <w:tab w:leader="none" w:pos="38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securities, or a portion thereof, are not 1) pledge as collateral under the Credit Facility and held through Funding I; or, 2) securing the 2034 Asset-Backed Debt and held through PennantPark CLOIV, LLC, or 3) securing the 2035 Asset-Backed Debt and held through PennantPark CLO VII, LLC, or 4) securing the 2037 Asset-Backed Debt and held through PennantPark CLO X,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0" w:name="page41"/>
    <w:bookmarkEnd w:id="40"/>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786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7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PSLF ($ in thousands):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 (amortized cost—$1,394,885 and $1,289,319, respectively)</w:t>
            </w:r>
          </w:p>
        </w:tc>
        <w:tc>
          <w:tcPr>
            <w:tcW w:w="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1,357,342</w:t>
            </w:r>
          </w:p>
        </w:tc>
        <w:tc>
          <w:tcPr>
            <w:tcW w:w="380" w:type="dxa"/>
            <w:vAlign w:val="bottom"/>
            <w:gridSpan w:val="2"/>
            <w:shd w:val="clear" w:color="auto" w:fill="CCEC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1,265,901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equivalents (cost—$20,904 and $16,838,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Cash (cost—$24,148 and $24,147 respectively)</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24,148</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Receivable for investments sold</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Due from affiliate</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1,409,325</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2037 Asset-backed debt, net (par—$328,000, unamortized deferred financing cost of $1,797 and $1,887,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326,203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2034 Asset-backed debt, net (par—$246,000, unamortized deferred financing cost of $843 and $940, respectively)</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245,157</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245,060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2035 Asset-backed debt, net (par—$246,000, unamortized deferred financing cost of $1,340 and $1,434,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244,660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Credit facility payable</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189,600</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 payable to members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Payable for investments purchased</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18,816</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5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Distribution payable to members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payable on subordinated notes to members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to affiliate</w:t>
            </w: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CFF"/>
            </w:tcBorders>
            <w:shd w:val="clear" w:color="auto" w:fill="CCEC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1,302,185</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1,194,421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CFF"/>
            </w:tcBorders>
            <w:shd w:val="clear" w:color="auto" w:fill="CCEC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107,140</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121,026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1,409,325</w:t>
            </w:r>
          </w:p>
        </w:tc>
        <w:tc>
          <w:tcPr>
            <w:tcW w:w="3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-1679575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As of December 31, 2025 and September 30, 2025, PSLF had zero of unfunded commitments to fund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1" w:name="page42"/>
    <w:bookmarkEnd w:id="41"/>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7660" w:type="dxa"/>
            <w:vAlign w:val="bottom"/>
          </w:tcPr>
          <w:p>
            <w:pPr>
              <w:ind w:left="49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2"/>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660" w:type="dxa"/>
            <w:vAlign w:val="bottom"/>
          </w:tcPr>
          <w:p>
            <w:pPr>
              <w:spacing w:after="0"/>
              <w:rPr>
                <w:sz w:val="22"/>
                <w:szCs w:val="22"/>
                <w:color w:val="auto"/>
              </w:rPr>
            </w:pPr>
          </w:p>
        </w:tc>
        <w:tc>
          <w:tcPr>
            <w:tcW w:w="294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040" w:type="dxa"/>
            <w:vAlign w:val="bottom"/>
            <w:shd w:val="clear" w:color="auto" w:fill="CCECFF"/>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32,440</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bottom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0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32,844</w:t>
            </w:r>
          </w:p>
        </w:tc>
        <w:tc>
          <w:tcPr>
            <w:tcW w:w="26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16,209</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 on subordinated notes to members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7,698</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Administration services expense</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25,099</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Net realized gain (loss) on investments</w:t>
            </w:r>
          </w:p>
        </w:tc>
        <w:tc>
          <w:tcPr>
            <w:tcW w:w="1040" w:type="dxa"/>
            <w:vAlign w:val="bottom"/>
          </w:tcPr>
          <w:p>
            <w:pPr>
              <w:spacing w:after="0"/>
              <w:rPr>
                <w:sz w:val="10"/>
                <w:szCs w:val="10"/>
                <w:color w:val="auto"/>
              </w:rPr>
            </w:pPr>
          </w:p>
        </w:tc>
        <w:tc>
          <w:tcPr>
            <w:tcW w:w="82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0"/>
                <w:szCs w:val="10"/>
                <w:color w:val="auto"/>
              </w:rPr>
            </w:pPr>
          </w:p>
        </w:tc>
        <w:tc>
          <w:tcPr>
            <w:tcW w:w="6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17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(14,131)</w:t>
            </w:r>
          </w:p>
        </w:tc>
        <w:tc>
          <w:tcPr>
            <w:tcW w:w="10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6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on investments</w:t>
            </w:r>
          </w:p>
        </w:tc>
        <w:tc>
          <w:tcPr>
            <w:tcW w:w="10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(14,131)</w:t>
            </w:r>
          </w:p>
        </w:tc>
        <w:tc>
          <w:tcPr>
            <w:tcW w:w="10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0"/>
        </w:trPr>
        <w:tc>
          <w:tcPr>
            <w:tcW w:w="766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040" w:type="dxa"/>
            <w:vAlign w:val="bottom"/>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(6,386)</w:t>
            </w:r>
          </w:p>
        </w:tc>
        <w:tc>
          <w:tcPr>
            <w:tcW w:w="1080" w:type="dxa"/>
            <w:vAlign w:val="bottom"/>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-1182370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-111125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-111125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-79375</wp:posOffset>
            </wp:positionV>
            <wp:extent cx="21945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140" w:hanging="132"/>
        <w:spacing w:after="0"/>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 management or incentive fees are payable by PSLF. PSLF pays the Administrator an annual fee of 0.25% of average gross assets under management payable on a quarterly basis.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jc w:val="both"/>
        <w:ind w:left="1700" w:right="700" w:hanging="1133"/>
        <w:spacing w:after="0" w:line="241" w:lineRule="auto"/>
        <w:tabs>
          <w:tab w:leader="none" w:pos="168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9" w:lineRule="exact"/>
        <w:rPr>
          <w:sz w:val="20"/>
          <w:szCs w:val="20"/>
          <w:color w:val="auto"/>
        </w:rPr>
      </w:pPr>
    </w:p>
    <w:p>
      <w:pPr>
        <w:jc w:val="both"/>
        <w:ind w:left="1700" w:right="700" w:hanging="1133"/>
        <w:spacing w:after="0" w:line="261" w:lineRule="auto"/>
        <w:tabs>
          <w:tab w:leader="none" w:pos="168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44"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and our Truist Credit Facility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82"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2026 Notes, our 2026 Notes-2 and our Truist Credit Facility, we employ the valuation policy approved by our board of directors which is consistent with ASC 820. Consistent with our valuation policy, we evaluate the source of inputs, including any markets in which our investments are trading, in determining fair value. See Note 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2" w:name="page43"/>
    <w:bookmarkEnd w:id="42"/>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8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("EBITDA"), multiple will result in an increase in the valuation of an investment, while a decrease in an EBITDA multiple will have the opposite effect.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 ($ 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0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29,807</w:t>
            </w:r>
          </w:p>
        </w:tc>
        <w:tc>
          <w:tcPr>
            <w:tcW w:w="300" w:type="dxa"/>
            <w:vAlign w:val="bottom"/>
          </w:tcPr>
          <w:p>
            <w:pPr>
              <w:spacing w:after="0"/>
              <w:rPr>
                <w:sz w:val="12"/>
                <w:szCs w:val="12"/>
                <w:color w:val="auto"/>
              </w:rPr>
            </w:pPr>
          </w:p>
        </w:tc>
        <w:tc>
          <w:tcPr>
            <w:tcW w:w="2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2"/>
                <w:szCs w:val="12"/>
                <w:color w:val="auto"/>
              </w:rPr>
            </w:pPr>
          </w:p>
        </w:tc>
        <w:tc>
          <w:tcPr>
            <w:tcW w:w="21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455,972</w:t>
            </w:r>
          </w:p>
        </w:tc>
        <w:tc>
          <w:tcPr>
            <w:tcW w:w="30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2"/>
            <w:shd w:val="clear" w:color="auto" w:fill="CCEC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4.0% - 27.3% (10.3%)</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2,121</w:t>
            </w:r>
          </w:p>
        </w:tc>
        <w:tc>
          <w:tcPr>
            <w:tcW w:w="3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7.9x - 8.3x (8.0x)</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14,825</w:t>
            </w:r>
          </w:p>
        </w:tc>
        <w:tc>
          <w:tcPr>
            <w:tcW w:w="30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2"/>
            <w:shd w:val="clear" w:color="auto" w:fill="CCECFF"/>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13.2% - 15.3% (14.2%)</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3,411</w:t>
            </w:r>
          </w:p>
        </w:tc>
        <w:tc>
          <w:tcPr>
            <w:tcW w:w="3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5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205,654</w:t>
            </w:r>
          </w:p>
        </w:tc>
        <w:tc>
          <w:tcPr>
            <w:tcW w:w="30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2"/>
                <w:szCs w:val="12"/>
                <w:color w:val="auto"/>
              </w:rPr>
            </w:pPr>
          </w:p>
        </w:tc>
        <w:tc>
          <w:tcPr>
            <w:tcW w:w="202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2"/>
            <w:shd w:val="clear" w:color="auto" w:fill="CCEC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8.5% - 25.0% (12.9%)</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231,163</w:t>
            </w:r>
          </w:p>
        </w:tc>
        <w:tc>
          <w:tcPr>
            <w:tcW w:w="3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1.1x - 18.0x (9.5x)</w:t>
            </w:r>
          </w:p>
        </w:tc>
        <w:tc>
          <w:tcPr>
            <w:tcW w:w="0" w:type="dxa"/>
            <w:vAlign w:val="bottom"/>
          </w:tcPr>
          <w:p>
            <w:pPr>
              <w:spacing w:after="0"/>
              <w:rPr>
                <w:sz w:val="1"/>
                <w:szCs w:val="1"/>
                <w:color w:val="auto"/>
              </w:rPr>
            </w:pPr>
          </w:p>
        </w:tc>
      </w:tr>
      <w:tr>
        <w:trPr>
          <w:trHeight w:val="142"/>
        </w:trPr>
        <w:tc>
          <w:tcPr>
            <w:tcW w:w="2580" w:type="dxa"/>
            <w:vAlign w:val="bottom"/>
            <w:shd w:val="clear" w:color="auto" w:fill="CCEC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Level 3 investments</w:t>
            </w:r>
          </w:p>
        </w:tc>
        <w:tc>
          <w:tcPr>
            <w:tcW w:w="320" w:type="dxa"/>
            <w:vAlign w:val="bottom"/>
            <w:gridSpan w:val="2"/>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942,953</w:t>
            </w:r>
          </w:p>
        </w:tc>
        <w:tc>
          <w:tcPr>
            <w:tcW w:w="30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CFF"/>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C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295,464</w:t>
            </w:r>
          </w:p>
        </w:tc>
        <w:tc>
          <w:tcPr>
            <w:tcW w:w="30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tcBorders>
              <w:bottom w:val="single" w:sz="8" w:color="CCECFF"/>
            </w:tcBorders>
            <w:gridSpan w:val="2"/>
            <w:shd w:val="clear" w:color="auto" w:fill="CCECFF"/>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-25400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714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Asset Category </w:t>
            </w:r>
            <w:r>
              <w:rPr>
                <w:rFonts w:ascii="Times New Roman" w:cs="Times New Roman" w:eastAsia="Times New Roman" w:hAnsi="Times New Roman"/>
                <w:sz w:val="14"/>
                <w:szCs w:val="14"/>
                <w:color w:val="auto"/>
              </w:rPr>
              <w:t>($ 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8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42"/>
        </w:trPr>
        <w:tc>
          <w:tcPr>
            <w:tcW w:w="258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First lien</w:t>
            </w:r>
          </w:p>
        </w:tc>
        <w:tc>
          <w:tcPr>
            <w:tcW w:w="320" w:type="dxa"/>
            <w:vAlign w:val="bottom"/>
            <w:gridSpan w:val="2"/>
            <w:shd w:val="clear" w:color="auto" w:fill="CCEC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31,018</w:t>
            </w:r>
          </w:p>
        </w:tc>
        <w:tc>
          <w:tcPr>
            <w:tcW w:w="28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2"/>
                <w:szCs w:val="12"/>
                <w:color w:val="auto"/>
              </w:rPr>
            </w:pPr>
          </w:p>
        </w:tc>
        <w:tc>
          <w:tcPr>
            <w:tcW w:w="2080" w:type="dxa"/>
            <w:vAlign w:val="bottom"/>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550,259</w:t>
            </w:r>
          </w:p>
        </w:tc>
        <w:tc>
          <w:tcPr>
            <w:tcW w:w="2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4.0% – 24.5% (10.1%)</w:t>
            </w:r>
          </w:p>
        </w:tc>
        <w:tc>
          <w:tcPr>
            <w:tcW w:w="0" w:type="dxa"/>
            <w:vAlign w:val="bottom"/>
          </w:tcPr>
          <w:p>
            <w:pPr>
              <w:spacing w:after="0"/>
              <w:rPr>
                <w:sz w:val="1"/>
                <w:szCs w:val="1"/>
                <w:color w:val="auto"/>
              </w:rPr>
            </w:pPr>
          </w:p>
        </w:tc>
      </w:tr>
      <w:tr>
        <w:trPr>
          <w:trHeight w:val="148"/>
        </w:trPr>
        <w:tc>
          <w:tcPr>
            <w:tcW w:w="25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5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8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2"/>
                <w:szCs w:val="12"/>
                <w:color w:val="auto"/>
              </w:rPr>
            </w:pPr>
          </w:p>
        </w:tc>
        <w:tc>
          <w:tcPr>
            <w:tcW w:w="208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7.5x - 8.3x (8.1x)</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14,750</w:t>
            </w:r>
          </w:p>
        </w:tc>
        <w:tc>
          <w:tcPr>
            <w:tcW w:w="2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13.2% - 15.5% (14.3%)</w:t>
            </w:r>
          </w:p>
        </w:tc>
        <w:tc>
          <w:tcPr>
            <w:tcW w:w="0" w:type="dxa"/>
            <w:vAlign w:val="bottom"/>
          </w:tcPr>
          <w:p>
            <w:pPr>
              <w:spacing w:after="0"/>
              <w:rPr>
                <w:sz w:val="1"/>
                <w:szCs w:val="1"/>
                <w:color w:val="auto"/>
              </w:rPr>
            </w:pPr>
          </w:p>
        </w:tc>
      </w:tr>
      <w:tr>
        <w:trPr>
          <w:trHeight w:val="149"/>
        </w:trPr>
        <w:tc>
          <w:tcPr>
            <w:tcW w:w="25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5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3,411</w:t>
            </w:r>
          </w:p>
        </w:tc>
        <w:tc>
          <w:tcPr>
            <w:tcW w:w="28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2"/>
                <w:szCs w:val="12"/>
                <w:color w:val="auto"/>
              </w:rPr>
            </w:pPr>
          </w:p>
        </w:tc>
        <w:tc>
          <w:tcPr>
            <w:tcW w:w="208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2"/>
                <w:szCs w:val="12"/>
                <w:color w:val="auto"/>
              </w:rPr>
            </w:pPr>
          </w:p>
        </w:tc>
        <w:tc>
          <w:tcPr>
            <w:tcW w:w="206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8"/>
        </w:trPr>
        <w:tc>
          <w:tcPr>
            <w:tcW w:w="2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201,220</w:t>
            </w:r>
          </w:p>
        </w:tc>
        <w:tc>
          <w:tcPr>
            <w:tcW w:w="2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7.0% - 25.4% (13.2%)</w:t>
            </w:r>
          </w:p>
        </w:tc>
        <w:tc>
          <w:tcPr>
            <w:tcW w:w="0" w:type="dxa"/>
            <w:vAlign w:val="bottom"/>
          </w:tcPr>
          <w:p>
            <w:pPr>
              <w:spacing w:after="0"/>
              <w:rPr>
                <w:sz w:val="1"/>
                <w:szCs w:val="1"/>
                <w:color w:val="auto"/>
              </w:rPr>
            </w:pPr>
          </w:p>
        </w:tc>
      </w:tr>
      <w:tr>
        <w:trPr>
          <w:trHeight w:val="148"/>
        </w:trPr>
        <w:tc>
          <w:tcPr>
            <w:tcW w:w="2580" w:type="dxa"/>
            <w:vAlign w:val="bottom"/>
            <w:tcBorders>
              <w:bottom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15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286,210</w:t>
            </w:r>
          </w:p>
        </w:tc>
        <w:tc>
          <w:tcPr>
            <w:tcW w:w="280" w:type="dxa"/>
            <w:vAlign w:val="bottom"/>
            <w:tcBorders>
              <w:bottom w:val="single" w:sz="8" w:color="CCECFF"/>
            </w:tcBorders>
            <w:shd w:val="clear" w:color="auto" w:fill="CCECFF"/>
          </w:tcPr>
          <w:p>
            <w:pPr>
              <w:spacing w:after="0"/>
              <w:rPr>
                <w:sz w:val="12"/>
                <w:szCs w:val="12"/>
                <w:color w:val="auto"/>
              </w:rPr>
            </w:pPr>
          </w:p>
        </w:tc>
        <w:tc>
          <w:tcPr>
            <w:tcW w:w="2060" w:type="dxa"/>
            <w:vAlign w:val="bottom"/>
            <w:tcBorders>
              <w:bottom w:val="single" w:sz="8" w:color="CCECFF"/>
            </w:tcBorders>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2"/>
                <w:szCs w:val="12"/>
                <w:color w:val="auto"/>
              </w:rPr>
            </w:pPr>
          </w:p>
        </w:tc>
        <w:tc>
          <w:tcPr>
            <w:tcW w:w="2080" w:type="dxa"/>
            <w:vAlign w:val="bottom"/>
            <w:tcBorders>
              <w:bottom w:val="single" w:sz="8" w:color="CCECFF"/>
            </w:tcBorders>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Borders>
              <w:bottom w:val="single" w:sz="8" w:color="CCECFF"/>
            </w:tcBorders>
            <w:shd w:val="clear" w:color="auto" w:fill="CCECFF"/>
          </w:tcPr>
          <w:p>
            <w:pPr>
              <w:spacing w:after="0"/>
              <w:rPr>
                <w:sz w:val="12"/>
                <w:szCs w:val="12"/>
                <w:color w:val="auto"/>
              </w:rPr>
            </w:pPr>
          </w:p>
        </w:tc>
        <w:tc>
          <w:tcPr>
            <w:tcW w:w="2060" w:type="dxa"/>
            <w:vAlign w:val="bottom"/>
            <w:tcBorders>
              <w:bottom w:val="single" w:sz="8" w:color="CCECFF"/>
            </w:tcBorders>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1.5x - 28.3x (9.4x)</w:t>
            </w:r>
          </w:p>
        </w:tc>
        <w:tc>
          <w:tcPr>
            <w:tcW w:w="0" w:type="dxa"/>
            <w:vAlign w:val="bottom"/>
          </w:tcPr>
          <w:p>
            <w:pPr>
              <w:spacing w:after="0"/>
              <w:rPr>
                <w:sz w:val="1"/>
                <w:szCs w:val="1"/>
                <w:color w:val="auto"/>
              </w:rPr>
            </w:pPr>
          </w:p>
        </w:tc>
      </w:tr>
      <w:tr>
        <w:trPr>
          <w:trHeight w:val="142"/>
        </w:trPr>
        <w:tc>
          <w:tcPr>
            <w:tcW w:w="2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Level 3 investments</w:t>
            </w:r>
          </w:p>
        </w:tc>
        <w:tc>
          <w:tcPr>
            <w:tcW w:w="32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1,087,964</w:t>
            </w: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80" w:type="dxa"/>
            <w:vAlign w:val="bottom"/>
            <w:tcBorders>
              <w:bottom w:val="single" w:sz="8" w:color="auto"/>
            </w:tcBorders>
            <w:shd w:val="clear" w:color="auto" w:fill="CCEC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Debt Category </w:t>
            </w:r>
            <w:r>
              <w:rPr>
                <w:rFonts w:ascii="Times New Roman" w:cs="Times New Roman" w:eastAsia="Times New Roman" w:hAnsi="Times New Roman"/>
                <w:sz w:val="14"/>
                <w:szCs w:val="14"/>
                <w:color w:val="auto"/>
              </w:rPr>
              <w:t>($ in thousands)</w:t>
            </w:r>
          </w:p>
        </w:tc>
        <w:tc>
          <w:tcPr>
            <w:tcW w:w="1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154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20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08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206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425,477</w:t>
            </w:r>
          </w:p>
        </w:tc>
        <w:tc>
          <w:tcPr>
            <w:tcW w:w="280" w:type="dxa"/>
            <w:vAlign w:val="bottom"/>
          </w:tcPr>
          <w:p>
            <w:pPr>
              <w:spacing w:after="0"/>
              <w:rPr>
                <w:sz w:val="12"/>
                <w:szCs w:val="12"/>
                <w:color w:val="auto"/>
              </w:rPr>
            </w:pPr>
          </w:p>
        </w:tc>
        <w:tc>
          <w:tcPr>
            <w:tcW w:w="2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-351155</wp:posOffset>
            </wp:positionV>
            <wp:extent cx="768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-128270</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8"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3" w:name="page44"/>
    <w:bookmarkEnd w:id="43"/>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9840" w:type="dxa"/>
            <w:vAlign w:val="bottom"/>
            <w:gridSpan w:val="15"/>
          </w:tcPr>
          <w:p>
            <w:pPr>
              <w:ind w:left="460"/>
              <w:spacing w:after="0"/>
              <w:rPr>
                <w:sz w:val="20"/>
                <w:szCs w:val="20"/>
                <w:color w:val="auto"/>
              </w:rPr>
            </w:pPr>
            <w:r>
              <w:rPr>
                <w:rFonts w:ascii="Times New Roman" w:cs="Times New Roman" w:eastAsia="Times New Roman" w:hAnsi="Times New Roman"/>
                <w:sz w:val="14"/>
                <w:szCs w:val="14"/>
                <w:color w:val="auto"/>
              </w:rPr>
              <w:t>Our investments, cash and cash equivalents, Truist Credit Facility, 2026 Notes and 2026 Notes-2 were categorized as follows in the fair value hierarchy:</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0" w:type="dxa"/>
            <w:vAlign w:val="bottom"/>
          </w:tcPr>
          <w:p>
            <w:pPr>
              <w:spacing w:after="0"/>
              <w:rPr>
                <w:sz w:val="1"/>
                <w:szCs w:val="1"/>
                <w:color w:val="auto"/>
              </w:rPr>
            </w:pPr>
          </w:p>
        </w:tc>
      </w:tr>
      <w:tr>
        <w:trPr>
          <w:trHeight w:val="104"/>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9"/>
                <w:szCs w:val="9"/>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9"/>
                <w:szCs w:val="9"/>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4"/>
                <w:szCs w:val="14"/>
                <w:b w:val="1"/>
                <w:bCs w:val="1"/>
                <w:color w:val="auto"/>
                <w:w w:val="96"/>
              </w:rPr>
              <w:t xml:space="preserve">Asset Value </w:t>
            </w:r>
            <w:r>
              <w:rPr>
                <w:rFonts w:ascii="Times New Roman" w:cs="Times New Roman" w:eastAsia="Times New Roman" w:hAnsi="Times New Roman"/>
                <w:sz w:val="19"/>
                <w:szCs w:val="19"/>
                <w:b w:val="1"/>
                <w:bCs w:val="1"/>
                <w:color w:val="auto"/>
                <w:w w:val="96"/>
                <w:vertAlign w:val="superscript"/>
              </w:rPr>
              <w:t>(1)</w:t>
            </w:r>
          </w:p>
        </w:tc>
        <w:tc>
          <w:tcPr>
            <w:tcW w:w="0" w:type="dxa"/>
            <w:vAlign w:val="bottom"/>
          </w:tcPr>
          <w:p>
            <w:pPr>
              <w:spacing w:after="0"/>
              <w:rPr>
                <w:sz w:val="1"/>
                <w:szCs w:val="1"/>
                <w:color w:val="auto"/>
              </w:rPr>
            </w:pPr>
          </w:p>
        </w:tc>
      </w:tr>
      <w:tr>
        <w:trPr>
          <w:trHeight w:val="115"/>
        </w:trPr>
        <w:tc>
          <w:tcPr>
            <w:tcW w:w="36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Debt investments</w:t>
            </w: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5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711,790</w:t>
            </w:r>
          </w:p>
        </w:tc>
        <w:tc>
          <w:tcPr>
            <w:tcW w:w="240" w:type="dxa"/>
            <w:vAlign w:val="bottom"/>
          </w:tcPr>
          <w:p>
            <w:pPr>
              <w:spacing w:after="0"/>
              <w:rPr>
                <w:sz w:val="10"/>
                <w:szCs w:val="10"/>
                <w:color w:val="auto"/>
              </w:rPr>
            </w:pPr>
          </w:p>
        </w:tc>
        <w:tc>
          <w:tcPr>
            <w:tcW w:w="240" w:type="dxa"/>
            <w:vAlign w:val="bottom"/>
            <w:tcBorders>
              <w:top w:val="single" w:sz="8" w:color="auto"/>
            </w:tcBorders>
          </w:tcPr>
          <w:p>
            <w:pPr>
              <w:jc w:val="right"/>
              <w:ind w:right="9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jc w:val="right"/>
              <w:ind w:right="11"/>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240" w:type="dxa"/>
            <w:vAlign w:val="bottom"/>
            <w:tcBorders>
              <w:top w:val="single" w:sz="8" w:color="auto"/>
            </w:tcBorders>
          </w:tcPr>
          <w:p>
            <w:pPr>
              <w:jc w:val="right"/>
              <w:ind w:right="9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711,790</w:t>
            </w:r>
          </w:p>
        </w:tc>
        <w:tc>
          <w:tcPr>
            <w:tcW w:w="240" w:type="dxa"/>
            <w:vAlign w:val="bottom"/>
          </w:tcPr>
          <w:p>
            <w:pPr>
              <w:spacing w:after="0"/>
              <w:rPr>
                <w:sz w:val="10"/>
                <w:szCs w:val="10"/>
                <w:color w:val="auto"/>
              </w:rPr>
            </w:pPr>
          </w:p>
        </w:tc>
        <w:tc>
          <w:tcPr>
            <w:tcW w:w="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8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U.S. Government Securities</w:t>
            </w:r>
            <w:r>
              <w:rPr>
                <w:rFonts w:ascii="Times New Roman" w:cs="Times New Roman" w:eastAsia="Times New Roman" w:hAnsi="Times New Roman"/>
                <w:sz w:val="17"/>
                <w:szCs w:val="17"/>
                <w:color w:val="auto"/>
                <w:vertAlign w:val="superscript"/>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209,485</w:t>
            </w:r>
          </w:p>
        </w:tc>
        <w:tc>
          <w:tcPr>
            <w:tcW w:w="240" w:type="dxa"/>
            <w:vAlign w:val="bottom"/>
          </w:tcPr>
          <w:p>
            <w:pPr>
              <w:spacing w:after="0"/>
              <w:rPr>
                <w:sz w:val="13"/>
                <w:szCs w:val="13"/>
                <w:color w:val="auto"/>
              </w:rPr>
            </w:pPr>
          </w:p>
        </w:tc>
        <w:tc>
          <w:tcPr>
            <w:tcW w:w="114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209,485</w:t>
            </w:r>
          </w:p>
        </w:tc>
        <w:tc>
          <w:tcPr>
            <w:tcW w:w="240" w:type="dxa"/>
            <w:vAlign w:val="bottom"/>
          </w:tcPr>
          <w:p>
            <w:pPr>
              <w:spacing w:after="0"/>
              <w:rPr>
                <w:sz w:val="13"/>
                <w:szCs w:val="13"/>
                <w:color w:val="auto"/>
              </w:rPr>
            </w:pPr>
          </w:p>
        </w:tc>
        <w:tc>
          <w:tcPr>
            <w:tcW w:w="12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297,199</w:t>
            </w:r>
          </w:p>
        </w:tc>
        <w:tc>
          <w:tcPr>
            <w:tcW w:w="2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231,163</w:t>
            </w:r>
          </w:p>
        </w:tc>
        <w:tc>
          <w:tcPr>
            <w:tcW w:w="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66,036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investments</w:t>
            </w:r>
          </w:p>
        </w:tc>
        <w:tc>
          <w:tcPr>
            <w:tcW w:w="1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1,218,474</w:t>
            </w:r>
          </w:p>
        </w:tc>
        <w:tc>
          <w:tcPr>
            <w:tcW w:w="24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209,485</w:t>
            </w:r>
          </w:p>
        </w:tc>
        <w:tc>
          <w:tcPr>
            <w:tcW w:w="240" w:type="dxa"/>
            <w:vAlign w:val="bottom"/>
            <w:shd w:val="clear" w:color="auto" w:fill="CCECFF"/>
          </w:tcPr>
          <w:p>
            <w:pPr>
              <w:spacing w:after="0"/>
              <w:rPr>
                <w:sz w:val="12"/>
                <w:szCs w:val="12"/>
                <w:color w:val="auto"/>
              </w:rPr>
            </w:pPr>
          </w:p>
        </w:tc>
        <w:tc>
          <w:tcPr>
            <w:tcW w:w="128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942,953</w:t>
            </w:r>
          </w:p>
        </w:tc>
        <w:tc>
          <w:tcPr>
            <w:tcW w:w="80" w:type="dxa"/>
            <w:vAlign w:val="bottom"/>
            <w:shd w:val="clear" w:color="auto" w:fill="CCECFF"/>
          </w:tcPr>
          <w:p>
            <w:pPr>
              <w:spacing w:after="0"/>
              <w:rPr>
                <w:sz w:val="12"/>
                <w:szCs w:val="12"/>
                <w:color w:val="auto"/>
              </w:rPr>
            </w:pPr>
          </w:p>
        </w:tc>
        <w:tc>
          <w:tcPr>
            <w:tcW w:w="132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66,036</w:t>
            </w:r>
          </w:p>
        </w:tc>
        <w:tc>
          <w:tcPr>
            <w:tcW w:w="0" w:type="dxa"/>
            <w:vAlign w:val="bottom"/>
          </w:tcPr>
          <w:p>
            <w:pPr>
              <w:spacing w:after="0"/>
              <w:rPr>
                <w:sz w:val="1"/>
                <w:szCs w:val="1"/>
                <w:color w:val="auto"/>
              </w:rPr>
            </w:pPr>
          </w:p>
        </w:tc>
      </w:tr>
      <w:tr>
        <w:trPr>
          <w:trHeight w:val="148"/>
        </w:trPr>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equivalents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17,660</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68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investments and cash equivalents</w:t>
            </w: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1,236,134</w:t>
            </w:r>
          </w:p>
        </w:tc>
        <w:tc>
          <w:tcPr>
            <w:tcW w:w="240" w:type="dxa"/>
            <w:vAlign w:val="bottom"/>
            <w:shd w:val="clear" w:color="auto" w:fill="CCEC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17,660</w:t>
            </w:r>
          </w:p>
        </w:tc>
        <w:tc>
          <w:tcPr>
            <w:tcW w:w="280" w:type="dxa"/>
            <w:vAlign w:val="bottom"/>
            <w:gridSpan w:val="2"/>
            <w:shd w:val="clear" w:color="auto" w:fill="CCEC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209,485</w:t>
            </w:r>
          </w:p>
        </w:tc>
        <w:tc>
          <w:tcPr>
            <w:tcW w:w="240" w:type="dxa"/>
            <w:vAlign w:val="bottom"/>
            <w:shd w:val="clear" w:color="auto" w:fill="CCEC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942,953</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66,036</w:t>
            </w: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68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Truist Credit Facility</w:t>
            </w:r>
          </w:p>
        </w:tc>
        <w:tc>
          <w:tcPr>
            <w:tcW w:w="100" w:type="dxa"/>
            <w:vAlign w:val="bottom"/>
          </w:tcPr>
          <w:p>
            <w:pPr>
              <w:spacing w:after="0"/>
              <w:rPr>
                <w:sz w:val="8"/>
                <w:szCs w:val="8"/>
                <w:color w:val="auto"/>
              </w:rPr>
            </w:pPr>
          </w:p>
        </w:tc>
        <w:tc>
          <w:tcPr>
            <w:tcW w:w="200" w:type="dxa"/>
            <w:vAlign w:val="bottom"/>
          </w:tcPr>
          <w:p>
            <w:pPr>
              <w:jc w:val="right"/>
              <w:ind w:right="5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295,464</w:t>
            </w:r>
          </w:p>
        </w:tc>
        <w:tc>
          <w:tcPr>
            <w:tcW w:w="240" w:type="dxa"/>
            <w:vAlign w:val="bottom"/>
          </w:tcPr>
          <w:p>
            <w:pPr>
              <w:jc w:val="right"/>
              <w:ind w:right="9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11"/>
              <w:spacing w:after="0" w:line="102" w:lineRule="exact"/>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9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ind w:right="240"/>
              <w:spacing w:after="0" w:line="102" w:lineRule="exact"/>
              <w:rPr>
                <w:sz w:val="20"/>
                <w:szCs w:val="20"/>
                <w:color w:val="auto"/>
              </w:rPr>
            </w:pPr>
            <w:r>
              <w:rPr>
                <w:rFonts w:ascii="Times New Roman" w:cs="Times New Roman" w:eastAsia="Times New Roman" w:hAnsi="Times New Roman"/>
                <w:sz w:val="11"/>
                <w:szCs w:val="11"/>
                <w:color w:val="auto"/>
              </w:rPr>
              <w:t>295,464</w:t>
            </w:r>
          </w:p>
        </w:tc>
        <w:tc>
          <w:tcPr>
            <w:tcW w:w="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9"/>
        </w:trPr>
        <w:tc>
          <w:tcPr>
            <w:tcW w:w="3680" w:type="dxa"/>
            <w:vAlign w:val="bottom"/>
          </w:tcPr>
          <w:p>
            <w:pPr>
              <w:spacing w:after="0" w:line="169"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9"/>
                <w:szCs w:val="19"/>
                <w:color w:val="auto"/>
                <w:vertAlign w:val="subscript"/>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149,698</w:t>
            </w:r>
          </w:p>
        </w:tc>
        <w:tc>
          <w:tcPr>
            <w:tcW w:w="2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149,698</w:t>
            </w:r>
          </w:p>
        </w:tc>
        <w:tc>
          <w:tcPr>
            <w:tcW w:w="2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6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2026 Notes-2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164,147</w:t>
            </w:r>
          </w:p>
        </w:tc>
        <w:tc>
          <w:tcPr>
            <w:tcW w:w="240" w:type="dxa"/>
            <w:vAlign w:val="bottom"/>
          </w:tcPr>
          <w:p>
            <w:pPr>
              <w:spacing w:after="0"/>
              <w:rPr>
                <w:sz w:val="13"/>
                <w:szCs w:val="13"/>
                <w:color w:val="auto"/>
              </w:rPr>
            </w:pPr>
          </w:p>
        </w:tc>
        <w:tc>
          <w:tcPr>
            <w:tcW w:w="114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164,147</w:t>
            </w:r>
          </w:p>
        </w:tc>
        <w:tc>
          <w:tcPr>
            <w:tcW w:w="240" w:type="dxa"/>
            <w:vAlign w:val="bottom"/>
          </w:tcPr>
          <w:p>
            <w:pPr>
              <w:spacing w:after="0"/>
              <w:rPr>
                <w:sz w:val="13"/>
                <w:szCs w:val="13"/>
                <w:color w:val="auto"/>
              </w:rPr>
            </w:pPr>
          </w:p>
        </w:tc>
        <w:tc>
          <w:tcPr>
            <w:tcW w:w="12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68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609,309</w:t>
            </w:r>
          </w:p>
        </w:tc>
        <w:tc>
          <w:tcPr>
            <w:tcW w:w="240" w:type="dxa"/>
            <w:vAlign w:val="bottom"/>
            <w:shd w:val="clear" w:color="auto" w:fill="CCEC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CFF"/>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313,845</w:t>
            </w:r>
          </w:p>
        </w:tc>
        <w:tc>
          <w:tcPr>
            <w:tcW w:w="240" w:type="dxa"/>
            <w:vAlign w:val="bottom"/>
            <w:shd w:val="clear" w:color="auto" w:fill="CCECFF"/>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C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295,464</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C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939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946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-436245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-419735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-436245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-419735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-436245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-419735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-436245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-419735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-419735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4" w:lineRule="exact"/>
        <w:rPr>
          <w:sz w:val="20"/>
          <w:szCs w:val="20"/>
          <w:color w:val="auto"/>
        </w:rPr>
      </w:pPr>
    </w:p>
    <w:p>
      <w:pPr>
        <w:ind w:left="460" w:right="140" w:hanging="452"/>
        <w:spacing w:after="0" w:line="247" w:lineRule="auto"/>
        <w:tabs>
          <w:tab w:leader="none" w:pos="4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ASC Subtopic 820-10, Fair Value Measurements and Disclosures ("ASC 820-10"), our equity investment in PSLF and PTSF II are measured using the net asset value per share (or its equivalent) as a practical expedient for fair value, and thus has not been classified in the fair value hierarchy.</w:t>
      </w:r>
    </w:p>
    <w:p>
      <w:pPr>
        <w:spacing w:after="0" w:line="1" w:lineRule="exact"/>
        <w:rPr>
          <w:rFonts w:ascii="Times New Roman" w:cs="Times New Roman" w:eastAsia="Times New Roman" w:hAnsi="Times New Roman"/>
          <w:sz w:val="12"/>
          <w:szCs w:val="12"/>
          <w:color w:val="auto"/>
        </w:rPr>
      </w:pPr>
    </w:p>
    <w:p>
      <w:pPr>
        <w:ind w:left="460" w:hanging="452"/>
        <w:spacing w:after="0"/>
        <w:tabs>
          <w:tab w:leader="none" w:pos="4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elected not to apply ASC 825-10 to the 2026 Notes and the 2026 Notes-2, and thus the balance reported in the Consolidated Statement of Assets and Liabilities represents the carrying value.</w:t>
      </w:r>
    </w:p>
    <w:p>
      <w:pPr>
        <w:spacing w:after="0" w:line="10" w:lineRule="exact"/>
        <w:rPr>
          <w:rFonts w:ascii="Times New Roman" w:cs="Times New Roman" w:eastAsia="Times New Roman" w:hAnsi="Times New Roman"/>
          <w:sz w:val="12"/>
          <w:szCs w:val="12"/>
          <w:color w:val="auto"/>
        </w:rPr>
      </w:pPr>
    </w:p>
    <w:p>
      <w:pPr>
        <w:ind w:left="480" w:hanging="472"/>
        <w:spacing w:after="0"/>
        <w:tabs>
          <w:tab w:leader="none" w:pos="48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U.S. Treasury Bills are classified as Level 2, as they were valued by the pricing service which utilize broker-supplied prices.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7"/>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 at September 30, 2025</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Measured at Net</w:t>
            </w:r>
          </w:p>
        </w:tc>
        <w:tc>
          <w:tcPr>
            <w:tcW w:w="0" w:type="dxa"/>
            <w:vAlign w:val="bottom"/>
          </w:tcPr>
          <w:p>
            <w:pPr>
              <w:spacing w:after="0"/>
              <w:rPr>
                <w:sz w:val="1"/>
                <w:szCs w:val="1"/>
                <w:color w:val="auto"/>
              </w:rPr>
            </w:pPr>
          </w:p>
        </w:tc>
      </w:tr>
      <w:tr>
        <w:trPr>
          <w:trHeight w:val="104"/>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Debt investments</w:t>
            </w:r>
          </w:p>
        </w:tc>
        <w:tc>
          <w:tcPr>
            <w:tcW w:w="320" w:type="dxa"/>
            <w:vAlign w:val="bottom"/>
            <w:gridSpan w:val="2"/>
          </w:tcPr>
          <w:p>
            <w:pPr>
              <w:jc w:val="right"/>
              <w:ind w:right="48"/>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801,754</w:t>
            </w:r>
          </w:p>
        </w:tc>
        <w:tc>
          <w:tcPr>
            <w:tcW w:w="500" w:type="dxa"/>
            <w:vAlign w:val="bottom"/>
            <w:gridSpan w:val="2"/>
          </w:tcPr>
          <w:p>
            <w:pPr>
              <w:jc w:val="right"/>
              <w:ind w:right="108"/>
              <w:spacing w:after="0" w:line="11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3"/>
                <w:szCs w:val="13"/>
                <w:color w:val="auto"/>
              </w:rPr>
              <w:t>801,754</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7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U.S. Government Securities</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124,788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124,788</w:t>
            </w:r>
          </w:p>
        </w:tc>
        <w:tc>
          <w:tcPr>
            <w:tcW w:w="2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360,731</w:t>
            </w: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286,210</w:t>
            </w:r>
          </w:p>
        </w:tc>
        <w:tc>
          <w:tcPr>
            <w:tcW w:w="10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74,521</w:t>
            </w:r>
          </w:p>
        </w:tc>
        <w:tc>
          <w:tcPr>
            <w:tcW w:w="0" w:type="dxa"/>
            <w:vAlign w:val="bottom"/>
          </w:tcPr>
          <w:p>
            <w:pPr>
              <w:spacing w:after="0"/>
              <w:rPr>
                <w:sz w:val="1"/>
                <w:szCs w:val="1"/>
                <w:color w:val="auto"/>
              </w:rPr>
            </w:pPr>
          </w:p>
        </w:tc>
      </w:tr>
      <w:tr>
        <w:trPr>
          <w:trHeight w:val="20"/>
        </w:trPr>
        <w:tc>
          <w:tcPr>
            <w:tcW w:w="37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1,287,273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124,788</w:t>
            </w:r>
          </w:p>
        </w:tc>
        <w:tc>
          <w:tcPr>
            <w:tcW w:w="260" w:type="dxa"/>
            <w:vAlign w:val="bottom"/>
          </w:tcPr>
          <w:p>
            <w:pPr>
              <w:spacing w:after="0"/>
              <w:rPr>
                <w:sz w:val="12"/>
                <w:szCs w:val="12"/>
                <w:color w:val="auto"/>
              </w:rPr>
            </w:pPr>
          </w:p>
        </w:tc>
        <w:tc>
          <w:tcPr>
            <w:tcW w:w="12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1,087,964</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74,521</w:t>
            </w:r>
          </w:p>
        </w:tc>
        <w:tc>
          <w:tcPr>
            <w:tcW w:w="0" w:type="dxa"/>
            <w:vAlign w:val="bottom"/>
          </w:tcPr>
          <w:p>
            <w:pPr>
              <w:spacing w:after="0"/>
              <w:rPr>
                <w:sz w:val="1"/>
                <w:szCs w:val="1"/>
                <w:color w:val="auto"/>
              </w:rPr>
            </w:pPr>
          </w:p>
        </w:tc>
      </w:tr>
      <w:tr>
        <w:trPr>
          <w:trHeight w:val="148"/>
        </w:trPr>
        <w:tc>
          <w:tcPr>
            <w:tcW w:w="37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30,711</w:t>
            </w: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30,711</w:t>
            </w: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investments and cash equivalents</w:t>
            </w:r>
          </w:p>
        </w:tc>
        <w:tc>
          <w:tcPr>
            <w:tcW w:w="12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1,317,984</w:t>
            </w: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30,711</w:t>
            </w:r>
          </w:p>
        </w:tc>
        <w:tc>
          <w:tcPr>
            <w:tcW w:w="3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124,788</w:t>
            </w:r>
          </w:p>
        </w:tc>
        <w:tc>
          <w:tcPr>
            <w:tcW w:w="2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1,087,964</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74,521</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line="142" w:lineRule="exact"/>
              <w:rPr>
                <w:sz w:val="20"/>
                <w:szCs w:val="20"/>
                <w:color w:val="auto"/>
              </w:rPr>
            </w:pPr>
            <w:r>
              <w:rPr>
                <w:rFonts w:ascii="Times New Roman" w:cs="Times New Roman" w:eastAsia="Times New Roman" w:hAnsi="Times New Roman"/>
                <w:sz w:val="14"/>
                <w:szCs w:val="14"/>
                <w:color w:val="auto"/>
              </w:rPr>
              <w:t>Truist Credit Facility</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700" w:type="dxa"/>
            <w:vAlign w:val="bottom"/>
            <w:vMerge w:val="continue"/>
          </w:tcPr>
          <w:p>
            <w:pPr>
              <w:spacing w:after="0"/>
              <w:rPr>
                <w:sz w:val="8"/>
                <w:szCs w:val="8"/>
                <w:color w:val="auto"/>
              </w:rPr>
            </w:pPr>
          </w:p>
        </w:tc>
        <w:tc>
          <w:tcPr>
            <w:tcW w:w="320" w:type="dxa"/>
            <w:vAlign w:val="bottom"/>
            <w:gridSpan w:val="2"/>
          </w:tcPr>
          <w:p>
            <w:pPr>
              <w:jc w:val="right"/>
              <w:ind w:right="48"/>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425,477</w:t>
            </w:r>
          </w:p>
        </w:tc>
        <w:tc>
          <w:tcPr>
            <w:tcW w:w="500" w:type="dxa"/>
            <w:vAlign w:val="bottom"/>
            <w:gridSpan w:val="2"/>
          </w:tcPr>
          <w:p>
            <w:pPr>
              <w:jc w:val="right"/>
              <w:ind w:right="108"/>
              <w:spacing w:after="0" w:line="10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16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1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220"/>
              <w:spacing w:after="0" w:line="102" w:lineRule="exact"/>
              <w:rPr>
                <w:sz w:val="20"/>
                <w:szCs w:val="20"/>
                <w:color w:val="auto"/>
              </w:rPr>
            </w:pPr>
            <w:r>
              <w:rPr>
                <w:rFonts w:ascii="Times New Roman" w:cs="Times New Roman" w:eastAsia="Times New Roman" w:hAnsi="Times New Roman"/>
                <w:sz w:val="11"/>
                <w:szCs w:val="11"/>
                <w:color w:val="auto"/>
              </w:rPr>
              <w:t>425,477</w:t>
            </w: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6"/>
        </w:trPr>
        <w:tc>
          <w:tcPr>
            <w:tcW w:w="37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2026 Notes</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9"/>
                <w:szCs w:val="19"/>
                <w:color w:val="auto"/>
                <w:vertAlign w:val="subscript"/>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149,473</w:t>
            </w:r>
          </w:p>
        </w:tc>
        <w:tc>
          <w:tcPr>
            <w:tcW w:w="2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7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2026 Notes-2</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163,933</w:t>
            </w:r>
          </w:p>
        </w:tc>
        <w:tc>
          <w:tcPr>
            <w:tcW w:w="2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1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163,933</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Pr>
          <w:p>
            <w:pPr>
              <w:spacing w:after="0"/>
              <w:rPr>
                <w:sz w:val="12"/>
                <w:szCs w:val="12"/>
                <w:color w:val="auto"/>
              </w:rPr>
            </w:pP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738,883</w:t>
            </w: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313,406</w:t>
            </w:r>
          </w:p>
        </w:tc>
        <w:tc>
          <w:tcPr>
            <w:tcW w:w="2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425,477</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94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-736600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-736600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-736600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-539750</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-539750</wp:posOffset>
            </wp:positionV>
            <wp:extent cx="768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-539750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-539750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-128270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-128270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-128270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-128270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460" w:right="180" w:hanging="452"/>
        <w:spacing w:after="0" w:line="248" w:lineRule="auto"/>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accordance with ASC Subtopic 820-10, Fair Value Measurements and Disclosures ("ASC 820-10"), our equity investment in PSLF and PTSF II are measured using the net asset value per share (or its equivalent) as a practical expedient for fair value, and thus has not been classified in the fair value hierarchy.</w:t>
      </w:r>
    </w:p>
    <w:p>
      <w:pPr>
        <w:ind w:left="460" w:hanging="452"/>
        <w:spacing w:after="0"/>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elected not to apply ASC 825-10 to the 2026 Notes and thus the balance reported in the Consolidated Statement of Assets and Liabilities represents the carrying value.</w:t>
      </w:r>
    </w:p>
    <w:p>
      <w:pPr>
        <w:spacing w:after="0" w:line="8" w:lineRule="exact"/>
        <w:rPr>
          <w:rFonts w:ascii="Times New Roman" w:cs="Times New Roman" w:eastAsia="Times New Roman" w:hAnsi="Times New Roman"/>
          <w:sz w:val="11"/>
          <w:szCs w:val="11"/>
          <w:color w:val="auto"/>
        </w:rPr>
      </w:pPr>
    </w:p>
    <w:p>
      <w:pPr>
        <w:ind w:left="460" w:hanging="452"/>
        <w:spacing w:after="0"/>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U.S. Treasury Bills are classified as Level 2, as they were valued by the pricing service which utilize broker-supplied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1912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right"/>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80" w:type="dxa"/>
            <w:vAlign w:val="bottom"/>
          </w:tcPr>
          <w:p>
            <w:pPr>
              <w:spacing w:after="0"/>
              <w:rPr>
                <w:sz w:val="10"/>
                <w:szCs w:val="10"/>
                <w:color w:val="auto"/>
              </w:rPr>
            </w:pPr>
          </w:p>
        </w:tc>
        <w:tc>
          <w:tcPr>
            <w:tcW w:w="1580" w:type="dxa"/>
            <w:vAlign w:val="bottom"/>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0"/>
                <w:szCs w:val="10"/>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1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6200" w:type="dxa"/>
            <w:vAlign w:val="bottom"/>
            <w:tcBorders>
              <w:bottom w:val="single" w:sz="8" w:color="auto"/>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6360" w:type="dxa"/>
            <w:vAlign w:val="bottom"/>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801,754</w:t>
            </w:r>
          </w:p>
        </w:tc>
        <w:tc>
          <w:tcPr>
            <w:tcW w:w="28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286,210</w:t>
            </w: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1,087,964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Net realized gain (loss)</w:t>
            </w:r>
          </w:p>
        </w:tc>
        <w:tc>
          <w:tcPr>
            <w:tcW w:w="22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(7,878)</w:t>
            </w: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66,776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gridSpan w:val="2"/>
            <w:shd w:val="clear" w:color="auto" w:fill="CCECFF"/>
          </w:tcPr>
          <w:p>
            <w:pPr>
              <w:ind w:left="240"/>
              <w:spacing w:after="0" w:line="149" w:lineRule="exact"/>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220" w:type="dxa"/>
            <w:vAlign w:val="bottom"/>
            <w:shd w:val="clear" w:color="auto" w:fill="CCECFF"/>
          </w:tcPr>
          <w:p>
            <w:pPr>
              <w:spacing w:after="0"/>
              <w:rPr>
                <w:sz w:val="12"/>
                <w:szCs w:val="12"/>
                <w:color w:val="auto"/>
              </w:rPr>
            </w:pPr>
          </w:p>
        </w:tc>
        <w:tc>
          <w:tcPr>
            <w:tcW w:w="12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3,791</w:t>
            </w:r>
          </w:p>
        </w:tc>
        <w:tc>
          <w:tcPr>
            <w:tcW w:w="2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58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(52,323)</w:t>
            </w: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(48,532)</w:t>
            </w:r>
          </w:p>
        </w:tc>
        <w:tc>
          <w:tcPr>
            <w:tcW w:w="0" w:type="dxa"/>
            <w:vAlign w:val="bottom"/>
          </w:tcPr>
          <w:p>
            <w:pPr>
              <w:spacing w:after="0"/>
              <w:rPr>
                <w:sz w:val="1"/>
                <w:szCs w:val="1"/>
                <w:color w:val="auto"/>
              </w:rPr>
            </w:pPr>
          </w:p>
        </w:tc>
      </w:tr>
      <w:tr>
        <w:trPr>
          <w:trHeight w:val="148"/>
        </w:trPr>
        <w:tc>
          <w:tcPr>
            <w:tcW w:w="63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112,390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gridSpan w:val="2"/>
            <w:shd w:val="clear" w:color="auto" w:fill="CCECFF"/>
          </w:tcPr>
          <w:p>
            <w:pPr>
              <w:ind w:left="240"/>
              <w:spacing w:after="0" w:line="149" w:lineRule="exact"/>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2"/>
                <w:szCs w:val="12"/>
                <w:color w:val="auto"/>
              </w:rPr>
            </w:pPr>
          </w:p>
        </w:tc>
        <w:tc>
          <w:tcPr>
            <w:tcW w:w="1480" w:type="dxa"/>
            <w:vAlign w:val="bottom"/>
            <w:gridSpan w:val="2"/>
            <w:shd w:val="clear" w:color="auto" w:fill="CCEC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(198,267)</w:t>
            </w:r>
          </w:p>
        </w:tc>
        <w:tc>
          <w:tcPr>
            <w:tcW w:w="80" w:type="dxa"/>
            <w:vAlign w:val="bottom"/>
            <w:shd w:val="clear" w:color="auto" w:fill="CCECFF"/>
          </w:tcPr>
          <w:p>
            <w:pPr>
              <w:spacing w:after="0"/>
              <w:rPr>
                <w:sz w:val="12"/>
                <w:szCs w:val="12"/>
                <w:color w:val="auto"/>
              </w:rPr>
            </w:pPr>
          </w:p>
        </w:tc>
        <w:tc>
          <w:tcPr>
            <w:tcW w:w="1580" w:type="dxa"/>
            <w:vAlign w:val="bottom"/>
            <w:gridSpan w:val="2"/>
            <w:shd w:val="clear" w:color="auto" w:fill="CCEC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(74,723)</w:t>
            </w:r>
          </w:p>
        </w:tc>
        <w:tc>
          <w:tcPr>
            <w:tcW w:w="30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(272,990)</w:t>
            </w:r>
          </w:p>
        </w:tc>
        <w:tc>
          <w:tcPr>
            <w:tcW w:w="0" w:type="dxa"/>
            <w:vAlign w:val="bottom"/>
          </w:tcPr>
          <w:p>
            <w:pPr>
              <w:spacing w:after="0"/>
              <w:rPr>
                <w:sz w:val="1"/>
                <w:szCs w:val="1"/>
                <w:color w:val="auto"/>
              </w:rPr>
            </w:pPr>
          </w:p>
        </w:tc>
      </w:tr>
      <w:tr>
        <w:trPr>
          <w:trHeight w:val="148"/>
        </w:trPr>
        <w:tc>
          <w:tcPr>
            <w:tcW w:w="63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Transfers in/out of Level 3</w:t>
            </w:r>
          </w:p>
        </w:tc>
        <w:tc>
          <w:tcPr>
            <w:tcW w:w="220" w:type="dxa"/>
            <w:vAlign w:val="bottom"/>
          </w:tcPr>
          <w:p>
            <w:pPr>
              <w:spacing w:after="0"/>
              <w:rPr>
                <w:sz w:val="12"/>
                <w:szCs w:val="12"/>
                <w:color w:val="auto"/>
              </w:rPr>
            </w:pPr>
          </w:p>
        </w:tc>
        <w:tc>
          <w:tcPr>
            <w:tcW w:w="14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5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6360" w:type="dxa"/>
            <w:vAlign w:val="bottom"/>
            <w:tcBorders>
              <w:bottom w:val="single" w:sz="8" w:color="CCECFF"/>
            </w:tcBorders>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711,790</w:t>
            </w:r>
          </w:p>
        </w:tc>
        <w:tc>
          <w:tcPr>
            <w:tcW w:w="28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231,163</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top w:val="single" w:sz="8" w:color="auto"/>
              <w:bottom w:val="single" w:sz="8" w:color="auto"/>
            </w:tcBorders>
            <w:shd w:val="clear" w:color="auto" w:fill="CCEC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942,953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6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Net change in unrealized appreciation reported within the net change in</w:t>
            </w: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3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13,287</w:t>
            </w:r>
          </w:p>
        </w:tc>
        <w:tc>
          <w:tcPr>
            <w:tcW w:w="240" w:type="dxa"/>
            <w:vAlign w:val="bottom"/>
          </w:tcPr>
          <w:p>
            <w:pPr>
              <w:spacing w:after="0"/>
              <w:rPr>
                <w:sz w:val="12"/>
                <w:szCs w:val="12"/>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36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34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-307975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-290830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-307975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-290830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4" w:name="page45"/>
    <w:bookmarkEnd w:id="44"/>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9"/>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7"/>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Debt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left="108"/>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20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Description </w:t>
            </w:r>
            <w:r>
              <w:rPr>
                <w:rFonts w:ascii="Times New Roman" w:cs="Times New Roman" w:eastAsia="Times New Roman" w:hAnsi="Times New Roman"/>
                <w:sz w:val="14"/>
                <w:szCs w:val="14"/>
                <w:color w:val="auto"/>
              </w:rPr>
              <w:t>($ in thousands)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60" w:type="dxa"/>
            <w:vAlign w:val="bottom"/>
            <w:tcBorders>
              <w:bottom w:val="single" w:sz="8" w:color="auto"/>
            </w:tcBorders>
            <w:gridSpan w:val="4"/>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6"/>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gridSpan w:val="4"/>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w:t>
            </w: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0" w:type="dxa"/>
            <w:vAlign w:val="bottom"/>
            <w:gridSpan w:val="3"/>
            <w:shd w:val="clear" w:color="auto" w:fill="CCECFF"/>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6"/>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916,796</w:t>
            </w:r>
          </w:p>
        </w:tc>
        <w:tc>
          <w:tcPr>
            <w:tcW w:w="80" w:type="dxa"/>
            <w:vAlign w:val="bottom"/>
            <w:shd w:val="clear" w:color="auto" w:fill="CCECFF"/>
          </w:tcPr>
          <w:p>
            <w:pPr>
              <w:spacing w:after="0"/>
              <w:rPr>
                <w:sz w:val="12"/>
                <w:szCs w:val="12"/>
                <w:color w:val="auto"/>
              </w:rPr>
            </w:pPr>
          </w:p>
        </w:tc>
        <w:tc>
          <w:tcPr>
            <w:tcW w:w="280" w:type="dxa"/>
            <w:vAlign w:val="bottom"/>
            <w:gridSpan w:val="2"/>
            <w:shd w:val="clear" w:color="auto" w:fill="CCECFF"/>
          </w:tcPr>
          <w:p>
            <w:pPr>
              <w:ind w:left="2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5"/>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235,573</w:t>
            </w:r>
          </w:p>
        </w:tc>
        <w:tc>
          <w:tcPr>
            <w:tcW w:w="60" w:type="dxa"/>
            <w:vAlign w:val="bottom"/>
            <w:shd w:val="clear" w:color="auto" w:fill="CCECFF"/>
          </w:tcPr>
          <w:p>
            <w:pPr>
              <w:spacing w:after="0"/>
              <w:rPr>
                <w:sz w:val="12"/>
                <w:szCs w:val="12"/>
                <w:color w:val="auto"/>
              </w:rPr>
            </w:pPr>
          </w:p>
        </w:tc>
        <w:tc>
          <w:tcPr>
            <w:tcW w:w="280" w:type="dxa"/>
            <w:vAlign w:val="bottom"/>
            <w:gridSpan w:val="3"/>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1,152,369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Net realized gain (loss)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7"/>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0" w:type="dxa"/>
            <w:vAlign w:val="bottom"/>
          </w:tcPr>
          <w:p>
            <w:pPr>
              <w:spacing w:after="0"/>
              <w:rPr>
                <w:sz w:val="1"/>
                <w:szCs w:val="1"/>
                <w:color w:val="auto"/>
              </w:rPr>
            </w:pPr>
          </w:p>
        </w:tc>
      </w:tr>
      <w:tr>
        <w:trPr>
          <w:trHeight w:val="148"/>
        </w:trPr>
        <w:tc>
          <w:tcPr>
            <w:tcW w:w="180" w:type="dxa"/>
            <w:vAlign w:val="bottom"/>
            <w:shd w:val="clear" w:color="auto" w:fill="CCECFF"/>
          </w:tcPr>
          <w:p>
            <w:pPr>
              <w:spacing w:after="0"/>
              <w:rPr>
                <w:sz w:val="12"/>
                <w:szCs w:val="12"/>
                <w:color w:val="auto"/>
              </w:rPr>
            </w:pPr>
          </w:p>
        </w:tc>
        <w:tc>
          <w:tcPr>
            <w:tcW w:w="3740" w:type="dxa"/>
            <w:vAlign w:val="bottom"/>
            <w:gridSpan w:val="8"/>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7"/>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(12,502)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340" w:type="dxa"/>
            <w:vAlign w:val="bottom"/>
            <w:gridSpan w:val="5"/>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17,114</w:t>
            </w:r>
          </w:p>
        </w:tc>
        <w:tc>
          <w:tcPr>
            <w:tcW w:w="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5480" w:type="dxa"/>
            <w:vAlign w:val="bottom"/>
            <w:gridSpan w:val="13"/>
          </w:tcPr>
          <w:p>
            <w:pPr>
              <w:ind w:left="60"/>
              <w:spacing w:after="0" w:line="149" w:lineRule="exact"/>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6"/>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281,958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CFF"/>
          </w:tcPr>
          <w:p>
            <w:pPr>
              <w:spacing w:after="0"/>
              <w:rPr>
                <w:sz w:val="12"/>
                <w:szCs w:val="12"/>
                <w:color w:val="auto"/>
              </w:rPr>
            </w:pPr>
          </w:p>
        </w:tc>
        <w:tc>
          <w:tcPr>
            <w:tcW w:w="3740" w:type="dxa"/>
            <w:vAlign w:val="bottom"/>
            <w:gridSpan w:val="8"/>
            <w:shd w:val="clear" w:color="auto" w:fill="CCECFF"/>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repayments and non-cash exchanges</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60" w:type="dxa"/>
            <w:vAlign w:val="bottom"/>
            <w:gridSpan w:val="7"/>
            <w:shd w:val="clear" w:color="auto" w:fill="CCEC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(352,059)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0" w:type="dxa"/>
            <w:vAlign w:val="bottom"/>
            <w:gridSpan w:val="6"/>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(353,671)</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Transfers in/out of 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gridSpan w:val="4"/>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00" w:type="dxa"/>
            <w:vAlign w:val="bottom"/>
            <w:shd w:val="clear" w:color="auto" w:fill="CCECFF"/>
          </w:tcPr>
          <w:p>
            <w:pPr>
              <w:spacing w:after="0"/>
              <w:rPr>
                <w:sz w:val="15"/>
                <w:szCs w:val="15"/>
                <w:color w:val="auto"/>
              </w:rPr>
            </w:pPr>
          </w:p>
        </w:tc>
        <w:tc>
          <w:tcPr>
            <w:tcW w:w="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600" w:type="dxa"/>
            <w:vAlign w:val="bottom"/>
            <w:gridSpan w:val="3"/>
            <w:shd w:val="clear" w:color="auto" w:fill="CCECFF"/>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6"/>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831,118</w:t>
            </w:r>
          </w:p>
        </w:tc>
        <w:tc>
          <w:tcPr>
            <w:tcW w:w="80" w:type="dxa"/>
            <w:vAlign w:val="bottom"/>
            <w:shd w:val="clear" w:color="auto" w:fill="CCECFF"/>
          </w:tcPr>
          <w:p>
            <w:pPr>
              <w:spacing w:after="0"/>
              <w:rPr>
                <w:sz w:val="15"/>
                <w:szCs w:val="15"/>
                <w:color w:val="auto"/>
              </w:rPr>
            </w:pPr>
          </w:p>
        </w:tc>
        <w:tc>
          <w:tcPr>
            <w:tcW w:w="280" w:type="dxa"/>
            <w:vAlign w:val="bottom"/>
            <w:gridSpan w:val="2"/>
            <w:shd w:val="clear" w:color="auto" w:fill="CCECFF"/>
          </w:tcPr>
          <w:p>
            <w:pPr>
              <w:ind w:left="2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5"/>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258,351</w:t>
            </w:r>
          </w:p>
        </w:tc>
        <w:tc>
          <w:tcPr>
            <w:tcW w:w="60" w:type="dxa"/>
            <w:vAlign w:val="bottom"/>
            <w:shd w:val="clear" w:color="auto" w:fill="CCECFF"/>
          </w:tcPr>
          <w:p>
            <w:pPr>
              <w:spacing w:after="0"/>
              <w:rPr>
                <w:sz w:val="15"/>
                <w:szCs w:val="15"/>
                <w:color w:val="auto"/>
              </w:rPr>
            </w:pPr>
          </w:p>
        </w:tc>
        <w:tc>
          <w:tcPr>
            <w:tcW w:w="280" w:type="dxa"/>
            <w:vAlign w:val="bottom"/>
            <w:gridSpan w:val="3"/>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1,089,469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4160" w:type="dxa"/>
            <w:vAlign w:val="bottom"/>
            <w:tcBorders>
              <w:top w:val="single" w:sz="8" w:color="CCECFF"/>
            </w:tcBorders>
            <w:gridSpan w:val="11"/>
          </w:tcPr>
          <w:p>
            <w:pPr>
              <w:spacing w:after="0" w:line="106" w:lineRule="exact"/>
              <w:rPr>
                <w:sz w:val="20"/>
                <w:szCs w:val="20"/>
                <w:color w:val="auto"/>
              </w:rPr>
            </w:pPr>
            <w:r>
              <w:rPr>
                <w:rFonts w:ascii="Times New Roman" w:cs="Times New Roman" w:eastAsia="Times New Roman" w:hAnsi="Times New Roman"/>
                <w:sz w:val="12"/>
                <w:szCs w:val="12"/>
                <w:color w:val="auto"/>
              </w:rPr>
              <w:t>Net change in unrealized appreciation reported within the net change in</w:t>
            </w:r>
          </w:p>
        </w:tc>
        <w:tc>
          <w:tcPr>
            <w:tcW w:w="1320" w:type="dxa"/>
            <w:vAlign w:val="bottom"/>
            <w:tcBorders>
              <w:top w:val="single" w:sz="8" w:color="CCECFF"/>
            </w:tcBorders>
          </w:tcPr>
          <w:p>
            <w:pPr>
              <w:spacing w:after="0"/>
              <w:rPr>
                <w:sz w:val="9"/>
                <w:szCs w:val="9"/>
                <w:color w:val="auto"/>
              </w:rPr>
            </w:pPr>
          </w:p>
        </w:tc>
        <w:tc>
          <w:tcPr>
            <w:tcW w:w="100" w:type="dxa"/>
            <w:vAlign w:val="bottom"/>
            <w:tcBorders>
              <w:top w:val="single" w:sz="8" w:color="CCECFF"/>
            </w:tcBorders>
          </w:tcPr>
          <w:p>
            <w:pPr>
              <w:spacing w:after="0"/>
              <w:rPr>
                <w:sz w:val="9"/>
                <w:szCs w:val="9"/>
                <w:color w:val="auto"/>
              </w:rPr>
            </w:pPr>
          </w:p>
        </w:tc>
        <w:tc>
          <w:tcPr>
            <w:tcW w:w="80" w:type="dxa"/>
            <w:vAlign w:val="bottom"/>
            <w:tcBorders>
              <w:top w:val="single" w:sz="8" w:color="CCECFF"/>
            </w:tcBorders>
          </w:tcPr>
          <w:p>
            <w:pPr>
              <w:spacing w:after="0"/>
              <w:rPr>
                <w:sz w:val="9"/>
                <w:szCs w:val="9"/>
                <w:color w:val="auto"/>
              </w:rPr>
            </w:pPr>
          </w:p>
        </w:tc>
        <w:tc>
          <w:tcPr>
            <w:tcW w:w="80" w:type="dxa"/>
            <w:vAlign w:val="bottom"/>
            <w:tcBorders>
              <w:top w:val="single" w:sz="8" w:color="CCECFF"/>
            </w:tcBorders>
          </w:tcPr>
          <w:p>
            <w:pPr>
              <w:spacing w:after="0"/>
              <w:rPr>
                <w:sz w:val="9"/>
                <w:szCs w:val="9"/>
                <w:color w:val="auto"/>
              </w:rPr>
            </w:pPr>
          </w:p>
        </w:tc>
        <w:tc>
          <w:tcPr>
            <w:tcW w:w="120" w:type="dxa"/>
            <w:vAlign w:val="bottom"/>
            <w:tcBorders>
              <w:top w:val="single" w:sz="8" w:color="CCECFF"/>
            </w:tcBorders>
          </w:tcPr>
          <w:p>
            <w:pPr>
              <w:spacing w:after="0"/>
              <w:rPr>
                <w:sz w:val="9"/>
                <w:szCs w:val="9"/>
                <w:color w:val="auto"/>
              </w:rPr>
            </w:pPr>
          </w:p>
        </w:tc>
        <w:tc>
          <w:tcPr>
            <w:tcW w:w="140" w:type="dxa"/>
            <w:vAlign w:val="bottom"/>
            <w:tcBorders>
              <w:top w:val="single" w:sz="8" w:color="CCECFF"/>
            </w:tcBorders>
          </w:tcPr>
          <w:p>
            <w:pPr>
              <w:spacing w:after="0"/>
              <w:rPr>
                <w:sz w:val="9"/>
                <w:szCs w:val="9"/>
                <w:color w:val="auto"/>
              </w:rPr>
            </w:pPr>
          </w:p>
        </w:tc>
        <w:tc>
          <w:tcPr>
            <w:tcW w:w="200" w:type="dxa"/>
            <w:vAlign w:val="bottom"/>
            <w:tcBorders>
              <w:top w:val="single" w:sz="8" w:color="CCECFF"/>
            </w:tcBorders>
          </w:tcPr>
          <w:p>
            <w:pPr>
              <w:spacing w:after="0"/>
              <w:rPr>
                <w:sz w:val="9"/>
                <w:szCs w:val="9"/>
                <w:color w:val="auto"/>
              </w:rPr>
            </w:pPr>
          </w:p>
        </w:tc>
        <w:tc>
          <w:tcPr>
            <w:tcW w:w="160" w:type="dxa"/>
            <w:vAlign w:val="bottom"/>
            <w:tcBorders>
              <w:top w:val="single" w:sz="8" w:color="CCEC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CCECFF"/>
            </w:tcBorders>
          </w:tcPr>
          <w:p>
            <w:pPr>
              <w:spacing w:after="0"/>
              <w:rPr>
                <w:sz w:val="9"/>
                <w:szCs w:val="9"/>
                <w:color w:val="auto"/>
              </w:rPr>
            </w:pPr>
          </w:p>
        </w:tc>
        <w:tc>
          <w:tcPr>
            <w:tcW w:w="200" w:type="dxa"/>
            <w:vAlign w:val="bottom"/>
            <w:tcBorders>
              <w:top w:val="single" w:sz="8" w:color="CCEC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CCECFF"/>
            </w:tcBorders>
          </w:tcPr>
          <w:p>
            <w:pPr>
              <w:spacing w:after="0"/>
              <w:rPr>
                <w:sz w:val="9"/>
                <w:szCs w:val="9"/>
                <w:color w:val="auto"/>
              </w:rPr>
            </w:pPr>
          </w:p>
        </w:tc>
        <w:tc>
          <w:tcPr>
            <w:tcW w:w="20" w:type="dxa"/>
            <w:vAlign w:val="bottom"/>
            <w:tcBorders>
              <w:top w:val="single" w:sz="8" w:color="CCECFF"/>
            </w:tcBorders>
          </w:tcPr>
          <w:p>
            <w:pPr>
              <w:spacing w:after="0"/>
              <w:rPr>
                <w:sz w:val="9"/>
                <w:szCs w:val="9"/>
                <w:color w:val="auto"/>
              </w:rPr>
            </w:pPr>
          </w:p>
        </w:tc>
        <w:tc>
          <w:tcPr>
            <w:tcW w:w="160" w:type="dxa"/>
            <w:vAlign w:val="bottom"/>
            <w:tcBorders>
              <w:top w:val="single" w:sz="8" w:color="CCEC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Borders>
              <w:top w:val="single" w:sz="8" w:color="CCECFF"/>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660" w:type="dxa"/>
            <w:vAlign w:val="bottom"/>
            <w:gridSpan w:val="14"/>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appreciation on investments in our consolidated statements of operations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(13,385)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17,999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920" w:type="dxa"/>
            <w:vAlign w:val="bottom"/>
            <w:gridSpan w:val="9"/>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24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1340" w:type="dxa"/>
            <w:vAlign w:val="bottom"/>
            <w:tcBorders>
              <w:bottom w:val="single" w:sz="8" w:color="auto"/>
            </w:tcBorders>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80" w:type="dxa"/>
            <w:vAlign w:val="bottom"/>
          </w:tcPr>
          <w:p>
            <w:pPr>
              <w:spacing w:after="0"/>
              <w:rPr>
                <w:sz w:val="21"/>
                <w:szCs w:val="21"/>
                <w:color w:val="auto"/>
              </w:rPr>
            </w:pPr>
          </w:p>
        </w:tc>
        <w:tc>
          <w:tcPr>
            <w:tcW w:w="9640" w:type="dxa"/>
            <w:vAlign w:val="bottom"/>
            <w:gridSpan w:val="37"/>
          </w:tcPr>
          <w:p>
            <w:pPr>
              <w:ind w:left="28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auto"/>
            </w:tcBorders>
            <w:gridSpan w:val="4"/>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9"/>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Beginning balance (cost – $426,456 and $461,456, respectively)</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80" w:type="dxa"/>
            <w:vAlign w:val="bottom"/>
            <w:gridSpan w:val="4"/>
            <w:shd w:val="clear" w:color="auto" w:fill="CCECFF"/>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425,477</w:t>
            </w:r>
          </w:p>
        </w:tc>
        <w:tc>
          <w:tcPr>
            <w:tcW w:w="40" w:type="dxa"/>
            <w:vAlign w:val="bottom"/>
            <w:shd w:val="clear" w:color="auto" w:fill="CCECFF"/>
          </w:tcPr>
          <w:p>
            <w:pPr>
              <w:spacing w:after="0"/>
              <w:rPr>
                <w:sz w:val="12"/>
                <w:szCs w:val="12"/>
                <w:color w:val="auto"/>
              </w:rPr>
            </w:pPr>
          </w:p>
        </w:tc>
        <w:tc>
          <w:tcPr>
            <w:tcW w:w="320" w:type="dxa"/>
            <w:vAlign w:val="bottom"/>
            <w:gridSpan w:val="4"/>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460,361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5480" w:type="dxa"/>
            <w:vAlign w:val="bottom"/>
            <w:gridSpan w:val="13"/>
          </w:tcPr>
          <w:p>
            <w:pPr>
              <w:ind w:left="100"/>
              <w:spacing w:after="0" w:line="122" w:lineRule="exact"/>
              <w:rPr>
                <w:sz w:val="20"/>
                <w:szCs w:val="20"/>
                <w:color w:val="auto"/>
              </w:rPr>
            </w:pPr>
            <w:r>
              <w:rPr>
                <w:rFonts w:ascii="Times New Roman" w:cs="Times New Roman" w:eastAsia="Times New Roman" w:hAnsi="Times New Roman"/>
                <w:sz w:val="14"/>
                <w:szCs w:val="14"/>
                <w:color w:val="auto"/>
              </w:rPr>
              <w:t>Net change in unrealized appreciation (depreciation) included in earnings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880" w:type="dxa"/>
            <w:vAlign w:val="bottom"/>
            <w:gridSpan w:val="3"/>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(52,000)</w:t>
            </w:r>
          </w:p>
        </w:tc>
        <w:tc>
          <w:tcPr>
            <w:tcW w:w="0" w:type="dxa"/>
            <w:vAlign w:val="bottom"/>
          </w:tcPr>
          <w:p>
            <w:pPr>
              <w:spacing w:after="0"/>
              <w:rPr>
                <w:sz w:val="1"/>
                <w:szCs w:val="1"/>
                <w:color w:val="auto"/>
              </w:rPr>
            </w:pPr>
          </w:p>
        </w:tc>
      </w:tr>
      <w:tr>
        <w:trPr>
          <w:trHeight w:val="148"/>
        </w:trPr>
        <w:tc>
          <w:tcPr>
            <w:tcW w:w="180" w:type="dxa"/>
            <w:vAlign w:val="bottom"/>
            <w:shd w:val="clear" w:color="auto" w:fill="CCECFF"/>
          </w:tcPr>
          <w:p>
            <w:pPr>
              <w:spacing w:after="0"/>
              <w:rPr>
                <w:sz w:val="12"/>
                <w:szCs w:val="12"/>
                <w:color w:val="auto"/>
              </w:rPr>
            </w:pPr>
          </w:p>
        </w:tc>
        <w:tc>
          <w:tcPr>
            <w:tcW w:w="2060" w:type="dxa"/>
            <w:vAlign w:val="bottom"/>
            <w:gridSpan w:val="5"/>
            <w:shd w:val="clear" w:color="auto" w:fill="CCEC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Transfers in and/or out of Level 3</w:t>
            </w:r>
          </w:p>
        </w:tc>
        <w:tc>
          <w:tcPr>
            <w:tcW w:w="14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CFF"/>
              <w:bottom w:val="single" w:sz="8" w:color="CCECFF"/>
            </w:tcBorders>
            <w:gridSpan w:val="9"/>
          </w:tcPr>
          <w:p>
            <w:pPr>
              <w:spacing w:after="0" w:line="142" w:lineRule="exact"/>
              <w:rPr>
                <w:sz w:val="20"/>
                <w:szCs w:val="20"/>
                <w:color w:val="auto"/>
              </w:rPr>
            </w:pPr>
            <w:r>
              <w:rPr>
                <w:rFonts w:ascii="Times New Roman" w:cs="Times New Roman" w:eastAsia="Times New Roman" w:hAnsi="Times New Roman"/>
                <w:sz w:val="14"/>
                <w:szCs w:val="14"/>
                <w:color w:val="auto"/>
              </w:rPr>
              <w:t>Ending balance (cost – $296,456 and $464,456, respectively)</w:t>
            </w:r>
          </w:p>
        </w:tc>
        <w:tc>
          <w:tcPr>
            <w:tcW w:w="80" w:type="dxa"/>
            <w:vAlign w:val="bottom"/>
            <w:tcBorders>
              <w:top w:val="single" w:sz="8" w:color="CCECFF"/>
            </w:tcBorders>
          </w:tcPr>
          <w:p>
            <w:pPr>
              <w:spacing w:after="0"/>
              <w:rPr>
                <w:sz w:val="12"/>
                <w:szCs w:val="12"/>
                <w:color w:val="auto"/>
              </w:rPr>
            </w:pPr>
          </w:p>
        </w:tc>
        <w:tc>
          <w:tcPr>
            <w:tcW w:w="160" w:type="dxa"/>
            <w:vAlign w:val="bottom"/>
            <w:tcBorders>
              <w:top w:val="single" w:sz="8" w:color="CCECFF"/>
            </w:tcBorders>
          </w:tcPr>
          <w:p>
            <w:pPr>
              <w:spacing w:after="0"/>
              <w:rPr>
                <w:sz w:val="12"/>
                <w:szCs w:val="12"/>
                <w:color w:val="auto"/>
              </w:rPr>
            </w:pPr>
          </w:p>
        </w:tc>
        <w:tc>
          <w:tcPr>
            <w:tcW w:w="1320" w:type="dxa"/>
            <w:vAlign w:val="bottom"/>
            <w:tcBorders>
              <w:top w:val="single" w:sz="8" w:color="CCECFF"/>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c>
          <w:tcPr>
            <w:tcW w:w="140" w:type="dxa"/>
            <w:vAlign w:val="bottom"/>
            <w:tcBorders>
              <w:top w:val="single" w:sz="8" w:color="CCECFF"/>
            </w:tcBorders>
          </w:tcPr>
          <w:p>
            <w:pPr>
              <w:spacing w:after="0"/>
              <w:rPr>
                <w:sz w:val="12"/>
                <w:szCs w:val="12"/>
                <w:color w:val="auto"/>
              </w:rPr>
            </w:pPr>
          </w:p>
        </w:tc>
        <w:tc>
          <w:tcPr>
            <w:tcW w:w="200" w:type="dxa"/>
            <w:vAlign w:val="bottom"/>
            <w:tcBorders>
              <w:top w:val="single" w:sz="8" w:color="CCECFF"/>
            </w:tcBorders>
          </w:tcPr>
          <w:p>
            <w:pPr>
              <w:spacing w:after="0"/>
              <w:rPr>
                <w:sz w:val="12"/>
                <w:szCs w:val="12"/>
                <w:color w:val="auto"/>
              </w:rPr>
            </w:pPr>
          </w:p>
        </w:tc>
        <w:tc>
          <w:tcPr>
            <w:tcW w:w="160" w:type="dxa"/>
            <w:vAlign w:val="bottom"/>
            <w:tcBorders>
              <w:top w:val="single" w:sz="8" w:color="CCECFF"/>
            </w:tcBorders>
          </w:tcPr>
          <w:p>
            <w:pPr>
              <w:spacing w:after="0"/>
              <w:rPr>
                <w:sz w:val="12"/>
                <w:szCs w:val="12"/>
                <w:color w:val="auto"/>
              </w:rPr>
            </w:pPr>
          </w:p>
        </w:tc>
        <w:tc>
          <w:tcPr>
            <w:tcW w:w="240" w:type="dxa"/>
            <w:vAlign w:val="bottom"/>
            <w:tcBorders>
              <w:top w:val="single" w:sz="8" w:color="CCECFF"/>
            </w:tcBorders>
          </w:tcPr>
          <w:p>
            <w:pPr>
              <w:spacing w:after="0"/>
              <w:rPr>
                <w:sz w:val="12"/>
                <w:szCs w:val="12"/>
                <w:color w:val="auto"/>
              </w:rPr>
            </w:pPr>
          </w:p>
        </w:tc>
        <w:tc>
          <w:tcPr>
            <w:tcW w:w="700" w:type="dxa"/>
            <w:vAlign w:val="bottom"/>
            <w:tcBorders>
              <w:top w:val="single" w:sz="8" w:color="CCECFF"/>
              <w:bottom w:val="single" w:sz="8" w:color="CCECFF"/>
            </w:tcBorders>
            <w:gridSpan w:val="2"/>
          </w:tcPr>
          <w:p>
            <w:pPr>
              <w:spacing w:after="0"/>
              <w:rPr>
                <w:sz w:val="12"/>
                <w:szCs w:val="12"/>
                <w:color w:val="auto"/>
              </w:rPr>
            </w:pPr>
          </w:p>
        </w:tc>
        <w:tc>
          <w:tcPr>
            <w:tcW w:w="140" w:type="dxa"/>
            <w:vAlign w:val="bottom"/>
            <w:tcBorders>
              <w:top w:val="single" w:sz="8" w:color="CCECFF"/>
              <w:bottom w:val="single" w:sz="8" w:color="CCEC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295,464</w:t>
            </w:r>
          </w:p>
        </w:tc>
        <w:tc>
          <w:tcPr>
            <w:tcW w:w="40" w:type="dxa"/>
            <w:vAlign w:val="bottom"/>
            <w:tcBorders>
              <w:top w:val="single" w:sz="8" w:color="CCECFF"/>
            </w:tcBorders>
          </w:tcPr>
          <w:p>
            <w:pPr>
              <w:spacing w:after="0"/>
              <w:rPr>
                <w:sz w:val="12"/>
                <w:szCs w:val="12"/>
                <w:color w:val="auto"/>
              </w:rPr>
            </w:pPr>
          </w:p>
        </w:tc>
        <w:tc>
          <w:tcPr>
            <w:tcW w:w="180" w:type="dxa"/>
            <w:vAlign w:val="bottom"/>
            <w:tcBorders>
              <w:top w:val="single" w:sz="8" w:color="CCECFF"/>
              <w:bottom w:val="single" w:sz="8" w:color="CCECFF"/>
            </w:tcBorders>
          </w:tcPr>
          <w:p>
            <w:pPr>
              <w:spacing w:after="0"/>
              <w:rPr>
                <w:sz w:val="12"/>
                <w:szCs w:val="12"/>
                <w:color w:val="auto"/>
              </w:rPr>
            </w:pPr>
          </w:p>
        </w:tc>
        <w:tc>
          <w:tcPr>
            <w:tcW w:w="60" w:type="dxa"/>
            <w:vAlign w:val="bottom"/>
            <w:tcBorders>
              <w:top w:val="single" w:sz="8" w:color="CCECFF"/>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460,033</w:t>
            </w:r>
          </w:p>
        </w:tc>
        <w:tc>
          <w:tcPr>
            <w:tcW w:w="10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0" w:type="dxa"/>
            <w:vAlign w:val="bottom"/>
            <w:shd w:val="clear" w:color="auto" w:fill="CCECFF"/>
          </w:tcPr>
          <w:p>
            <w:pPr>
              <w:spacing w:after="0"/>
              <w:rPr>
                <w:sz w:val="11"/>
                <w:szCs w:val="11"/>
                <w:color w:val="auto"/>
              </w:rPr>
            </w:pPr>
          </w:p>
        </w:tc>
        <w:tc>
          <w:tcPr>
            <w:tcW w:w="3740" w:type="dxa"/>
            <w:vAlign w:val="bottom"/>
            <w:gridSpan w:val="8"/>
            <w:shd w:val="clear" w:color="auto" w:fill="CCECFF"/>
          </w:tcPr>
          <w:p>
            <w:pPr>
              <w:ind w:left="100"/>
              <w:spacing w:after="0" w:line="129" w:lineRule="exact"/>
              <w:rPr>
                <w:sz w:val="20"/>
                <w:szCs w:val="20"/>
                <w:color w:val="auto"/>
              </w:rPr>
            </w:pPr>
            <w:r>
              <w:rPr>
                <w:rFonts w:ascii="Times New Roman" w:cs="Times New Roman" w:eastAsia="Times New Roman" w:hAnsi="Times New Roman"/>
                <w:sz w:val="14"/>
                <w:szCs w:val="14"/>
                <w:color w:val="auto"/>
              </w:rPr>
              <w:t>Temporary draws outstanding, at cost</w:t>
            </w:r>
          </w:p>
        </w:tc>
        <w:tc>
          <w:tcPr>
            <w:tcW w:w="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3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80" w:type="dxa"/>
            <w:vAlign w:val="bottom"/>
            <w:gridSpan w:val="2"/>
            <w:shd w:val="clear" w:color="auto" w:fill="CCECFF"/>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20" w:type="dxa"/>
            <w:vAlign w:val="bottom"/>
            <w:gridSpan w:val="2"/>
            <w:shd w:val="clear" w:color="auto" w:fill="CCEC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CFF"/>
              <w:bottom w:val="single" w:sz="8" w:color="CCECFF"/>
            </w:tcBorders>
            <w:gridSpan w:val="9"/>
          </w:tcPr>
          <w:p>
            <w:pPr>
              <w:spacing w:after="0" w:line="142" w:lineRule="exact"/>
              <w:rPr>
                <w:sz w:val="20"/>
                <w:szCs w:val="20"/>
                <w:color w:val="auto"/>
              </w:rPr>
            </w:pPr>
            <w:r>
              <w:rPr>
                <w:rFonts w:ascii="Times New Roman" w:cs="Times New Roman" w:eastAsia="Times New Roman" w:hAnsi="Times New Roman"/>
                <w:sz w:val="14"/>
                <w:szCs w:val="14"/>
                <w:color w:val="auto"/>
              </w:rPr>
              <w:t>Ending balance (cost – $296,456 and $464,456, respectively)</w:t>
            </w:r>
          </w:p>
        </w:tc>
        <w:tc>
          <w:tcPr>
            <w:tcW w:w="80" w:type="dxa"/>
            <w:vAlign w:val="bottom"/>
            <w:tcBorders>
              <w:top w:val="single" w:sz="8" w:color="CCECFF"/>
            </w:tcBorders>
          </w:tcPr>
          <w:p>
            <w:pPr>
              <w:spacing w:after="0"/>
              <w:rPr>
                <w:sz w:val="12"/>
                <w:szCs w:val="12"/>
                <w:color w:val="auto"/>
              </w:rPr>
            </w:pPr>
          </w:p>
        </w:tc>
        <w:tc>
          <w:tcPr>
            <w:tcW w:w="160" w:type="dxa"/>
            <w:vAlign w:val="bottom"/>
            <w:tcBorders>
              <w:top w:val="single" w:sz="8" w:color="CCECFF"/>
            </w:tcBorders>
          </w:tcPr>
          <w:p>
            <w:pPr>
              <w:spacing w:after="0"/>
              <w:rPr>
                <w:sz w:val="12"/>
                <w:szCs w:val="12"/>
                <w:color w:val="auto"/>
              </w:rPr>
            </w:pPr>
          </w:p>
        </w:tc>
        <w:tc>
          <w:tcPr>
            <w:tcW w:w="1320" w:type="dxa"/>
            <w:vAlign w:val="bottom"/>
            <w:tcBorders>
              <w:top w:val="single" w:sz="8" w:color="CCECFF"/>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c>
          <w:tcPr>
            <w:tcW w:w="140" w:type="dxa"/>
            <w:vAlign w:val="bottom"/>
            <w:tcBorders>
              <w:top w:val="single" w:sz="8" w:color="CCECFF"/>
            </w:tcBorders>
          </w:tcPr>
          <w:p>
            <w:pPr>
              <w:spacing w:after="0"/>
              <w:rPr>
                <w:sz w:val="12"/>
                <w:szCs w:val="12"/>
                <w:color w:val="auto"/>
              </w:rPr>
            </w:pPr>
          </w:p>
        </w:tc>
        <w:tc>
          <w:tcPr>
            <w:tcW w:w="200" w:type="dxa"/>
            <w:vAlign w:val="bottom"/>
            <w:tcBorders>
              <w:top w:val="single" w:sz="8" w:color="CCECFF"/>
            </w:tcBorders>
          </w:tcPr>
          <w:p>
            <w:pPr>
              <w:spacing w:after="0"/>
              <w:rPr>
                <w:sz w:val="12"/>
                <w:szCs w:val="12"/>
                <w:color w:val="auto"/>
              </w:rPr>
            </w:pPr>
          </w:p>
        </w:tc>
        <w:tc>
          <w:tcPr>
            <w:tcW w:w="160" w:type="dxa"/>
            <w:vAlign w:val="bottom"/>
            <w:tcBorders>
              <w:top w:val="single" w:sz="8" w:color="CCECFF"/>
            </w:tcBorders>
          </w:tcPr>
          <w:p>
            <w:pPr>
              <w:spacing w:after="0"/>
              <w:rPr>
                <w:sz w:val="12"/>
                <w:szCs w:val="12"/>
                <w:color w:val="auto"/>
              </w:rPr>
            </w:pPr>
          </w:p>
        </w:tc>
        <w:tc>
          <w:tcPr>
            <w:tcW w:w="240" w:type="dxa"/>
            <w:vAlign w:val="bottom"/>
            <w:tcBorders>
              <w:top w:val="single" w:sz="8" w:color="CCECFF"/>
            </w:tcBorders>
          </w:tcPr>
          <w:p>
            <w:pPr>
              <w:spacing w:after="0"/>
              <w:rPr>
                <w:sz w:val="12"/>
                <w:szCs w:val="12"/>
                <w:color w:val="auto"/>
              </w:rPr>
            </w:pPr>
          </w:p>
        </w:tc>
        <w:tc>
          <w:tcPr>
            <w:tcW w:w="700" w:type="dxa"/>
            <w:vAlign w:val="bottom"/>
            <w:tcBorders>
              <w:top w:val="single" w:sz="8" w:color="CCECFF"/>
              <w:bottom w:val="single" w:sz="8" w:color="CCECFF"/>
            </w:tcBorders>
            <w:gridSpan w:val="2"/>
          </w:tcPr>
          <w:p>
            <w:pPr>
              <w:spacing w:after="0"/>
              <w:rPr>
                <w:sz w:val="12"/>
                <w:szCs w:val="12"/>
                <w:color w:val="auto"/>
              </w:rPr>
            </w:pPr>
          </w:p>
        </w:tc>
        <w:tc>
          <w:tcPr>
            <w:tcW w:w="140" w:type="dxa"/>
            <w:vAlign w:val="bottom"/>
            <w:tcBorders>
              <w:top w:val="single" w:sz="8" w:color="CCECFF"/>
              <w:bottom w:val="single" w:sz="8" w:color="CCEC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295,464</w:t>
            </w:r>
          </w:p>
        </w:tc>
        <w:tc>
          <w:tcPr>
            <w:tcW w:w="40" w:type="dxa"/>
            <w:vAlign w:val="bottom"/>
            <w:tcBorders>
              <w:top w:val="single" w:sz="8" w:color="CCECFF"/>
            </w:tcBorders>
          </w:tcPr>
          <w:p>
            <w:pPr>
              <w:spacing w:after="0"/>
              <w:rPr>
                <w:sz w:val="12"/>
                <w:szCs w:val="12"/>
                <w:color w:val="auto"/>
              </w:rPr>
            </w:pPr>
          </w:p>
        </w:tc>
        <w:tc>
          <w:tcPr>
            <w:tcW w:w="180" w:type="dxa"/>
            <w:vAlign w:val="bottom"/>
            <w:tcBorders>
              <w:top w:val="single" w:sz="8" w:color="CCECFF"/>
              <w:bottom w:val="single" w:sz="8" w:color="CCECFF"/>
            </w:tcBorders>
          </w:tcPr>
          <w:p>
            <w:pPr>
              <w:spacing w:after="0"/>
              <w:rPr>
                <w:sz w:val="12"/>
                <w:szCs w:val="12"/>
                <w:color w:val="auto"/>
              </w:rPr>
            </w:pPr>
          </w:p>
        </w:tc>
        <w:tc>
          <w:tcPr>
            <w:tcW w:w="60" w:type="dxa"/>
            <w:vAlign w:val="bottom"/>
            <w:tcBorders>
              <w:top w:val="single" w:sz="8" w:color="CCECFF"/>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460,033</w:t>
            </w:r>
          </w:p>
        </w:tc>
        <w:tc>
          <w:tcPr>
            <w:tcW w:w="10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w:t>
            </w:r>
          </w:p>
        </w:tc>
        <w:tc>
          <w:tcPr>
            <w:tcW w:w="18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rPr>
              <w:t>Excludes temporary draws.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80" w:type="dxa"/>
            <w:vAlign w:val="bottom"/>
            <w:vMerge w:val="continue"/>
          </w:tcPr>
          <w:p>
            <w:pPr>
              <w:spacing w:after="0"/>
              <w:rPr>
                <w:sz w:val="24"/>
                <w:szCs w:val="24"/>
                <w:color w:val="auto"/>
              </w:rPr>
            </w:pPr>
          </w:p>
        </w:tc>
        <w:tc>
          <w:tcPr>
            <w:tcW w:w="18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420" w:type="dxa"/>
            <w:vAlign w:val="bottom"/>
            <w:gridSpan w:val="19"/>
          </w:tcPr>
          <w:p>
            <w:pPr>
              <w:ind w:left="280"/>
              <w:spacing w:after="0"/>
              <w:rPr>
                <w:sz w:val="20"/>
                <w:szCs w:val="20"/>
                <w:color w:val="auto"/>
              </w:rPr>
            </w:pPr>
            <w:r>
              <w:rPr>
                <w:rFonts w:ascii="Times New Roman" w:cs="Times New Roman" w:eastAsia="Times New Roman" w:hAnsi="Times New Roman"/>
                <w:sz w:val="14"/>
                <w:szCs w:val="14"/>
                <w:color w:val="auto"/>
              </w:rPr>
              <w:t>As of December 31, 2025, we had outstanding non-U.S. dollar borrowings on our Truist Credit Facility:</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gridSpan w:val="2"/>
            <w:vMerge w:val="restart"/>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80" w:type="dxa"/>
            <w:vAlign w:val="bottom"/>
            <w:gridSpan w:val="2"/>
            <w:vMerge w:val="restart"/>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180" w:type="dxa"/>
            <w:vAlign w:val="bottom"/>
            <w:gridSpan w:val="2"/>
            <w:vMerge w:val="restart"/>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gridSpan w:val="2"/>
            <w:vMerge w:val="restart"/>
          </w:tcPr>
          <w:p>
            <w:pPr>
              <w:spacing w:after="0"/>
              <w:rPr>
                <w:sz w:val="22"/>
                <w:szCs w:val="22"/>
                <w:color w:val="auto"/>
              </w:rPr>
            </w:pPr>
          </w:p>
        </w:tc>
        <w:tc>
          <w:tcPr>
            <w:tcW w:w="280" w:type="dxa"/>
            <w:vAlign w:val="bottom"/>
            <w:gridSpan w:val="3"/>
            <w:vMerge w:val="restart"/>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Unrealized appreciation/</w:t>
            </w:r>
          </w:p>
        </w:tc>
        <w:tc>
          <w:tcPr>
            <w:tcW w:w="0" w:type="dxa"/>
            <w:vAlign w:val="bottom"/>
          </w:tcPr>
          <w:p>
            <w:pPr>
              <w:spacing w:after="0"/>
              <w:rPr>
                <w:sz w:val="1"/>
                <w:szCs w:val="1"/>
                <w:color w:val="auto"/>
              </w:rPr>
            </w:pPr>
          </w:p>
        </w:tc>
      </w:tr>
      <w:tr>
        <w:trPr>
          <w:trHeight w:val="173"/>
        </w:trPr>
        <w:tc>
          <w:tcPr>
            <w:tcW w:w="1880" w:type="dxa"/>
            <w:vAlign w:val="bottom"/>
            <w:tcBorders>
              <w:bottom w:val="single" w:sz="8" w:color="auto"/>
            </w:tcBorders>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(depreciation)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gridSpan w:val="4"/>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gridSpan w:val="2"/>
            <w:shd w:val="clear" w:color="auto" w:fill="CCEC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36,000</w:t>
            </w:r>
          </w:p>
        </w:tc>
        <w:tc>
          <w:tcPr>
            <w:tcW w:w="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 w:type="dxa"/>
            <w:vAlign w:val="bottom"/>
            <w:gridSpan w:val="2"/>
            <w:shd w:val="clear" w:color="auto" w:fill="CCEC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49,420</w:t>
            </w: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00" w:type="dxa"/>
            <w:vAlign w:val="bottom"/>
            <w:gridSpan w:val="2"/>
            <w:shd w:val="clear" w:color="auto" w:fill="CCEC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48,422</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360" w:type="dxa"/>
            <w:vAlign w:val="bottom"/>
            <w:gridSpan w:val="4"/>
            <w:shd w:val="clear" w:color="auto" w:fill="CCECFF"/>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60" w:type="dxa"/>
            <w:vAlign w:val="bottom"/>
            <w:gridSpan w:val="3"/>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3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Canadian dollar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CAD 2,800</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2,043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color w:val="auto"/>
              </w:rPr>
              <w:t>January 31, 2026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4"/>
        </w:trPr>
        <w:tc>
          <w:tcPr>
            <w:tcW w:w="180" w:type="dxa"/>
            <w:vAlign w:val="bottom"/>
          </w:tcPr>
          <w:p>
            <w:pPr>
              <w:spacing w:after="0"/>
              <w:rPr>
                <w:sz w:val="23"/>
                <w:szCs w:val="23"/>
                <w:color w:val="auto"/>
              </w:rPr>
            </w:pPr>
          </w:p>
        </w:tc>
        <w:tc>
          <w:tcPr>
            <w:tcW w:w="6420" w:type="dxa"/>
            <w:vAlign w:val="bottom"/>
            <w:gridSpan w:val="19"/>
          </w:tcPr>
          <w:p>
            <w:pPr>
              <w:ind w:left="280"/>
              <w:spacing w:after="0"/>
              <w:rPr>
                <w:sz w:val="20"/>
                <w:szCs w:val="20"/>
                <w:color w:val="auto"/>
              </w:rPr>
            </w:pPr>
            <w:r>
              <w:rPr>
                <w:rFonts w:ascii="Times New Roman" w:cs="Times New Roman" w:eastAsia="Times New Roman" w:hAnsi="Times New Roman"/>
                <w:sz w:val="14"/>
                <w:szCs w:val="14"/>
                <w:color w:val="auto"/>
              </w:rPr>
              <w:t>As of September 30, 2025, we had outstanding non-U.S. dollar borrowings on our Truist Credit Facility:</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20" w:type="dxa"/>
            <w:vAlign w:val="bottom"/>
            <w:vMerge w:val="restart"/>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80" w:type="dxa"/>
            <w:vAlign w:val="bottom"/>
            <w:vMerge w:val="restart"/>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6"/>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gridSpan w:val="2"/>
            <w:vMerge w:val="restart"/>
          </w:tcPr>
          <w:p>
            <w:pPr>
              <w:spacing w:after="0"/>
              <w:rPr>
                <w:sz w:val="22"/>
                <w:szCs w:val="22"/>
                <w:color w:val="auto"/>
              </w:rPr>
            </w:pPr>
          </w:p>
        </w:tc>
        <w:tc>
          <w:tcPr>
            <w:tcW w:w="140" w:type="dxa"/>
            <w:vAlign w:val="bottom"/>
            <w:gridSpan w:val="2"/>
            <w:vMerge w:val="restart"/>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Unrealized appreciation/</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auto"/>
            </w:tcBorders>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6"/>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4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gridSpan w:val="4"/>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gridSpan w:val="2"/>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shd w:val="clear" w:color="auto" w:fill="CCEC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36,000</w:t>
            </w:r>
          </w:p>
        </w:tc>
        <w:tc>
          <w:tcPr>
            <w:tcW w:w="240" w:type="dxa"/>
            <w:vAlign w:val="bottom"/>
            <w:gridSpan w:val="2"/>
            <w:shd w:val="clear" w:color="auto" w:fill="CCEC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3"/>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49,420</w:t>
            </w:r>
          </w:p>
        </w:tc>
        <w:tc>
          <w:tcPr>
            <w:tcW w:w="340" w:type="dxa"/>
            <w:vAlign w:val="bottom"/>
            <w:gridSpan w:val="3"/>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980" w:type="dxa"/>
            <w:vAlign w:val="bottom"/>
            <w:gridSpan w:val="4"/>
            <w:shd w:val="clear" w:color="auto" w:fill="CCECFF"/>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48,465</w:t>
            </w:r>
          </w:p>
        </w:tc>
        <w:tc>
          <w:tcPr>
            <w:tcW w:w="1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360" w:type="dxa"/>
            <w:vAlign w:val="bottom"/>
            <w:gridSpan w:val="4"/>
            <w:shd w:val="clear" w:color="auto" w:fill="CCECFF"/>
          </w:tcPr>
          <w:p>
            <w:pPr>
              <w:ind w:left="12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gridSpan w:val="2"/>
            <w:shd w:val="clear" w:color="auto" w:fill="CCEC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CFF"/>
          </w:tcPr>
          <w:p>
            <w:pPr>
              <w:spacing w:after="0"/>
              <w:rPr>
                <w:sz w:val="12"/>
                <w:szCs w:val="12"/>
                <w:color w:val="auto"/>
              </w:rPr>
            </w:pPr>
          </w:p>
        </w:tc>
        <w:tc>
          <w:tcPr>
            <w:tcW w:w="1420" w:type="dxa"/>
            <w:vAlign w:val="bottom"/>
            <w:gridSpan w:val="2"/>
            <w:shd w:val="clear" w:color="auto" w:fill="CCEC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8"/>
        </w:trPr>
        <w:tc>
          <w:tcPr>
            <w:tcW w:w="2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Canadian dollar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CAD 2,800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2,036</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color w:val="auto"/>
              </w:rPr>
              <w:t>2,012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October 29, 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-3076575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-3059430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-3076575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-3059430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939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-1901825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-1901825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-1678940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-1678940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the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$3.9 and zero of expenses relating to amendment costs on the Truist Credit Facility during the three months ended December 31, 2025 and 2024,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2026 Notes and 2026 Notes-2.</w:t>
      </w:r>
    </w:p>
    <w:p>
      <w:pPr>
        <w:spacing w:after="0" w:line="113"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For the three months ended December 31, 2025 and 2024, the Truist Credit Facility had a net change in unrealized appreciation (depreciation) of less than $0.1 million and $3.3 million, respectively. As of December 31, 2025 and September 30, 2025, the net unrealized appreciation (depreciation) on the Truist Credit Facility totaled $1.0 million and $1.0 million, respectively. We use an independent valuation service to measure the fair value of our Truist Credit Facility in a manner consistent with the valuation process that our board of directors uses to value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2025 and 2024 were as follows ($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Net Realized</w:t>
            </w:r>
          </w:p>
        </w:tc>
        <w:tc>
          <w:tcPr>
            <w:tcW w:w="100" w:type="dxa"/>
            <w:vAlign w:val="bottom"/>
          </w:tcPr>
          <w:p>
            <w:pPr>
              <w:spacing w:after="0"/>
              <w:rPr>
                <w:sz w:val="12"/>
                <w:szCs w:val="12"/>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Net Change in</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37"/>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380"/>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11"/>
                <w:szCs w:val="11"/>
                <w:color w:val="auto"/>
              </w:rPr>
            </w:pPr>
          </w:p>
        </w:tc>
        <w:tc>
          <w:tcPr>
            <w:tcW w:w="980" w:type="dxa"/>
            <w:vAlign w:val="bottom"/>
            <w:gridSpan w:val="3"/>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Appreciation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5"/>
              </w:rPr>
              <w:t>December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b w:val="1"/>
                <w:bCs w:val="1"/>
                <w:color w:val="auto"/>
              </w:rPr>
              <w:t>PIK</w:t>
            </w:r>
          </w:p>
        </w:tc>
        <w:tc>
          <w:tcPr>
            <w:tcW w:w="220" w:type="dxa"/>
            <w:vAlign w:val="bottom"/>
          </w:tcPr>
          <w:p>
            <w:pPr>
              <w:spacing w:after="0"/>
              <w:rPr>
                <w:sz w:val="11"/>
                <w:szCs w:val="11"/>
                <w:color w:val="auto"/>
              </w:rPr>
            </w:pPr>
          </w:p>
        </w:tc>
        <w:tc>
          <w:tcPr>
            <w:tcW w:w="760" w:type="dxa"/>
            <w:vAlign w:val="bottom"/>
            <w:gridSpan w:val="3"/>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Dividend</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4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6"/>
              </w:rPr>
              <w:t>Reductions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10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shd w:val="clear" w:color="auto" w:fill="CCEC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AKW Holdings Limited</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88,646</w:t>
            </w:r>
          </w:p>
        </w:tc>
        <w:tc>
          <w:tcPr>
            <w:tcW w:w="3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4,547</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(4,604)</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3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13,016</w:t>
            </w:r>
          </w:p>
        </w:tc>
        <w:tc>
          <w:tcPr>
            <w:tcW w:w="120" w:type="dxa"/>
            <w:vAlign w:val="bottom"/>
          </w:tcPr>
          <w:p>
            <w:pPr>
              <w:spacing w:after="0"/>
              <w:rPr>
                <w:sz w:val="11"/>
                <w:szCs w:val="11"/>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101,421</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1,235</w:t>
            </w:r>
          </w:p>
        </w:tc>
        <w:tc>
          <w:tcPr>
            <w:tcW w:w="34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CECFF"/>
          </w:tcPr>
          <w:p>
            <w:pPr>
              <w:spacing w:after="0" w:line="135" w:lineRule="exact"/>
              <w:rPr>
                <w:sz w:val="20"/>
                <w:szCs w:val="20"/>
                <w:color w:val="auto"/>
              </w:rPr>
            </w:pPr>
            <w:r>
              <w:rPr>
                <w:rFonts w:ascii="Times New Roman" w:cs="Times New Roman" w:eastAsia="Times New Roman" w:hAnsi="Times New Roman"/>
                <w:sz w:val="13"/>
                <w:szCs w:val="13"/>
                <w:color w:val="auto"/>
              </w:rPr>
              <w:t>Flock Financial, LLC</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49,314</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20" w:type="dxa"/>
            <w:vAlign w:val="bottom"/>
            <w:gridSpan w:val="2"/>
            <w:shd w:val="clear" w:color="auto" w:fill="CCEC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4,537</w:t>
            </w:r>
          </w:p>
        </w:tc>
        <w:tc>
          <w:tcPr>
            <w:tcW w:w="120" w:type="dxa"/>
            <w:vAlign w:val="bottom"/>
            <w:shd w:val="clear" w:color="auto" w:fill="CCECFF"/>
          </w:tcPr>
          <w:p>
            <w:pPr>
              <w:spacing w:after="0"/>
              <w:rPr>
                <w:sz w:val="11"/>
                <w:szCs w:val="11"/>
                <w:color w:val="auto"/>
              </w:rPr>
            </w:pPr>
          </w:p>
        </w:tc>
        <w:tc>
          <w:tcPr>
            <w:tcW w:w="1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JF Intermediate,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(JF Holdings Corp.)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68,332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(67,546)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(63,845)</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CECFF"/>
          </w:tcPr>
          <w:p>
            <w:pPr>
              <w:spacing w:after="0" w:line="135" w:lineRule="exact"/>
              <w:rPr>
                <w:sz w:val="20"/>
                <w:szCs w:val="20"/>
                <w:color w:val="auto"/>
              </w:rPr>
            </w:pPr>
            <w:r>
              <w:rPr>
                <w:rFonts w:ascii="Times New Roman" w:cs="Times New Roman" w:eastAsia="Times New Roman" w:hAnsi="Times New Roman"/>
                <w:sz w:val="13"/>
                <w:szCs w:val="13"/>
                <w:color w:val="auto"/>
              </w:rPr>
              <w:t>Pragmatic Institute, LLC</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10,875</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20" w:type="dxa"/>
            <w:vAlign w:val="bottom"/>
            <w:gridSpan w:val="2"/>
            <w:shd w:val="clear" w:color="auto" w:fill="CCEC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(1,527)</w:t>
            </w: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9,312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PennantPark Senior Loan Fund, LLC </w:t>
            </w:r>
            <w:r>
              <w:rPr>
                <w:rFonts w:ascii="Times New Roman" w:cs="Times New Roman" w:eastAsia="Times New Roman" w:hAnsi="Times New Roman"/>
                <w:sz w:val="15"/>
                <w:szCs w:val="15"/>
                <w:color w:val="auto"/>
                <w:vertAlign w:val="superscript"/>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207,800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(7,746)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200,054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4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Controlled Affiliates</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424,967</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4,547</w:t>
            </w:r>
          </w:p>
        </w:tc>
        <w:tc>
          <w:tcPr>
            <w:tcW w:w="300" w:type="dxa"/>
            <w:vAlign w:val="bottom"/>
            <w:gridSpan w:val="2"/>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C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(72,186)</w:t>
            </w:r>
          </w:p>
        </w:tc>
        <w:tc>
          <w:tcPr>
            <w:tcW w:w="200" w:type="dxa"/>
            <w:vAlign w:val="bottom"/>
            <w:gridSpan w:val="2"/>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62,875</w:t>
            </w:r>
          </w:p>
        </w:tc>
        <w:tc>
          <w:tcPr>
            <w:tcW w:w="120" w:type="dxa"/>
            <w:vAlign w:val="bottom"/>
            <w:shd w:val="clear" w:color="auto" w:fill="CCECFF"/>
          </w:tcPr>
          <w:p>
            <w:pPr>
              <w:spacing w:after="0"/>
              <w:rPr>
                <w:sz w:val="11"/>
                <w:szCs w:val="11"/>
                <w:color w:val="auto"/>
              </w:rPr>
            </w:pPr>
          </w:p>
        </w:tc>
        <w:tc>
          <w:tcPr>
            <w:tcW w:w="360" w:type="dxa"/>
            <w:vAlign w:val="bottom"/>
            <w:gridSpan w:val="2"/>
            <w:shd w:val="clear" w:color="auto" w:fill="CCEC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C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(55,565)</w:t>
            </w:r>
          </w:p>
        </w:tc>
        <w:tc>
          <w:tcPr>
            <w:tcW w:w="1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364,638</w:t>
            </w:r>
          </w:p>
        </w:tc>
        <w:tc>
          <w:tcPr>
            <w:tcW w:w="300" w:type="dxa"/>
            <w:vAlign w:val="bottom"/>
            <w:gridSpan w:val="2"/>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6,271</w:t>
            </w:r>
          </w:p>
        </w:tc>
        <w:tc>
          <w:tcPr>
            <w:tcW w:w="340" w:type="dxa"/>
            <w:vAlign w:val="bottom"/>
            <w:gridSpan w:val="2"/>
            <w:shd w:val="clear" w:color="auto" w:fill="CCECFF"/>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CFF"/>
          </w:tcPr>
          <w:p>
            <w:pPr>
              <w:ind w:left="5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C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40" w:type="dxa"/>
            <w:vAlign w:val="bottom"/>
            <w:tcBorders>
              <w:top w:val="single" w:sz="8" w:color="CCEC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tcBorders>
              <w:top w:val="single" w:sz="8" w:color="CCEC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CEC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CFF"/>
          </w:tcPr>
          <w:p>
            <w:pPr>
              <w:spacing w:after="0" w:line="135" w:lineRule="exact"/>
              <w:rPr>
                <w:sz w:val="20"/>
                <w:szCs w:val="20"/>
                <w:color w:val="auto"/>
              </w:rPr>
            </w:pPr>
            <w:r>
              <w:rPr>
                <w:rFonts w:ascii="Times New Roman" w:cs="Times New Roman" w:eastAsia="Times New Roman" w:hAnsi="Times New Roman"/>
                <w:sz w:val="13"/>
                <w:szCs w:val="13"/>
                <w:color w:val="auto"/>
                <w:w w:val="98"/>
              </w:rPr>
              <w:t>Cascade Environmental Holdings, LLC</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4,891</w:t>
            </w:r>
          </w:p>
        </w:tc>
        <w:tc>
          <w:tcPr>
            <w:tcW w:w="240" w:type="dxa"/>
            <w:vAlign w:val="bottom"/>
            <w:shd w:val="clear" w:color="auto" w:fill="CCECFF"/>
          </w:tcPr>
          <w:p>
            <w:pPr>
              <w:spacing w:after="0"/>
              <w:rPr>
                <w:sz w:val="11"/>
                <w:szCs w:val="11"/>
                <w:color w:val="auto"/>
              </w:rPr>
            </w:pPr>
          </w:p>
        </w:tc>
        <w:tc>
          <w:tcPr>
            <w:tcW w:w="14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C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C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C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C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(3,140)</w:t>
            </w:r>
          </w:p>
        </w:tc>
        <w:tc>
          <w:tcPr>
            <w:tcW w:w="160" w:type="dxa"/>
            <w:vAlign w:val="bottom"/>
            <w:gridSpan w:val="2"/>
            <w:shd w:val="clear" w:color="auto" w:fill="CCECFF"/>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1,751</w:t>
            </w:r>
          </w:p>
        </w:tc>
        <w:tc>
          <w:tcPr>
            <w:tcW w:w="300" w:type="dxa"/>
            <w:vAlign w:val="bottom"/>
            <w:gridSpan w:val="2"/>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C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CFF"/>
          </w:tcPr>
          <w:p>
            <w:pPr>
              <w:ind w:left="5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C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Total Non-Controlled Affiliates</w:t>
            </w:r>
          </w:p>
        </w:tc>
        <w:tc>
          <w:tcPr>
            <w:tcW w:w="12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4,891</w:t>
            </w:r>
          </w:p>
        </w:tc>
        <w:tc>
          <w:tcPr>
            <w:tcW w:w="2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(3,140)</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1,751</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5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040" w:type="dxa"/>
            <w:vAlign w:val="bottom"/>
            <w:shd w:val="clear" w:color="auto" w:fill="CCEC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Controlled and</w:t>
            </w:r>
          </w:p>
        </w:tc>
        <w:tc>
          <w:tcPr>
            <w:tcW w:w="12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429,858</w:t>
            </w:r>
          </w:p>
        </w:tc>
        <w:tc>
          <w:tcPr>
            <w:tcW w:w="240" w:type="dxa"/>
            <w:vAlign w:val="bottom"/>
            <w:shd w:val="clear" w:color="auto" w:fill="CCECFF"/>
          </w:tcPr>
          <w:p>
            <w:pPr>
              <w:spacing w:after="0"/>
              <w:rPr>
                <w:sz w:val="9"/>
                <w:szCs w:val="9"/>
                <w:color w:val="auto"/>
              </w:rPr>
            </w:pPr>
          </w:p>
        </w:tc>
        <w:tc>
          <w:tcPr>
            <w:tcW w:w="1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4,547</w:t>
            </w:r>
          </w:p>
        </w:tc>
        <w:tc>
          <w:tcPr>
            <w:tcW w:w="240" w:type="dxa"/>
            <w:vAlign w:val="bottom"/>
            <w:shd w:val="clear" w:color="auto" w:fill="CCECFF"/>
          </w:tcPr>
          <w:p>
            <w:pPr>
              <w:spacing w:after="0"/>
              <w:rPr>
                <w:sz w:val="9"/>
                <w:szCs w:val="9"/>
                <w:color w:val="auto"/>
              </w:rPr>
            </w:pPr>
          </w:p>
        </w:tc>
        <w:tc>
          <w:tcPr>
            <w:tcW w:w="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(72,186)</w:t>
            </w:r>
          </w:p>
        </w:tc>
        <w:tc>
          <w:tcPr>
            <w:tcW w:w="1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62,875</w:t>
            </w: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60" w:type="dxa"/>
            <w:vAlign w:val="bottom"/>
            <w:tcBorders>
              <w:top w:val="single" w:sz="8" w:color="auto"/>
            </w:tcBorders>
            <w:vMerge w:val="restart"/>
            <w:shd w:val="clear" w:color="auto" w:fill="CCECFF"/>
          </w:tcPr>
          <w:p>
            <w:pPr>
              <w:jc w:val="right"/>
              <w:ind w:righ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(58,705)</w:t>
            </w: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0" w:type="dxa"/>
            <w:vAlign w:val="bottom"/>
            <w:tcBorders>
              <w:top w:val="single" w:sz="8" w:color="auto"/>
            </w:tcBorders>
            <w:vMerge w:val="restart"/>
            <w:shd w:val="clear" w:color="auto" w:fill="CCEC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366,389</w:t>
            </w:r>
          </w:p>
        </w:tc>
        <w:tc>
          <w:tcPr>
            <w:tcW w:w="22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6,271</w:t>
            </w:r>
          </w:p>
        </w:tc>
        <w:tc>
          <w:tcPr>
            <w:tcW w:w="220" w:type="dxa"/>
            <w:vAlign w:val="bottom"/>
            <w:shd w:val="clear" w:color="auto" w:fill="CCECFF"/>
          </w:tcPr>
          <w:p>
            <w:pPr>
              <w:spacing w:after="0"/>
              <w:rPr>
                <w:sz w:val="9"/>
                <w:szCs w:val="9"/>
                <w:color w:val="auto"/>
              </w:rPr>
            </w:pPr>
          </w:p>
        </w:tc>
        <w:tc>
          <w:tcPr>
            <w:tcW w:w="120" w:type="dxa"/>
            <w:vAlign w:val="bottom"/>
            <w:tcBorders>
              <w:top w:val="single" w:sz="8" w:color="auto"/>
            </w:tcBorders>
            <w:vMerge w:val="restart"/>
            <w:shd w:val="clear" w:color="auto" w:fill="CCEC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vMerge w:val="restart"/>
            <w:shd w:val="clear" w:color="auto" w:fill="CCECFF"/>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CFF"/>
          </w:tcPr>
          <w:p>
            <w:pPr>
              <w:spacing w:after="0"/>
              <w:rPr>
                <w:sz w:val="9"/>
                <w:szCs w:val="9"/>
                <w:color w:val="auto"/>
              </w:rPr>
            </w:pPr>
          </w:p>
        </w:tc>
        <w:tc>
          <w:tcPr>
            <w:tcW w:w="1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4,184</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CECFF"/>
            </w:tcBorders>
            <w:shd w:val="clear" w:color="auto" w:fill="CCECFF"/>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880" w:type="dxa"/>
            <w:vAlign w:val="bottom"/>
            <w:tcBorders>
              <w:bottom w:val="single" w:sz="8" w:color="auto"/>
            </w:tcBorders>
            <w:vMerge w:val="continue"/>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vMerge w:val="continue"/>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vMerge w:val="continue"/>
            <w:shd w:val="clear" w:color="auto" w:fill="CCECFF"/>
          </w:tcPr>
          <w:p>
            <w:pPr>
              <w:spacing w:after="0"/>
              <w:rPr>
                <w:sz w:val="13"/>
                <w:szCs w:val="13"/>
                <w:color w:val="auto"/>
              </w:rPr>
            </w:pPr>
          </w:p>
        </w:tc>
        <w:tc>
          <w:tcPr>
            <w:tcW w:w="720" w:type="dxa"/>
            <w:vAlign w:val="bottom"/>
            <w:tcBorders>
              <w:bottom w:val="single" w:sz="8" w:color="auto"/>
            </w:tcBorders>
            <w:vMerge w:val="continue"/>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vMerge w:val="continue"/>
            <w:shd w:val="clear" w:color="auto" w:fill="CCECFF"/>
          </w:tcPr>
          <w:p>
            <w:pPr>
              <w:spacing w:after="0"/>
              <w:rPr>
                <w:sz w:val="13"/>
                <w:szCs w:val="13"/>
                <w:color w:val="auto"/>
              </w:rPr>
            </w:pPr>
          </w:p>
        </w:tc>
        <w:tc>
          <w:tcPr>
            <w:tcW w:w="900" w:type="dxa"/>
            <w:vAlign w:val="bottom"/>
            <w:tcBorders>
              <w:bottom w:val="single" w:sz="8" w:color="auto"/>
            </w:tcBorders>
            <w:vMerge w:val="continue"/>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vMerge w:val="continue"/>
            <w:shd w:val="clear" w:color="auto" w:fill="CCECFF"/>
          </w:tcPr>
          <w:p>
            <w:pPr>
              <w:spacing w:after="0"/>
              <w:rPr>
                <w:sz w:val="13"/>
                <w:szCs w:val="13"/>
                <w:color w:val="auto"/>
              </w:rPr>
            </w:pPr>
          </w:p>
        </w:tc>
        <w:tc>
          <w:tcPr>
            <w:tcW w:w="600" w:type="dxa"/>
            <w:vAlign w:val="bottom"/>
            <w:tcBorders>
              <w:bottom w:val="single" w:sz="8" w:color="auto"/>
            </w:tcBorders>
            <w:vMerge w:val="continue"/>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vMerge w:val="continue"/>
            <w:shd w:val="clear" w:color="auto" w:fill="CCECFF"/>
          </w:tcPr>
          <w:p>
            <w:pPr>
              <w:spacing w:after="0"/>
              <w:rPr>
                <w:sz w:val="13"/>
                <w:szCs w:val="13"/>
                <w:color w:val="auto"/>
              </w:rPr>
            </w:pPr>
          </w:p>
        </w:tc>
        <w:tc>
          <w:tcPr>
            <w:tcW w:w="68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vMerge w:val="continue"/>
            <w:shd w:val="clear" w:color="auto" w:fill="CCECFF"/>
          </w:tcPr>
          <w:p>
            <w:pPr>
              <w:spacing w:after="0"/>
              <w:rPr>
                <w:sz w:val="13"/>
                <w:szCs w:val="13"/>
                <w:color w:val="auto"/>
              </w:rPr>
            </w:pPr>
          </w:p>
        </w:tc>
        <w:tc>
          <w:tcPr>
            <w:tcW w:w="66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vMerge w:val="continue"/>
            <w:shd w:val="clear" w:color="auto" w:fill="CCECFF"/>
          </w:tcPr>
          <w:p>
            <w:pPr>
              <w:spacing w:after="0"/>
              <w:rPr>
                <w:sz w:val="13"/>
                <w:szCs w:val="13"/>
                <w:color w:val="auto"/>
              </w:rPr>
            </w:pPr>
          </w:p>
        </w:tc>
        <w:tc>
          <w:tcPr>
            <w:tcW w:w="560" w:type="dxa"/>
            <w:vAlign w:val="bottom"/>
            <w:tcBorders>
              <w:bottom w:val="single" w:sz="8" w:color="auto"/>
            </w:tcBorders>
            <w:vMerge w:val="continue"/>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-454025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-454025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-454025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-454025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-454025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-454025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-454025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-454025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-273685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-273685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-273685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-273685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-273685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-273685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-273685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-273685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-25400</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-7620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3"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Includes PIK.</w:t>
      </w:r>
    </w:p>
    <w:p>
      <w:pPr>
        <w:ind w:left="380" w:right="60" w:hanging="372"/>
        <w:spacing w:after="0" w:line="267" w:lineRule="auto"/>
        <w:tabs>
          <w:tab w:leader="none" w:pos="380" w:val="left"/>
        </w:tabs>
        <w:numPr>
          <w:ilvl w:val="0"/>
          <w:numId w:val="24"/>
        </w:numPr>
        <w:rPr>
          <w:rFonts w:ascii="Times New Roman" w:cs="Times New Roman" w:eastAsia="Times New Roman" w:hAnsi="Times New Roman"/>
          <w:sz w:val="7"/>
          <w:szCs w:val="7"/>
          <w:b w:val="1"/>
          <w:bCs w:val="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Net 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5"/>
              </w:rPr>
              <w:t>Net Change in</w:t>
            </w: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7"/>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2"/>
              </w:rPr>
              <w:t>Gains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Appreciation /</w:t>
            </w:r>
          </w:p>
        </w:tc>
        <w:tc>
          <w:tcPr>
            <w:tcW w:w="76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117"/>
              <w:spacing w:after="0" w:line="128" w:lineRule="exact"/>
              <w:rPr>
                <w:sz w:val="20"/>
                <w:szCs w:val="20"/>
                <w:color w:val="auto"/>
              </w:rPr>
            </w:pPr>
            <w:r>
              <w:rPr>
                <w:rFonts w:ascii="Times New Roman" w:cs="Times New Roman" w:eastAsia="Times New Roman" w:hAnsi="Times New Roman"/>
                <w:sz w:val="13"/>
                <w:szCs w:val="13"/>
                <w:b w:val="1"/>
                <w:bCs w:val="1"/>
                <w:color w:val="auto"/>
              </w:rPr>
              <w:t>PIK</w:t>
            </w:r>
          </w:p>
        </w:tc>
        <w:tc>
          <w:tcPr>
            <w:tcW w:w="220" w:type="dxa"/>
            <w:vAlign w:val="bottom"/>
          </w:tcPr>
          <w:p>
            <w:pPr>
              <w:spacing w:after="0"/>
              <w:rPr>
                <w:sz w:val="11"/>
                <w:szCs w:val="11"/>
                <w:color w:val="auto"/>
              </w:rPr>
            </w:pPr>
          </w:p>
        </w:tc>
        <w:tc>
          <w:tcPr>
            <w:tcW w:w="74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Dividend</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Pr>
          <w:p>
            <w:pPr>
              <w:spacing w:after="0"/>
              <w:rPr>
                <w:sz w:val="14"/>
                <w:szCs w:val="14"/>
                <w:color w:val="auto"/>
              </w:rPr>
            </w:pPr>
          </w:p>
        </w:tc>
        <w:tc>
          <w:tcPr>
            <w:tcW w:w="7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3"/>
              </w:rPr>
              <w:t>Reductions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3"/>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4"/>
              </w:rPr>
              <w:t>(Depreciation)</w:t>
            </w:r>
          </w:p>
        </w:tc>
        <w:tc>
          <w:tcPr>
            <w:tcW w:w="14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shd w:val="clear" w:color="auto" w:fill="CCEC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AKW Holdings Limited</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60,798</w:t>
            </w:r>
          </w:p>
        </w:tc>
        <w:tc>
          <w:tcPr>
            <w:tcW w:w="3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(3,755)</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57,043</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1,592</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CECFF"/>
          </w:tcPr>
          <w:p>
            <w:pPr>
              <w:spacing w:after="0" w:line="135" w:lineRule="exact"/>
              <w:rPr>
                <w:sz w:val="20"/>
                <w:szCs w:val="20"/>
                <w:color w:val="auto"/>
              </w:rPr>
            </w:pPr>
            <w:r>
              <w:rPr>
                <w:rFonts w:ascii="Times New Roman" w:cs="Times New Roman" w:eastAsia="Times New Roman" w:hAnsi="Times New Roman"/>
                <w:sz w:val="13"/>
                <w:szCs w:val="13"/>
                <w:color w:val="auto"/>
              </w:rPr>
              <w:t>Flock Financial, LLC</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48,839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00" w:type="dxa"/>
            <w:vAlign w:val="bottom"/>
            <w:shd w:val="clear" w:color="auto" w:fill="CCECFF"/>
          </w:tcPr>
          <w:p>
            <w:pPr>
              <w:ind w:left="7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49,662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823</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JF Intermediate, LLC</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(JF Holdings Corp.)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90,858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126,284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40" w:type="dxa"/>
            <w:vAlign w:val="bottom"/>
            <w:shd w:val="clear" w:color="auto" w:fill="CCECFF"/>
          </w:tcPr>
          <w:p>
            <w:pPr>
              <w:spacing w:after="0" w:line="135" w:lineRule="exact"/>
              <w:rPr>
                <w:sz w:val="20"/>
                <w:szCs w:val="20"/>
                <w:color w:val="auto"/>
              </w:rPr>
            </w:pPr>
            <w:r>
              <w:rPr>
                <w:rFonts w:ascii="Times New Roman" w:cs="Times New Roman" w:eastAsia="Times New Roman" w:hAnsi="Times New Roman"/>
                <w:sz w:val="12"/>
                <w:szCs w:val="12"/>
                <w:color w:val="auto"/>
              </w:rPr>
              <w:t xml:space="preserve">PennantPark Senior Loan Fund, LLC </w:t>
            </w:r>
            <w:r>
              <w:rPr>
                <w:rFonts w:ascii="Times New Roman" w:cs="Times New Roman" w:eastAsia="Times New Roman" w:hAnsi="Times New Roman"/>
                <w:sz w:val="15"/>
                <w:szCs w:val="15"/>
                <w:color w:val="auto"/>
                <w:vertAlign w:val="superscript"/>
              </w:rPr>
              <w:t>(2)</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183,809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00" w:type="dxa"/>
            <w:vAlign w:val="bottom"/>
            <w:shd w:val="clear" w:color="auto" w:fill="CCECFF"/>
          </w:tcPr>
          <w:p>
            <w:pPr>
              <w:ind w:left="7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120" w:type="dxa"/>
            <w:vAlign w:val="bottom"/>
            <w:gridSpan w:val="2"/>
            <w:shd w:val="clear" w:color="auto" w:fill="CCEC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(1,843)</w:t>
            </w:r>
          </w:p>
        </w:tc>
        <w:tc>
          <w:tcPr>
            <w:tcW w:w="14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4,235</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Controlled Affiliates</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384,304</w:t>
            </w:r>
          </w:p>
        </w:tc>
        <w:tc>
          <w:tcPr>
            <w:tcW w:w="36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27,122</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(125)</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29,904</w:t>
            </w:r>
          </w:p>
        </w:tc>
        <w:tc>
          <w:tcPr>
            <w:tcW w:w="2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441,205</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7,255</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823</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40" w:type="dxa"/>
            <w:vAlign w:val="bottom"/>
            <w:shd w:val="clear" w:color="auto" w:fill="CCEC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Cascade Environmental Holdings, LLC</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29,262</w:t>
            </w:r>
          </w:p>
        </w:tc>
        <w:tc>
          <w:tcPr>
            <w:tcW w:w="3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(19,945)</w:t>
            </w:r>
          </w:p>
        </w:tc>
        <w:tc>
          <w:tcPr>
            <w:tcW w:w="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9,317</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04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2"/>
                <w:szCs w:val="12"/>
                <w:color w:val="auto"/>
              </w:rPr>
              <w:t>Walker Edison Furniture Company</w:t>
            </w:r>
          </w:p>
        </w:tc>
        <w:tc>
          <w:tcPr>
            <w:tcW w:w="1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2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24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900" w:type="dxa"/>
            <w:vAlign w:val="bottom"/>
            <w:vMerge w:val="restart"/>
            <w:shd w:val="clear" w:color="auto" w:fill="CCECFF"/>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12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(2,821)</w:t>
            </w:r>
          </w:p>
        </w:tc>
        <w:tc>
          <w:tcPr>
            <w:tcW w:w="140" w:type="dxa"/>
            <w:vAlign w:val="bottom"/>
            <w:shd w:val="clear" w:color="auto" w:fill="CCECFF"/>
          </w:tcPr>
          <w:p>
            <w:pPr>
              <w:spacing w:after="0"/>
              <w:rPr>
                <w:sz w:val="9"/>
                <w:szCs w:val="9"/>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60" w:type="dxa"/>
            <w:vAlign w:val="bottom"/>
            <w:gridSpan w:val="2"/>
            <w:vMerge w:val="restart"/>
            <w:shd w:val="clear" w:color="auto" w:fill="CCEC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40" w:type="dxa"/>
            <w:vAlign w:val="bottom"/>
            <w:shd w:val="clear" w:color="auto" w:fill="CCECFF"/>
          </w:tcPr>
          <w:p>
            <w:pPr>
              <w:spacing w:after="0" w:line="148"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16"/>
                <w:szCs w:val="16"/>
                <w:color w:val="auto"/>
                <w:vertAlign w:val="superscript"/>
              </w:rPr>
              <w:t>(4)</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40" w:type="dxa"/>
            <w:vAlign w:val="bottom"/>
            <w:vMerge w:val="continue"/>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80" w:type="dxa"/>
            <w:vAlign w:val="bottom"/>
            <w:vMerge w:val="continue"/>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vMerge w:val="continue"/>
            <w:shd w:val="clear" w:color="auto" w:fill="CCECFF"/>
          </w:tcPr>
          <w:p>
            <w:pPr>
              <w:spacing w:after="0"/>
              <w:rPr>
                <w:sz w:val="12"/>
                <w:szCs w:val="12"/>
                <w:color w:val="auto"/>
              </w:rPr>
            </w:pPr>
          </w:p>
        </w:tc>
        <w:tc>
          <w:tcPr>
            <w:tcW w:w="14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0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20" w:type="dxa"/>
            <w:vAlign w:val="bottom"/>
            <w:gridSpan w:val="2"/>
            <w:vMerge w:val="continue"/>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0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gridSpan w:val="2"/>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4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rPr>
              <w:t>Total Non-Controlled Affiliates</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33,423</w:t>
            </w:r>
          </w:p>
        </w:tc>
        <w:tc>
          <w:tcPr>
            <w:tcW w:w="360" w:type="dxa"/>
            <w:vAlign w:val="bottom"/>
            <w:gridSpan w:val="2"/>
          </w:tcPr>
          <w:p>
            <w:pPr>
              <w:jc w:val="right"/>
              <w:ind w:right="2"/>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375</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ind w:left="7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(22,766)</w:t>
            </w: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11,032</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040" w:type="dxa"/>
            <w:vAlign w:val="bottom"/>
            <w:shd w:val="clear" w:color="auto" w:fill="CCEC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Controlled and</w:t>
            </w:r>
          </w:p>
        </w:tc>
        <w:tc>
          <w:tcPr>
            <w:tcW w:w="12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417,727</w:t>
            </w:r>
          </w:p>
        </w:tc>
        <w:tc>
          <w:tcPr>
            <w:tcW w:w="240" w:type="dxa"/>
            <w:vAlign w:val="bottom"/>
            <w:shd w:val="clear" w:color="auto" w:fill="CCECFF"/>
          </w:tcPr>
          <w:p>
            <w:pPr>
              <w:spacing w:after="0"/>
              <w:rPr>
                <w:sz w:val="9"/>
                <w:szCs w:val="9"/>
                <w:color w:val="auto"/>
              </w:rPr>
            </w:pPr>
          </w:p>
        </w:tc>
        <w:tc>
          <w:tcPr>
            <w:tcW w:w="120" w:type="dxa"/>
            <w:vAlign w:val="bottom"/>
            <w:tcBorders>
              <w:top w:val="single" w:sz="8" w:color="auto"/>
            </w:tcBorders>
            <w:vMerge w:val="restart"/>
            <w:shd w:val="clear" w:color="auto" w:fill="CCECFF"/>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27,497</w:t>
            </w:r>
          </w:p>
        </w:tc>
        <w:tc>
          <w:tcPr>
            <w:tcW w:w="24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vMerge w:val="restart"/>
            <w:shd w:val="clear" w:color="auto" w:fill="CCECFF"/>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CFF"/>
          </w:tcPr>
          <w:p>
            <w:pPr>
              <w:spacing w:after="0"/>
              <w:rPr>
                <w:sz w:val="9"/>
                <w:szCs w:val="9"/>
                <w:color w:val="auto"/>
              </w:rPr>
            </w:pPr>
          </w:p>
        </w:tc>
        <w:tc>
          <w:tcPr>
            <w:tcW w:w="1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7,138</w:t>
            </w:r>
          </w:p>
        </w:tc>
        <w:tc>
          <w:tcPr>
            <w:tcW w:w="220" w:type="dxa"/>
            <w:vAlign w:val="bottom"/>
            <w:shd w:val="clear" w:color="auto" w:fill="CCECFF"/>
          </w:tcPr>
          <w:p>
            <w:pPr>
              <w:spacing w:after="0"/>
              <w:rPr>
                <w:sz w:val="9"/>
                <w:szCs w:val="9"/>
                <w:color w:val="auto"/>
              </w:rPr>
            </w:pPr>
          </w:p>
        </w:tc>
        <w:tc>
          <w:tcPr>
            <w:tcW w:w="140" w:type="dxa"/>
            <w:vAlign w:val="bottom"/>
            <w:tcBorders>
              <w:top w:val="single" w:sz="8" w:color="auto"/>
            </w:tcBorders>
            <w:vMerge w:val="restart"/>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452,237</w:t>
            </w:r>
          </w:p>
        </w:tc>
        <w:tc>
          <w:tcPr>
            <w:tcW w:w="220" w:type="dxa"/>
            <w:vAlign w:val="bottom"/>
            <w:shd w:val="clear" w:color="auto" w:fill="CCECFF"/>
          </w:tcPr>
          <w:p>
            <w:pPr>
              <w:spacing w:after="0"/>
              <w:rPr>
                <w:sz w:val="9"/>
                <w:szCs w:val="9"/>
                <w:color w:val="auto"/>
              </w:rPr>
            </w:pPr>
          </w:p>
        </w:tc>
        <w:tc>
          <w:tcPr>
            <w:tcW w:w="1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22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220" w:type="dxa"/>
            <w:vAlign w:val="bottom"/>
            <w:shd w:val="clear" w:color="auto" w:fill="CCECFF"/>
          </w:tcPr>
          <w:p>
            <w:pPr>
              <w:spacing w:after="0"/>
              <w:rPr>
                <w:sz w:val="9"/>
                <w:szCs w:val="9"/>
                <w:color w:val="auto"/>
              </w:rPr>
            </w:pPr>
          </w:p>
        </w:tc>
        <w:tc>
          <w:tcPr>
            <w:tcW w:w="8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4,851</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40" w:type="dxa"/>
            <w:vAlign w:val="bottom"/>
            <w:tcBorders>
              <w:bottom w:val="single" w:sz="8" w:color="CCECFF"/>
            </w:tcBorders>
            <w:shd w:val="clear" w:color="auto" w:fill="CCECFF"/>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940" w:type="dxa"/>
            <w:vAlign w:val="bottom"/>
            <w:tcBorders>
              <w:bottom w:val="single" w:sz="8" w:color="auto"/>
            </w:tcBorders>
            <w:vMerge w:val="continue"/>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vMerge w:val="continue"/>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720" w:type="dxa"/>
            <w:vAlign w:val="bottom"/>
            <w:tcBorders>
              <w:bottom w:val="single" w:sz="8" w:color="auto"/>
            </w:tcBorders>
            <w:vMerge w:val="continue"/>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vMerge w:val="continue"/>
            <w:shd w:val="clear" w:color="auto" w:fill="CCECFF"/>
          </w:tcPr>
          <w:p>
            <w:pPr>
              <w:spacing w:after="0"/>
              <w:rPr>
                <w:sz w:val="13"/>
                <w:szCs w:val="13"/>
                <w:color w:val="auto"/>
              </w:rPr>
            </w:pPr>
          </w:p>
        </w:tc>
        <w:tc>
          <w:tcPr>
            <w:tcW w:w="900" w:type="dxa"/>
            <w:vAlign w:val="bottom"/>
            <w:tcBorders>
              <w:bottom w:val="single" w:sz="8" w:color="auto"/>
            </w:tcBorders>
            <w:vMerge w:val="continue"/>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vMerge w:val="continue"/>
            <w:shd w:val="clear" w:color="auto" w:fill="CCECFF"/>
          </w:tcPr>
          <w:p>
            <w:pPr>
              <w:spacing w:after="0"/>
              <w:rPr>
                <w:sz w:val="13"/>
                <w:szCs w:val="13"/>
                <w:color w:val="auto"/>
              </w:rPr>
            </w:pPr>
          </w:p>
        </w:tc>
        <w:tc>
          <w:tcPr>
            <w:tcW w:w="90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vMerge w:val="continue"/>
            <w:shd w:val="clear" w:color="auto" w:fill="CCECFF"/>
          </w:tcPr>
          <w:p>
            <w:pPr>
              <w:spacing w:after="0"/>
              <w:rPr>
                <w:sz w:val="13"/>
                <w:szCs w:val="13"/>
                <w:color w:val="auto"/>
              </w:rPr>
            </w:pPr>
          </w:p>
        </w:tc>
        <w:tc>
          <w:tcPr>
            <w:tcW w:w="62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vMerge w:val="continue"/>
            <w:shd w:val="clear" w:color="auto" w:fill="CCECFF"/>
          </w:tcPr>
          <w:p>
            <w:pPr>
              <w:spacing w:after="0"/>
              <w:rPr>
                <w:sz w:val="13"/>
                <w:szCs w:val="13"/>
                <w:color w:val="auto"/>
              </w:rPr>
            </w:pPr>
          </w:p>
        </w:tc>
        <w:tc>
          <w:tcPr>
            <w:tcW w:w="58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500" w:type="dxa"/>
            <w:vAlign w:val="bottom"/>
            <w:tcBorders>
              <w:bottom w:val="single" w:sz="8" w:color="auto"/>
            </w:tcBorders>
            <w:vMerge w:val="continue"/>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auto"/>
            </w:tcBorders>
            <w:vMerge w:val="continue"/>
            <w:shd w:val="clear" w:color="auto" w:fill="CCECFF"/>
          </w:tcPr>
          <w:p>
            <w:pPr>
              <w:spacing w:after="0"/>
              <w:rPr>
                <w:sz w:val="13"/>
                <w:szCs w:val="13"/>
                <w:color w:val="auto"/>
              </w:rPr>
            </w:pPr>
          </w:p>
        </w:tc>
        <w:tc>
          <w:tcPr>
            <w:tcW w:w="560" w:type="dxa"/>
            <w:vAlign w:val="bottom"/>
            <w:tcBorders>
              <w:bottom w:val="single" w:sz="8" w:color="auto"/>
            </w:tcBorders>
            <w:vMerge w:val="continue"/>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-710565</wp:posOffset>
            </wp:positionV>
            <wp:extent cx="76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-710565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-710565</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-710565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-710565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-710565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-710565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-710565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-273685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-273685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-273685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-273685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-273685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-273685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-273685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-273685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-24765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-7620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-24765</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-7620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PIK.</w:t>
      </w:r>
    </w:p>
    <w:p>
      <w:pPr>
        <w:spacing w:after="0" w:line="7" w:lineRule="exact"/>
        <w:rPr>
          <w:rFonts w:ascii="Times New Roman" w:cs="Times New Roman" w:eastAsia="Times New Roman" w:hAnsi="Times New Roman"/>
          <w:sz w:val="11"/>
          <w:szCs w:val="11"/>
          <w:color w:val="auto"/>
        </w:rPr>
      </w:pPr>
    </w:p>
    <w:p>
      <w:pPr>
        <w:ind w:left="380" w:right="120" w:hanging="372"/>
        <w:spacing w:after="0" w:line="234" w:lineRule="auto"/>
        <w:tabs>
          <w:tab w:leader="none" w:pos="38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PSLF’s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 ($ in thousands, except per share data):</w:t>
      </w:r>
    </w:p>
    <w:p>
      <w:pPr>
        <w:spacing w:after="0" w:line="134"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7620</wp:posOffset>
            </wp:positionV>
            <wp:extent cx="228028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jc w:val="both"/>
        <w:ind w:left="818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634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4"/>
                <w:szCs w:val="14"/>
                <w:color w:val="auto"/>
              </w:rPr>
              <w:t>Numerator for net increase (decrease) in net assets resulting from operations</w:t>
            </w:r>
          </w:p>
        </w:tc>
        <w:tc>
          <w:tcPr>
            <w:tcW w:w="118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368"/>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4"/>
                <w:szCs w:val="14"/>
                <w:color w:val="auto"/>
              </w:rPr>
              <w:t>8,955</w:t>
            </w:r>
          </w:p>
        </w:tc>
        <w:tc>
          <w:tcPr>
            <w:tcW w:w="840" w:type="dxa"/>
            <w:vAlign w:val="bottom"/>
            <w:gridSpan w:val="2"/>
            <w:shd w:val="clear" w:color="auto" w:fill="CCECFF"/>
          </w:tcPr>
          <w:p>
            <w:pPr>
              <w:jc w:val="right"/>
              <w:ind w:right="4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4"/>
                <w:szCs w:val="14"/>
                <w:color w:val="auto"/>
              </w:rPr>
              <w:t>16,084</w:t>
            </w:r>
          </w:p>
        </w:tc>
        <w:tc>
          <w:tcPr>
            <w:tcW w:w="120" w:type="dxa"/>
            <w:vAlign w:val="bottom"/>
            <w:shd w:val="clear" w:color="auto" w:fill="CCECFF"/>
          </w:tcPr>
          <w:p>
            <w:pPr>
              <w:spacing w:after="0"/>
              <w:rPr>
                <w:sz w:val="10"/>
                <w:szCs w:val="10"/>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65,296,094</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65,296,094</w:t>
            </w:r>
          </w:p>
        </w:tc>
        <w:tc>
          <w:tcPr>
            <w:tcW w:w="120" w:type="dxa"/>
            <w:vAlign w:val="bottom"/>
          </w:tcPr>
          <w:p>
            <w:pPr>
              <w:spacing w:after="0"/>
              <w:rPr>
                <w:sz w:val="12"/>
                <w:szCs w:val="12"/>
                <w:color w:val="auto"/>
              </w:rPr>
            </w:pPr>
          </w:p>
        </w:tc>
      </w:tr>
      <w:tr>
        <w:trPr>
          <w:trHeight w:val="148"/>
        </w:trPr>
        <w:tc>
          <w:tcPr>
            <w:tcW w:w="634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 increase (decrease) in net assets per share resulting from operations</w:t>
            </w:r>
          </w:p>
        </w:tc>
        <w:tc>
          <w:tcPr>
            <w:tcW w:w="1700" w:type="dxa"/>
            <w:vAlign w:val="bottom"/>
            <w:gridSpan w:val="2"/>
            <w:shd w:val="clear" w:color="auto" w:fill="CCECFF"/>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840" w:type="dxa"/>
            <w:vAlign w:val="bottom"/>
            <w:gridSpan w:val="2"/>
            <w:shd w:val="clear" w:color="auto" w:fill="CCEC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20" w:type="dxa"/>
            <w:vAlign w:val="bottom"/>
            <w:shd w:val="clear" w:color="auto" w:fill="CCECFF"/>
          </w:tcPr>
          <w:p>
            <w:pPr>
              <w:spacing w:after="0"/>
              <w:rPr>
                <w:sz w:val="12"/>
                <w:szCs w:val="12"/>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38"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and for other general corporate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2025, cash and cash equivalents consisted of money market funds, and non-money market funds in the amounts of $17.7 million and $28.2 million. As of September 30, 2025, cash and cash equivalents consisted of money market funds, and non-money market funds in the amounts of $30.7 million and $21.1 million at fair value,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share and per share data):</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2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20" w:type="dxa"/>
            <w:vAlign w:val="bottom"/>
            <w:shd w:val="clear" w:color="auto" w:fill="CCECFF"/>
          </w:tcPr>
          <w:p>
            <w:pPr>
              <w:spacing w:after="0"/>
              <w:rPr>
                <w:sz w:val="12"/>
                <w:szCs w:val="12"/>
                <w:color w:val="auto"/>
              </w:rPr>
            </w:pPr>
          </w:p>
        </w:tc>
        <w:tc>
          <w:tcPr>
            <w:tcW w:w="1180" w:type="dxa"/>
            <w:vAlign w:val="bottom"/>
            <w:tcBorders>
              <w:top w:val="single" w:sz="8" w:color="auto"/>
            </w:tcBorders>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220" w:type="dxa"/>
            <w:vAlign w:val="bottom"/>
            <w:tcBorders>
              <w:top w:val="single" w:sz="8" w:color="auto"/>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7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200" w:type="dxa"/>
            <w:vAlign w:val="bottom"/>
            <w:gridSpan w:val="2"/>
          </w:tcPr>
          <w:p>
            <w:pPr>
              <w:jc w:val="right"/>
              <w:ind w:right="1091"/>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7.11</w:t>
            </w:r>
          </w:p>
        </w:tc>
        <w:tc>
          <w:tcPr>
            <w:tcW w:w="480" w:type="dxa"/>
            <w:vAlign w:val="bottom"/>
          </w:tcPr>
          <w:p>
            <w:pPr>
              <w:spacing w:after="0"/>
              <w:rPr>
                <w:sz w:val="10"/>
                <w:szCs w:val="10"/>
                <w:color w:val="auto"/>
              </w:rPr>
            </w:pPr>
          </w:p>
        </w:tc>
        <w:tc>
          <w:tcPr>
            <w:tcW w:w="1220" w:type="dxa"/>
            <w:vAlign w:val="bottom"/>
          </w:tcPr>
          <w:p>
            <w:pPr>
              <w:jc w:val="right"/>
              <w:ind w:right="1102"/>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line="162" w:lineRule="exact"/>
              <w:rPr>
                <w:sz w:val="20"/>
                <w:szCs w:val="20"/>
                <w:color w:val="auto"/>
              </w:rPr>
            </w:pPr>
            <w:r>
              <w:rPr>
                <w:rFonts w:ascii="Times New Roman" w:cs="Times New Roman" w:eastAsia="Times New Roman" w:hAnsi="Times New Roman"/>
                <w:sz w:val="14"/>
                <w:szCs w:val="14"/>
                <w:color w:val="auto"/>
              </w:rPr>
              <w:t xml:space="preserve">Net increase (decrease) in net assets resulting from operations </w:t>
            </w:r>
            <w:r>
              <w:rPr>
                <w:rFonts w:ascii="Times New Roman" w:cs="Times New Roman" w:eastAsia="Times New Roman" w:hAnsi="Times New Roman"/>
                <w:sz w:val="18"/>
                <w:szCs w:val="18"/>
                <w:color w:val="auto"/>
                <w:vertAlign w:val="superscript"/>
              </w:rPr>
              <w:t>(1)</w:t>
            </w: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0.14</w:t>
            </w:r>
          </w:p>
        </w:tc>
        <w:tc>
          <w:tcPr>
            <w:tcW w:w="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0.25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7"/>
                <w:szCs w:val="17"/>
                <w:color w:val="auto"/>
                <w:vertAlign w:val="superscript"/>
              </w:rPr>
              <w:t>(1), (2)</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122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line="189" w:lineRule="exact"/>
              <w:rPr>
                <w:sz w:val="20"/>
                <w:szCs w:val="20"/>
                <w:color w:val="auto"/>
              </w:rPr>
            </w:pPr>
            <w:r>
              <w:rPr>
                <w:rFonts w:ascii="Times New Roman" w:cs="Times New Roman" w:eastAsia="Times New Roman" w:hAnsi="Times New Roman"/>
                <w:sz w:val="14"/>
                <w:szCs w:val="14"/>
                <w:color w:val="auto"/>
              </w:rPr>
              <w:t xml:space="preserve">Net asset value, end of period </w:t>
            </w:r>
            <w:r>
              <w:rPr>
                <w:rFonts w:ascii="Times New Roman" w:cs="Times New Roman" w:eastAsia="Times New Roman" w:hAnsi="Times New Roman"/>
                <w:sz w:val="19"/>
                <w:szCs w:val="19"/>
                <w:color w:val="auto"/>
                <w:vertAlign w:val="superscript"/>
              </w:rPr>
              <w:t>(8)</w:t>
            </w:r>
          </w:p>
        </w:tc>
        <w:tc>
          <w:tcPr>
            <w:tcW w:w="20" w:type="dxa"/>
            <w:vAlign w:val="bottom"/>
            <w:vMerge w:val="restart"/>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180" w:type="dxa"/>
            <w:vAlign w:val="bottom"/>
            <w:tcBorders>
              <w:bottom w:val="single" w:sz="8" w:color="auto"/>
            </w:tcBorders>
          </w:tcPr>
          <w:p>
            <w:pPr>
              <w:jc w:val="right"/>
              <w:ind w:right="1091"/>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w:t>
            </w:r>
          </w:p>
        </w:tc>
        <w:tc>
          <w:tcPr>
            <w:tcW w:w="480" w:type="dxa"/>
            <w:vAlign w:val="bottom"/>
          </w:tcPr>
          <w:p>
            <w:pPr>
              <w:spacing w:after="0"/>
              <w:rPr>
                <w:sz w:val="12"/>
                <w:szCs w:val="12"/>
                <w:color w:val="auto"/>
              </w:rPr>
            </w:pPr>
          </w:p>
        </w:tc>
        <w:tc>
          <w:tcPr>
            <w:tcW w:w="1220" w:type="dxa"/>
            <w:vAlign w:val="bottom"/>
            <w:tcBorders>
              <w:bottom w:val="single" w:sz="8" w:color="auto"/>
            </w:tcBorders>
          </w:tcPr>
          <w:p>
            <w:pPr>
              <w:jc w:val="right"/>
              <w:ind w:right="110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 share market value, end of period</w:t>
            </w: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00" w:type="dxa"/>
            <w:vAlign w:val="bottom"/>
            <w:vMerge w:val="continue"/>
          </w:tcPr>
          <w:p>
            <w:pPr>
              <w:spacing w:after="0"/>
              <w:rPr>
                <w:sz w:val="11"/>
                <w:szCs w:val="11"/>
                <w:color w:val="auto"/>
              </w:rPr>
            </w:pPr>
          </w:p>
        </w:tc>
        <w:tc>
          <w:tcPr>
            <w:tcW w:w="1200" w:type="dxa"/>
            <w:vAlign w:val="bottom"/>
            <w:gridSpan w:val="2"/>
          </w:tcPr>
          <w:p>
            <w:pPr>
              <w:jc w:val="right"/>
              <w:ind w:right="109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5.96</w:t>
            </w:r>
          </w:p>
        </w:tc>
        <w:tc>
          <w:tcPr>
            <w:tcW w:w="480" w:type="dxa"/>
            <w:vAlign w:val="bottom"/>
          </w:tcPr>
          <w:p>
            <w:pPr>
              <w:spacing w:after="0"/>
              <w:rPr>
                <w:sz w:val="11"/>
                <w:szCs w:val="11"/>
                <w:color w:val="auto"/>
              </w:rPr>
            </w:pPr>
          </w:p>
        </w:tc>
        <w:tc>
          <w:tcPr>
            <w:tcW w:w="1220" w:type="dxa"/>
            <w:vAlign w:val="bottom"/>
          </w:tcPr>
          <w:p>
            <w:pPr>
              <w:jc w:val="right"/>
              <w:ind w:right="110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line="146" w:lineRule="exact"/>
              <w:rPr>
                <w:sz w:val="20"/>
                <w:szCs w:val="20"/>
                <w:color w:val="auto"/>
              </w:rPr>
            </w:pPr>
            <w:r>
              <w:rPr>
                <w:rFonts w:ascii="Times New Roman" w:cs="Times New Roman" w:eastAsia="Times New Roman" w:hAnsi="Times New Roman"/>
                <w:sz w:val="12"/>
                <w:szCs w:val="12"/>
                <w:color w:val="auto"/>
              </w:rPr>
              <w:t>Total return</w:t>
            </w:r>
            <w:r>
              <w:rPr>
                <w:rFonts w:ascii="Times New Roman" w:cs="Times New Roman" w:eastAsia="Times New Roman" w:hAnsi="Times New Roman"/>
                <w:sz w:val="16"/>
                <w:szCs w:val="16"/>
                <w:color w:val="auto"/>
                <w:vertAlign w:val="superscript"/>
              </w:rPr>
              <w:t>* (3)</w:t>
            </w: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40" w:type="dxa"/>
            <w:vAlign w:val="bottom"/>
            <w:gridSpan w:val="2"/>
          </w:tcPr>
          <w:p>
            <w:pPr>
              <w:jc w:val="right"/>
              <w:ind w:right="320"/>
              <w:spacing w:after="0" w:line="106" w:lineRule="exact"/>
              <w:rPr>
                <w:sz w:val="20"/>
                <w:szCs w:val="20"/>
                <w:color w:val="auto"/>
              </w:rPr>
            </w:pPr>
            <w:r>
              <w:rPr>
                <w:rFonts w:ascii="Times New Roman" w:cs="Times New Roman" w:eastAsia="Times New Roman" w:hAnsi="Times New Roman"/>
                <w:sz w:val="12"/>
                <w:szCs w:val="12"/>
                <w:color w:val="auto"/>
              </w:rPr>
              <w:t>(7.65)%</w:t>
            </w:r>
          </w:p>
        </w:tc>
        <w:tc>
          <w:tcPr>
            <w:tcW w:w="1220" w:type="dxa"/>
            <w:vAlign w:val="bottom"/>
          </w:tcPr>
          <w:p>
            <w:pPr>
              <w:spacing w:after="0"/>
              <w:rPr>
                <w:sz w:val="9"/>
                <w:szCs w:val="9"/>
                <w:color w:val="auto"/>
              </w:rPr>
            </w:pPr>
          </w:p>
        </w:tc>
        <w:tc>
          <w:tcPr>
            <w:tcW w:w="880" w:type="dxa"/>
            <w:vAlign w:val="bottom"/>
            <w:gridSpan w:val="2"/>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4.86%</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65,296,094</w:t>
            </w:r>
          </w:p>
        </w:tc>
        <w:tc>
          <w:tcPr>
            <w:tcW w:w="4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65,296,094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7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3"/>
                <w:szCs w:val="13"/>
                <w:b w:val="1"/>
                <w:bCs w:val="1"/>
                <w:color w:val="auto"/>
              </w:rPr>
              <w:t xml:space="preserve"> / Supplemental Data:</w:t>
            </w: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7"/>
                <w:szCs w:val="17"/>
                <w:color w:val="auto"/>
                <w:vertAlign w:val="superscript"/>
              </w:rPr>
              <w:t>(4)</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122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149"/>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7"/>
                <w:szCs w:val="17"/>
                <w:color w:val="auto"/>
                <w:vertAlign w:val="superscript"/>
              </w:rPr>
              <w:t>(5)</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22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line="162"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8"/>
                <w:szCs w:val="18"/>
                <w:color w:val="auto"/>
                <w:vertAlign w:val="superscript"/>
              </w:rPr>
              <w:t>(5)</w:t>
            </w:r>
          </w:p>
        </w:tc>
        <w:tc>
          <w:tcPr>
            <w:tcW w:w="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gridSpan w:val="2"/>
          </w:tcPr>
          <w:p>
            <w:pPr>
              <w:jc w:val="right"/>
              <w:ind w:right="360"/>
              <w:spacing w:after="0" w:line="115" w:lineRule="exact"/>
              <w:rPr>
                <w:sz w:val="20"/>
                <w:szCs w:val="20"/>
                <w:color w:val="auto"/>
              </w:rPr>
            </w:pPr>
            <w:r>
              <w:rPr>
                <w:rFonts w:ascii="Times New Roman" w:cs="Times New Roman" w:eastAsia="Times New Roman" w:hAnsi="Times New Roman"/>
                <w:sz w:val="13"/>
                <w:szCs w:val="13"/>
                <w:color w:val="auto"/>
              </w:rPr>
              <w:t>15.05%</w:t>
            </w:r>
          </w:p>
        </w:tc>
        <w:tc>
          <w:tcPr>
            <w:tcW w:w="1220" w:type="dxa"/>
            <w:vAlign w:val="bottom"/>
          </w:tcPr>
          <w:p>
            <w:pPr>
              <w:spacing w:after="0"/>
              <w:rPr>
                <w:sz w:val="10"/>
                <w:szCs w:val="10"/>
                <w:color w:val="auto"/>
              </w:rPr>
            </w:pPr>
          </w:p>
        </w:tc>
        <w:tc>
          <w:tcPr>
            <w:tcW w:w="88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17.22%</w:t>
            </w:r>
          </w:p>
        </w:tc>
        <w:tc>
          <w:tcPr>
            <w:tcW w:w="0" w:type="dxa"/>
            <w:vAlign w:val="bottom"/>
          </w:tcPr>
          <w:p>
            <w:pPr>
              <w:spacing w:after="0"/>
              <w:rPr>
                <w:sz w:val="1"/>
                <w:szCs w:val="1"/>
                <w:color w:val="auto"/>
              </w:rPr>
            </w:pPr>
          </w:p>
        </w:tc>
      </w:tr>
      <w:tr>
        <w:trPr>
          <w:trHeight w:val="153"/>
        </w:trPr>
        <w:tc>
          <w:tcPr>
            <w:tcW w:w="670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7"/>
                <w:szCs w:val="17"/>
                <w:color w:val="auto"/>
                <w:vertAlign w:val="superscript"/>
              </w:rPr>
              <w:t>(5)</w:t>
            </w: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gridSpan w:val="2"/>
          </w:tcPr>
          <w:p>
            <w:pPr>
              <w:jc w:val="right"/>
              <w:ind w:right="360"/>
              <w:spacing w:after="0" w:line="153" w:lineRule="exact"/>
              <w:rPr>
                <w:sz w:val="20"/>
                <w:szCs w:val="20"/>
                <w:color w:val="auto"/>
              </w:rPr>
            </w:pPr>
            <w:r>
              <w:rPr>
                <w:rFonts w:ascii="Times New Roman" w:cs="Times New Roman" w:eastAsia="Times New Roman" w:hAnsi="Times New Roman"/>
                <w:sz w:val="14"/>
                <w:szCs w:val="14"/>
                <w:color w:val="auto"/>
              </w:rPr>
              <w:t>8.59%</w:t>
            </w:r>
          </w:p>
        </w:tc>
        <w:tc>
          <w:tcPr>
            <w:tcW w:w="1220" w:type="dxa"/>
            <w:vAlign w:val="bottom"/>
          </w:tcPr>
          <w:p>
            <w:pPr>
              <w:spacing w:after="0"/>
              <w:rPr>
                <w:sz w:val="13"/>
                <w:szCs w:val="13"/>
                <w:color w:val="auto"/>
              </w:rPr>
            </w:pPr>
          </w:p>
        </w:tc>
        <w:tc>
          <w:tcPr>
            <w:tcW w:w="880" w:type="dxa"/>
            <w:vAlign w:val="bottom"/>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200" w:type="dxa"/>
            <w:vAlign w:val="bottom"/>
            <w:gridSpan w:val="2"/>
          </w:tcPr>
          <w:p>
            <w:pPr>
              <w:jc w:val="right"/>
              <w:ind w:right="109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457,234</w:t>
            </w:r>
          </w:p>
        </w:tc>
        <w:tc>
          <w:tcPr>
            <w:tcW w:w="480" w:type="dxa"/>
            <w:vAlign w:val="bottom"/>
          </w:tcPr>
          <w:p>
            <w:pPr>
              <w:spacing w:after="0"/>
              <w:rPr>
                <w:sz w:val="14"/>
                <w:szCs w:val="14"/>
                <w:color w:val="auto"/>
              </w:rPr>
            </w:pPr>
          </w:p>
        </w:tc>
        <w:tc>
          <w:tcPr>
            <w:tcW w:w="1220" w:type="dxa"/>
            <w:vAlign w:val="bottom"/>
          </w:tcPr>
          <w:p>
            <w:pPr>
              <w:jc w:val="right"/>
              <w:ind w:right="110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line="135" w:lineRule="exact"/>
              <w:rPr>
                <w:sz w:val="20"/>
                <w:szCs w:val="20"/>
                <w:color w:val="auto"/>
              </w:rPr>
            </w:pPr>
            <w:r>
              <w:rPr>
                <w:rFonts w:ascii="Times New Roman" w:cs="Times New Roman" w:eastAsia="Times New Roman" w:hAnsi="Times New Roman"/>
                <w:sz w:val="14"/>
                <w:szCs w:val="14"/>
                <w:color w:val="auto"/>
              </w:rPr>
              <w:t>Weighted average debt outstanding</w:t>
            </w: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700" w:type="dxa"/>
            <w:vAlign w:val="bottom"/>
            <w:vMerge w:val="continue"/>
          </w:tcPr>
          <w:p>
            <w:pPr>
              <w:spacing w:after="0"/>
              <w:rPr>
                <w:sz w:val="10"/>
                <w:szCs w:val="10"/>
                <w:color w:val="auto"/>
              </w:rPr>
            </w:pPr>
          </w:p>
        </w:tc>
        <w:tc>
          <w:tcPr>
            <w:tcW w:w="1200" w:type="dxa"/>
            <w:vAlign w:val="bottom"/>
            <w:gridSpan w:val="2"/>
          </w:tcPr>
          <w:p>
            <w:pPr>
              <w:jc w:val="right"/>
              <w:ind w:right="1091"/>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722,974</w:t>
            </w:r>
          </w:p>
        </w:tc>
        <w:tc>
          <w:tcPr>
            <w:tcW w:w="480" w:type="dxa"/>
            <w:vAlign w:val="bottom"/>
          </w:tcPr>
          <w:p>
            <w:pPr>
              <w:spacing w:after="0"/>
              <w:rPr>
                <w:sz w:val="10"/>
                <w:szCs w:val="10"/>
                <w:color w:val="auto"/>
              </w:rPr>
            </w:pPr>
          </w:p>
        </w:tc>
        <w:tc>
          <w:tcPr>
            <w:tcW w:w="1220" w:type="dxa"/>
            <w:vAlign w:val="bottom"/>
          </w:tcPr>
          <w:p>
            <w:pPr>
              <w:jc w:val="right"/>
              <w:ind w:right="110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753,927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line="162"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8"/>
                <w:szCs w:val="18"/>
                <w:color w:val="auto"/>
                <w:vertAlign w:val="superscript"/>
              </w:rPr>
              <w:t>(1)</w:t>
            </w:r>
          </w:p>
        </w:tc>
        <w:tc>
          <w:tcPr>
            <w:tcW w:w="12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700" w:type="dxa"/>
            <w:vAlign w:val="bottom"/>
            <w:vMerge w:val="continue"/>
          </w:tcPr>
          <w:p>
            <w:pPr>
              <w:spacing w:after="0"/>
              <w:rPr>
                <w:sz w:val="10"/>
                <w:szCs w:val="10"/>
                <w:color w:val="auto"/>
              </w:rPr>
            </w:pPr>
          </w:p>
        </w:tc>
        <w:tc>
          <w:tcPr>
            <w:tcW w:w="1200" w:type="dxa"/>
            <w:vAlign w:val="bottom"/>
            <w:gridSpan w:val="2"/>
          </w:tcPr>
          <w:p>
            <w:pPr>
              <w:jc w:val="right"/>
              <w:ind w:right="1091"/>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11.07</w:t>
            </w:r>
          </w:p>
        </w:tc>
        <w:tc>
          <w:tcPr>
            <w:tcW w:w="480" w:type="dxa"/>
            <w:vAlign w:val="bottom"/>
          </w:tcPr>
          <w:p>
            <w:pPr>
              <w:spacing w:after="0"/>
              <w:rPr>
                <w:sz w:val="10"/>
                <w:szCs w:val="10"/>
                <w:color w:val="auto"/>
              </w:rPr>
            </w:pPr>
          </w:p>
        </w:tc>
        <w:tc>
          <w:tcPr>
            <w:tcW w:w="1220" w:type="dxa"/>
            <w:vAlign w:val="bottom"/>
          </w:tcPr>
          <w:p>
            <w:pPr>
              <w:jc w:val="right"/>
              <w:ind w:right="110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11.55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7"/>
                <w:szCs w:val="17"/>
                <w:color w:val="auto"/>
                <w:vertAlign w:val="superscript"/>
              </w:rPr>
              <w:t>(6)</w:t>
            </w:r>
          </w:p>
        </w:tc>
        <w:tc>
          <w:tcPr>
            <w:tcW w:w="1200" w:type="dxa"/>
            <w:vAlign w:val="bottom"/>
            <w:gridSpan w:val="2"/>
          </w:tcPr>
          <w:p>
            <w:pPr>
              <w:jc w:val="right"/>
              <w:ind w:right="1091"/>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w:t>
            </w:r>
          </w:p>
        </w:tc>
        <w:tc>
          <w:tcPr>
            <w:tcW w:w="480" w:type="dxa"/>
            <w:vAlign w:val="bottom"/>
          </w:tcPr>
          <w:p>
            <w:pPr>
              <w:spacing w:after="0"/>
              <w:rPr>
                <w:sz w:val="12"/>
                <w:szCs w:val="12"/>
                <w:color w:val="auto"/>
              </w:rPr>
            </w:pPr>
          </w:p>
        </w:tc>
        <w:tc>
          <w:tcPr>
            <w:tcW w:w="1220" w:type="dxa"/>
            <w:vAlign w:val="bottom"/>
          </w:tcPr>
          <w:p>
            <w:pPr>
              <w:jc w:val="right"/>
              <w:ind w:right="110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6700" w:type="dxa"/>
            <w:vAlign w:val="bottom"/>
          </w:tcPr>
          <w:p>
            <w:pPr>
              <w:spacing w:after="0"/>
              <w:rPr>
                <w:sz w:val="20"/>
                <w:szCs w:val="20"/>
                <w:color w:val="auto"/>
              </w:rPr>
            </w:pPr>
            <w:r>
              <w:rPr>
                <w:rFonts w:ascii="Times New Roman" w:cs="Times New Roman" w:eastAsia="Times New Roman" w:hAnsi="Times New Roman"/>
                <w:sz w:val="14"/>
                <w:szCs w:val="14"/>
                <w:color w:val="auto"/>
              </w:rPr>
              <w:t>Portfolio turnover ratio</w:t>
            </w:r>
            <w:r>
              <w:rPr>
                <w:rFonts w:ascii="Times New Roman" w:cs="Times New Roman" w:eastAsia="Times New Roman" w:hAnsi="Times New Roman"/>
                <w:sz w:val="19"/>
                <w:szCs w:val="19"/>
                <w:color w:val="auto"/>
                <w:vertAlign w:val="superscript"/>
              </w:rPr>
              <w:t>* (7)</w:t>
            </w: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10.30%</w:t>
            </w:r>
          </w:p>
        </w:tc>
        <w:tc>
          <w:tcPr>
            <w:tcW w:w="1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-1848485</wp:posOffset>
            </wp:positionV>
            <wp:extent cx="7132320" cy="946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939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7132320" cy="946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-1017270</wp:posOffset>
            </wp:positionV>
            <wp:extent cx="7132320" cy="946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946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-1463040</wp:posOffset>
            </wp:positionV>
            <wp:extent cx="7132320" cy="1289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028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028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1" w:lineRule="exact"/>
        <w:rPr>
          <w:sz w:val="20"/>
          <w:szCs w:val="20"/>
          <w:color w:val="auto"/>
        </w:rPr>
      </w:pPr>
    </w:p>
    <w:p>
      <w:pPr>
        <w:ind w:left="80" w:hanging="72"/>
        <w:spacing w:after="0"/>
        <w:tabs>
          <w:tab w:leader="none" w:pos="80" w:val="left"/>
        </w:tabs>
        <w:numPr>
          <w:ilvl w:val="0"/>
          <w:numId w:val="2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Not annualized for periods less than one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**Re-occurring investment income and expenses included in these ratios are annualized for periods less than one year.</w:t>
      </w:r>
    </w:p>
    <w:p>
      <w:pPr>
        <w:spacing w:after="0" w:line="230" w:lineRule="auto"/>
        <w:rPr>
          <w:sz w:val="20"/>
          <w:szCs w:val="20"/>
          <w:color w:val="auto"/>
        </w:rPr>
      </w:pPr>
      <w:r>
        <w:rPr>
          <w:rFonts w:ascii="Times New Roman" w:cs="Times New Roman" w:eastAsia="Times New Roman" w:hAnsi="Times New Roman"/>
          <w:sz w:val="11"/>
          <w:szCs w:val="11"/>
          <w:color w:val="auto"/>
        </w:rPr>
        <w:t>***The expense and investment income ratios do not reflect the Company's proportionate share of income and expenses of PSLF and PTSF II.</w:t>
      </w: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Total expenses excluding debt-related costs.</w:t>
      </w: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the Truist Credit Facility amendment, debt issuance costs and excludes debt extinguishments cost, if any, (not annualized).</w:t>
      </w:r>
    </w:p>
    <w:p>
      <w:pPr>
        <w:ind w:left="380" w:right="380" w:hanging="372"/>
        <w:spacing w:after="0" w:line="202"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short-term U.S. Government Securities</w:t>
      </w:r>
    </w:p>
    <w:p>
      <w:pPr>
        <w:ind w:left="380" w:hanging="372"/>
        <w:spacing w:after="0" w:line="191"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three months ended December 31, 2025 does not foot due to rounding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7" w:name="page48"/>
    <w:bookmarkEnd w:id="47"/>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8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2025 and 2024, inclusive of the fee on the undrawn commitment and amendment costs on the Truist Credit Facility and amortized upfront fees on 2026 Notes and 2026 Notes-2, was 6.3% and 6.2%, respectively. As of December 31, 2025, in accordance with the 1940 Act, with certain limited exceptions, we are only allowed to borrow amounts such that we are in compliance with a 150% asset coverage ratio after such borrowing.</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December 31, 2025 and September 30, 2025, our asset coverage ratio, as computed in accordance with the 1940 Act, was 175% and 163%,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140"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As of December 31, 2025, we increased the availability under the multi-currency Truist Credit Facility for up to $535 million (increased from $500 million in December 2025), which may be further increased up to $750.0 million in borrowings with certain lenders and Truist Bank, acting as administrative agent, Regions Bank, acting as an additional multicurrency lender, and JPMorgan Chase Bank, N.A., acting as syndication agent for the lenders. As of December 31, 2025 and September 30, 2025, we had $296.5 million and $426.5 million, respectively, in outstanding borrowings under the Truist Credit Facility. The Truist Credit Facility had a weighted average interest rate of 5.8% and 6.5%, respectively, exclusive of the fee on undrawn commitment, as of December 31, 2025 and September 30, 2025. The Truist Credit Facility was amended in December 2025. This amended revolving facility has a stated maturity date of December 11, 2030 and decreased pricing to SOFR plus 210 basis points from SOFR plus 235 basis points (or an alternative risk-free floating interest rate index). As of December 31, 2025 and September 30, 2025, we had $238.5 million and $73.5 million of unused borrowing capacity under the Truist Credit Facility, respectively, subject to leverage and borrowing base restrictions. The Truist Credit Facility is secured by substantially all of our assets. As of December 31, 2025, we were in compliance with the terms of the Truist Credit Facility.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4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effective interest rate is 4.62%.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Notes-2</w:t>
      </w:r>
    </w:p>
    <w:p>
      <w:pPr>
        <w:spacing w:after="0" w:line="14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effective interest rate is 4.12%.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3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December 31, 2025 and September 30, 2025, we had $370.1 million and $344.6 million, respectively, in commitments to fund investments. Additionally, the Company had unfunded commitments of up to $13.2 million and $13.2 million to PSLF as of December 31, 2025 and September 30, 2025, respectively, that may be contributed primarily for the purpose of funding new investments approved by PSLF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 (Unaudited) -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UNCONSOLIDATED SIGNIFICANT SUBSIDIARIES</w:t>
      </w:r>
    </w:p>
    <w:p>
      <w:pPr>
        <w:spacing w:after="0" w:line="138"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2025, PennantPark Senior Loan Fund, LLC, JF Intermediate, LLC and AKW Holdings Limited triggered at least one of the significance tests. As a result and in accordance with Rule 3-09 of Regulation S-X, separate audited financial statements of PSLF, LLC for the years ended September 30, 2025, 2024, and 2023 were filed as exhibits to our Annual Report on Form 10-K for the fiscal year ended September 30, 2025.</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in JF Intermediate, LLC was realized on December 11, 2025.</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March 2018, AKW Holdings Limited became controlled affiliate. Below is certain selected key financial data from AKW Holdings Limited's income statements for the periods in which our investment in AKW Holdings Limited exceeded the threshold in at least one of the tests under Rule 3-09 of Regulation S-X (amounts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AKW Holdings Limited:</w:t>
            </w: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260" w:type="dxa"/>
            <w:vAlign w:val="bottom"/>
            <w:vMerge w:val="restart"/>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0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gridSpan w:val="2"/>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CEC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24,171</w:t>
            </w:r>
          </w:p>
        </w:tc>
        <w:tc>
          <w:tcPr>
            <w:tcW w:w="1360" w:type="dxa"/>
            <w:vAlign w:val="bottom"/>
            <w:gridSpan w:val="2"/>
            <w:shd w:val="clear" w:color="auto" w:fill="CCECFF"/>
          </w:tcPr>
          <w:p>
            <w:pPr>
              <w:jc w:val="right"/>
              <w:ind w:right="9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expenses</w:t>
            </w:r>
          </w:p>
        </w:tc>
        <w:tc>
          <w:tcPr>
            <w:tcW w:w="580" w:type="dxa"/>
            <w:vAlign w:val="bottom"/>
          </w:tcPr>
          <w:p>
            <w:pPr>
              <w:spacing w:after="0"/>
              <w:rPr>
                <w:sz w:val="12"/>
                <w:szCs w:val="12"/>
                <w:color w:val="auto"/>
              </w:rPr>
            </w:pPr>
          </w:p>
        </w:tc>
        <w:tc>
          <w:tcPr>
            <w:tcW w:w="1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23,741</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gridSpan w:val="2"/>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580" w:type="dxa"/>
            <w:vAlign w:val="bottom"/>
            <w:shd w:val="clear" w:color="auto" w:fill="CCEC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360" w:type="dxa"/>
            <w:vAlign w:val="bottom"/>
            <w:gridSpan w:val="2"/>
            <w:shd w:val="clear" w:color="auto" w:fill="CCECFF"/>
          </w:tcPr>
          <w:p>
            <w:pPr>
              <w:jc w:val="right"/>
              <w:ind w:right="9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SEGMENT REPORTING</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The Company operates through a single operating and reporting segment with a principal investment objective to generate both current income and capital appreciation through debt and equity investments. The CODM is comprised of the Company's Chief Executive Officer and Chief Financial Officer. The CODM assesses the performance and makes operating decisions of the Company on a consolidated basis primary based on the Company's net increase (decrease) in net assets resulting from operations ("Net Income") and net investment income ("NII"). The CODM utilizes Net Income and NII as the key metrics in determining the amount of dividends to be distributed to the Company's stockholders. As the Company's operations comprise of single reporting segment, the segment assets are reflected on the accompanying consolidated statements of assets and liabilities as "total assets" and significant segment expenses are listed on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SUBSEQUENT EVENTS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January 30, 2026, the Company issued $75.0 million in aggregate principal amount of 7.0% Senior Unsecured Notes due February 1, 2029.</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Investment Corporation and its subsidiaries (the Company), including the consolidated schedules of investments, as of December 31, 2025, the related consolidated statements of operations and changes in net assets for the three-months ended December 31, 2025 and 2024, and cash flows for the three-months ended December 31, 2025 and 2024, and the related notes to the consolidated financial statements (collectively, the interim financial information or financial statements). Based on our reviews, we are not aware of any material modifications that should be made to the financial statements referred to above for them to be in conformity with accounting principles generally accepted in the United States of America.</w:t>
      </w:r>
    </w:p>
    <w:p>
      <w:pPr>
        <w:spacing w:after="0" w:line="1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consolidated statement of assets and liabilities of the Company, including the consolidated schedule of investments, as of September 30, 2025, and the related consolidated statements of operations, changes in net assets, and cash flows for the year then ended (not presented herein); and in our report dated November 24, 2025, we expressed an unqualified opinion on those financial statements. In our opinion, the information set forth in the accompanying consolidated statement of assets and liabilities, including the consolidated schedule of investments, as of September 30, 2025, is fairly stated, in all material respects, in relation to the consolidated statement of assets and liabilities, including the consolidated schedule of investments, from which it has been derived.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0" w:name="page51"/>
    <w:bookmarkEnd w:id="50"/>
    <w:p>
      <w:pPr>
        <w:ind w:right="3300"/>
        <w:spacing w:after="0" w:line="44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FORWARD-LOOKING STATEMENTS</w:t>
      </w: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w:t>
      </w:r>
    </w:p>
    <w:p>
      <w:pPr>
        <w:spacing w:after="0" w:line="136" w:lineRule="exact"/>
        <w:rPr>
          <w:rFonts w:ascii="Times New Roman" w:cs="Times New Roman" w:eastAsia="Times New Roman" w:hAnsi="Times New Roman"/>
          <w:sz w:val="14"/>
          <w:szCs w:val="14"/>
          <w:color w:val="auto"/>
        </w:rPr>
      </w:pPr>
    </w:p>
    <w:p>
      <w:pPr>
        <w:ind w:left="960" w:right="20" w:hanging="383"/>
        <w:spacing w:after="0" w:line="261" w:lineRule="auto"/>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such as impact of the ongoing invasion of Ukraine by Russia and other world economic and political issues, the interest rate environment or conditions affecting the financial and capital markets that could result in changes to the value of our assets;</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trade policy developments, tariffs and other trade restrictions;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develop and maintain effective internal control over financial reporting.</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principal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95"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hold a carefully constructed portfolio that includes first lien secured debt, second lien secured debt, subordinated debt and equity investments ranging from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and have speculative characteristic compared to debt instruments that are rated above investment grade. Our debt investments may generally range in maturity from three to ten years and are made in U.S. and, to a limited extent, non-U.S. corporations, partnerships and other business entities which operate in various industries and geographical regions.</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5"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and their respective staffs. Our board of directors, a majority of whom are independent of us, provides overall supervision of our activities, and the Investment Adviser manages our day-to-day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spacing w:after="0" w:line="109" w:lineRule="exact"/>
        <w:rPr>
          <w:sz w:val="20"/>
          <w:szCs w:val="20"/>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net asset value, including the cost of any third-party valuation services;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36" w:lineRule="exact"/>
        <w:rPr>
          <w:rFonts w:ascii="Times New Roman" w:cs="Times New Roman" w:eastAsia="Times New Roman" w:hAnsi="Times New Roman"/>
          <w:sz w:val="14"/>
          <w:szCs w:val="14"/>
          <w:color w:val="auto"/>
        </w:rPr>
      </w:pPr>
    </w:p>
    <w:p>
      <w:pPr>
        <w:ind w:left="940" w:hanging="370"/>
        <w:spacing w:after="0" w:line="261" w:lineRule="auto"/>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payable to third parties, including agents, consultants or other advisors, in monitoring our financial and legal affairs for the Company and in monitoring the Company's investments; and performing due diligence (including related legal expenses) on its prospective portfolio companies and expenses related to unsuccessful portfolio acquisition efforts;</w:t>
      </w:r>
    </w:p>
    <w:p>
      <w:pPr>
        <w:spacing w:after="0" w:line="109"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2" w:name="page53"/>
    <w:bookmarkEnd w:id="52"/>
    <w:p>
      <w:pPr>
        <w:ind w:left="940" w:hanging="370"/>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 and</w:t>
      </w:r>
    </w:p>
    <w:p>
      <w:pPr>
        <w:spacing w:after="0" w:line="136"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and their respective staffs.</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of December 31, 2025, our portfolio totaled $1,218.5 million and consisted of $487.9 million or 40% of first lien secured debt, $209.5 million or 17% of U.S. Government Securities, $18.2 million or 2% of second lien secured debt, $205.7 million or 17% of subordinated debt (including $140.3 million or 12% in PSLF) and $297.2 million or 24% of preferred and common equity (including $59.8 million or 5% in PSLF). Our interest bearing debt portfolio consisted of 89% variable-rate investments and 11% fixed-rate investments. As of December 31, 2025, we had four portfolio companies on non-accrual, representing 2.2% and 1.1% percent of our overall portfolio on a cost and fair value basis, respectively. Overall, the portfolio had net unrealized appreciation (depreciation) of $(6.7) million as of December 31, 2025. Our overall portfolio consisted of 158 companies with an average investment size of $6.4 million (excluding U.S. Government Securities), had a weighted average yield on interest bearing debt investments of 10.9%.</w:t>
      </w:r>
    </w:p>
    <w:p>
      <w:pPr>
        <w:spacing w:after="0" w:line="110" w:lineRule="exact"/>
        <w:rPr>
          <w:sz w:val="20"/>
          <w:szCs w:val="20"/>
          <w:color w:val="auto"/>
        </w:rPr>
      </w:pPr>
    </w:p>
    <w:p>
      <w:pPr>
        <w:ind w:right="80" w:firstLine="449"/>
        <w:spacing w:after="0" w:line="231" w:lineRule="auto"/>
        <w:rPr>
          <w:sz w:val="20"/>
          <w:szCs w:val="20"/>
          <w:color w:val="auto"/>
        </w:rPr>
      </w:pPr>
      <w:r>
        <w:rPr>
          <w:rFonts w:ascii="Times New Roman" w:cs="Times New Roman" w:eastAsia="Times New Roman" w:hAnsi="Times New Roman"/>
          <w:sz w:val="14"/>
          <w:szCs w:val="14"/>
          <w:color w:val="auto"/>
        </w:rPr>
        <w:t>As of September 30, 2025, our portfolio totaled $1,287.3 million and consisted of $582.4 million or 45% of first lien secured debt, $124.8 million or 10% of U.S. Government Securities, $18.2 million or 1% of second lien secured debt, $201.2 million or 16% of subordinated debt (including $140.3 million or 11% in PSLF) and $360.7 million or 28% of preferred and common equity (including $67.5 million or 5% in PSLF). Our interest bearing debt portfolio consisted of 91% variable-rate investments and 9% fixed-rate investments. As of September 30, 2025, we had four portfolio companies on non-accrual, representing 1.3% and 0.1% of our overall portfolio on a cost and fair value basis, respectively. Overall, the portfolio had net unrealized appreciation of $50.4 million as of September 30, 2025. Our overall portfolio consisted of 166 companies with an average investment size of $7.0 million (excluding U.S. Government Securities), had a weighted average yield on interest bearing debt investments of 11.0%.</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2025, we invested $115.1 million in three new and 51 existing portfolio companies with a weighted average yield on debt investments of 9.7%. For the three months ended December 31, 2025, sales and repayments of investments totaled $273.2 million including $128.9 million sold to PSLF. The investments, sales and repayments noted above exclude all purchases and sales of U.S. Government Securities.</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2024, we invested $295.7 million in 12 new and 61 existing portfolio companies with a weighted average yield on debt investments of 10.6%. For the three months ended December 31, 2024, sales and repayments of investments totaled $353.7 million including $286.6 million sold to PSLF. The investments, sales and repayments noted above exclude all purchases and sales of U.S. Government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2025, PSLF’s portfolio totaled $1,357.3 million, consisted of 118 companies with an average investment size of $11.5 million and had a weighted average yield interest bearing debt investments of 9.6%.</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September 30, 2025, PSLF’s portfolio totaled $1,265.9 million, consisted of 109 companies with an average investment size of $11.6 million and had a weighted average yield interest bearing debt investments of 10.1%.</w:t>
      </w:r>
    </w:p>
    <w:p>
      <w:pPr>
        <w:spacing w:after="0" w:line="95"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PSLF invested $129.5 million, including $128.9 million purchased from the Company, in 11 new and 12 existing portfolio companies at weighted average yield interest bearing debt investments of 9.2%. PSLF’s sales and repayments of investments for the same period totaled $25.3 million.</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2024, PSLF invested $353.8 million, including $286.6 million purchased from the Company, in 15 new and 43 existing portfolio companies at weighted average yield on interest bearing debt investments of 10.5%. PSLF’s sales and repayments of investments for the same period totaled $109.1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Offering</w:t>
      </w:r>
    </w:p>
    <w:p>
      <w:pPr>
        <w:spacing w:after="0" w:line="138"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On June 4, 2024, we entered into the Equity Distribution Agreements with Truist Securities, Inc. and Keefe, Bruyette &amp; Woods, Inc. as the the Sales Agents in connection with the sale of shares of our common stock, with an aggregate offering price of up to $100 million under an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ATM Program offerings will not be made at price less than our current NAV per share. Any such payments made by the Investment Adviser will not be subject to reimbursement by us. On April 28, 2025, our registration statement pursuant to which shares were issued under the ATM Program expired.</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During the three months ended December 31, 2024, we did not issue any shares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449"/>
        <w:spacing w:after="0" w:line="224"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w:t>
      </w:r>
    </w:p>
    <w:p>
      <w:pPr>
        <w:spacing w:after="0" w:line="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describe our critical accounting policies in the notes to our Consolidated Financial Statements. We discuss our critical accounting estimates in Management’s Discussion and Analysis of Financial Condition and Results of Operations in our 2024 Annual Report on Form 10-K. There have been no significant changes in our critical accounting estimates from those disclosed in our 2025 Annual Report on Form 10-K during the three months ended December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940" w:hanging="370"/>
        <w:spacing w:after="0" w:line="261"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940" w:hanging="370"/>
        <w:spacing w:after="0" w:line="241"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940" w:hanging="370"/>
        <w:spacing w:after="0" w:line="261"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jc w:val="both"/>
        <w:ind w:left="1700" w:right="700" w:hanging="1133"/>
        <w:spacing w:after="0" w:line="241" w:lineRule="auto"/>
        <w:tabs>
          <w:tab w:leader="none" w:pos="168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9" w:lineRule="exact"/>
        <w:rPr>
          <w:sz w:val="20"/>
          <w:szCs w:val="20"/>
          <w:color w:val="auto"/>
        </w:rPr>
      </w:pPr>
    </w:p>
    <w:p>
      <w:pPr>
        <w:jc w:val="both"/>
        <w:ind w:left="1700" w:right="700" w:hanging="1133"/>
        <w:spacing w:after="0" w:line="261" w:lineRule="auto"/>
        <w:tabs>
          <w:tab w:leader="none" w:pos="168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and our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4" w:name="page55"/>
    <w:bookmarkEnd w:id="54"/>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9"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("ASC 825-10"), which provides companies with an option to report selected financial assets and liabilities at fair value, and made an irrevocable election to apply ASC 825-10 to the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$3.9 million and zero of expenses relating to amendment costs on the Truist Credit Facility for both the three months ended December 31, 2025 and 2024,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elected not to apply ASC 825-10 to any other financial assets or liabilities, including the 2026 Notes, and 2026 Notes-2.</w:t>
      </w:r>
    </w:p>
    <w:p>
      <w:pPr>
        <w:spacing w:after="0" w:line="113"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For the three months ended December 31, 2025 and 2024, the Truist Credit Facility had a net change in unrealized appreciation (depreciation) of less than $0.1 million and $3.3 million, respectively. As of December 31, 2025 and September 30, 2025, the net unrealized appreciation (depreciation) on the Truist Credit Facility totaled $1.0 million and $1.0 million, respectively. We use an independent valuation service to measure the fair value of our Truist Credit Facility in a manner consistent with the valuation process that our board of directors uses to value our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4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changes in the fair values of our portfolio investments and our Truist Credit Facility, including any reversal of previously recorded unrealized appreciation or depreciation, when gains or losses are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2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and 2024, we recorded a provision for taxes on net investment income of $0.7 million and $0.7 million, respectively, which pertains to U.S. federal excise tax.</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On November 22, 2021, we formed PNNT Investment Holdings II, LLC, a Delaware limited liability company (“Holdings II”), as a wholly owned subsidiary. On December 31, 2022, we contributed 100% of our interests in PNNT Investment Holdings, LLC (“Holdings”) to Holdings II .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2025 and 2024, the Company recognized a provision for taxes of less than $(0.1) million and zero on net realized gain (loss) on investments by the Taxable Subsidiary, respectively. For the three months ended December 31, 2025 and 2024, the Company recognized a provision for taxes of zero and less than $(0.1) million on net unrealized gain (loss) on investments by the Taxable Subsidiary, respectively. The provision for taxes on net realized and unrealized gains on investments is the result of netting (i) the expected tax liability on the gains from the sales of investments which is likely to be realized and unrealized during fiscal year ending and (ii) the expected tax benefit resulting from the use of loss carryforwards to offset such gains.</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During the three months ended December 31, 2025 and 2024, the Company paid zero and zero in federal taxes on realized gains on the sale of investments held by the Taxable Subsidiary, respectively. The state and local tax liability is zero as of December 31, 2025 is included under accrued other expenses in the consolidated statement of assets and liabilities.</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months ended December 31, 2025 and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2025, investment income was $27.3 million, which was attributable to $20.3 million from first lien secured debt, $0.4 million from second lien secured debt, $1.9 million from subordinated debt and $4.7 million from other investments, respectively. For the three months ended December 31, 2024, investment income was $34.2 million, which was attributable to $25.2 million from first lien secured debt, $2.0 million from second lien secured debt, $1.1 million from subordinated debt and $5.9 million from other investments, respectively. The decrease in investment income for three months ended December 31, 2025, was primarily due to a decrease in our total portfolio size and a decrease in our weighted average yield on debt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2025, expenses totaled $20.3 million and were comprised of $14.4 million of debt related interest and expenses, $3.9 million of base management fees, $1.3 million of general and administrative expenses and $0.7 million of provision for excise taxes, respectively. For the three months ended December 31, 2024, expenses totaled $21.2 million and were comprised of $11.7 million of debt-related interest and expenses, $4.3 million of base management fees, $2.8 million of incentive fees, $1.7 million of general and administrative expenses and $0.7 million of provision for excise taxes, respectively. The decrease in expenses for the three months ended December 31, 2025, was primarily due to a decrease in incentive fees offset by one-time credit facility amendment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2025, net investment income totaled $7.0 million, or $0.11 per share, respectively. For the three months ended December 31, 2024, net investment income totaled $13.0 million, or $0.20 per share, respectively. The decrease in net investment income was primarily due to a decrease in investment income and partially offset by a decrease in expenses.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4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and 2024, net realized gains (losses) totaled $59.0 million and $(2.6) million, respectively. The change in realized gains (losses) was primarily due to changes in the market conditions of our investments and the values at which they were realized.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Debt</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2025 and 2024, we reported net change in unrealized appreciation (depreciation) on investments $(57.1) million and $2.4 million, respectively. As of December 31, 2025 and September 30, 2025, our net unrealized appreciation (depreciation) on investments totaled $(6.7) million and $50.4 million, respectively. The net change in unrealized depreciation on our investments was primarily due to changes in the capital market conditions of our investments and the values at which they were realized.</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2025 and 2024, the Truist Credit Facility had a net change in unrealized appreciation (depreciation) of less than $0.1 million and $3.3 million, respectively. As of December 31, 2025 and September 30, 2025, the net unrealized appreciation (depreciation) on the Truist Credit Facility totaled $1.0 million and $1.0 million, respectively. The net change in unrealized appreciation (depreciation) compared to the same periods in the prior period was primarily due to changes in the capital markets.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40"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2025 and 2024, net increase (decrease) in net assets resulting from operations totaled $9.0 million and $16.1 million or $0.14 per share and $0.25 per share, respectively. The decrease from net operations for the three months ended December 31, 2025, was primarily due to a operating performance of our portfolio and changes in capital market conditions of our investments along with change in size and cost yield of our debt portfolio and costs of financing.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cash flows from operations, including investment sales and repayments,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December 31, 2025, in accordance with the 1940 Act, with certain limited exceptions, we are only allowed to borrow amounts such that we are in compliance with a 150% asset coverage ratio requirement after such borrowing. This “Liquidity and Capital Resources” section should be read in conjunction with the "Forward-Looking Statements" section above.</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December 31, 2025 and September 30, 2025, our asset coverage ratio, as computed in accordance with the 1940 Act was 175% and 163%, respectively.</w:t>
      </w:r>
    </w:p>
    <w:p>
      <w:pPr>
        <w:spacing w:after="0" w:line="13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and 2024, the annualized weighted average cost of debt inclusive of the fee on the undrawn commitment and amendment costs on the Truist Credit Facility, and amortized upfront fees on, 2026 Notes and 2026 Notes-2, was 6.3% and 6.2%, respectively.</w:t>
      </w:r>
    </w:p>
    <w:p>
      <w:pPr>
        <w:spacing w:after="0" w:line="95" w:lineRule="exact"/>
        <w:rPr>
          <w:sz w:val="20"/>
          <w:szCs w:val="20"/>
          <w:color w:val="auto"/>
        </w:rPr>
      </w:pPr>
    </w:p>
    <w:p>
      <w:pPr>
        <w:jc w:val="both"/>
        <w:ind w:firstLine="449"/>
        <w:spacing w:after="0" w:line="228" w:lineRule="auto"/>
        <w:rPr>
          <w:sz w:val="20"/>
          <w:szCs w:val="20"/>
          <w:color w:val="auto"/>
        </w:rPr>
      </w:pPr>
      <w:r>
        <w:rPr>
          <w:rFonts w:ascii="Times New Roman" w:cs="Times New Roman" w:eastAsia="Times New Roman" w:hAnsi="Times New Roman"/>
          <w:sz w:val="14"/>
          <w:szCs w:val="14"/>
          <w:color w:val="auto"/>
        </w:rPr>
        <w:t>As of December 31, 2025, we had the multi-currency Truist Credit Facility for up to $535 million (increased from $500 million in December 2025), which may be further increased up to $750.0 million in borrowings with certain lenders and Truist Bank, acting as administrative agent, Regions Bank, acting as an additional multicurrency lender, and JPMorgan Chase Bank, N.A., acting as syndication agent for the lenders. As of December 31, 2025 and September 30, 2025, we had $296.5 million and $426.5 million, respectively, in outstanding borrowings under the Truist Credit Facility. The Truist Credit Facility had a weighted average interest rate of 5.8% and 6.5%, respectively, exclusive of the fee on undrawn commitment, as of December 31, 2025 and September 30, 2025. The Truist Credit Facility was amended in December 2025 This amended revolving has a stated maturity date of December 11, 2030 and decreased pricing to SOFR plus 210 basis points from SOFR plus 235 basis points (or an alternative risk-free floating interest rate index). As of December 31, 2025 and September 30, 2025, we had $238.5 million and $73.5 million of unused borrowing capacity under the Truist Credit Facility, respectively, subject to leverage and borrowing base restrictions. The Truist Credit Facility is secured by substantially all of our assets. As of December 31, 2025, we were in compliance with the terms of the Truist Credit Facility.</w:t>
      </w:r>
    </w:p>
    <w:p>
      <w:pPr>
        <w:spacing w:after="0" w:line="113"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 xml:space="preserve">As of December 31, 2025, we had $150.0 million in aggregate principal amount of 2026 Notes outstanding. Interest on the 2026 Notes is paid semiannually on May 1 and November 1, at a rate of 4.50% per year, commencing November 1, 2021. The effective interest rate is 4.62% The 2026 Notes mature on May 1, 2026, and may be redeemed in whole or in part at our option subject to a make-whole premium if redeemed more than three months prior to maturity. The 2026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 xml:space="preserve">As of December 31, 2025, we had $165.0 million in aggregate principal amount of 2026 Notes-2 outstanding. Interest on the 2026 Notes-2 is paid semiannually on May 1 and November 1, at a rate of 4.0% per year, commencing May 1, 2022. The effective interest rate is 4.12%. The 2026 Notes-2 mature on November 1, 2026, and may be redeemed in whole or in part at our option subject to a make-whole premium if redeemed more than three months prior to maturity. The 2026 Notes-2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1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On June 4, 2024, we entered into the Equity Distribution Agreements with Truist Securities, Inc. and Keefe, Bruyette &amp; Woods, Inc. as the the Sales Agents in connection with the sale of shares of our common stock, with an aggregate offering price of up to $100 million under an ATM Program.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ATM Program offerings will not be made at price less than our current NAV per share. Any such payments made by the Investment Adviser will not be subject to reimbursement by us. On April 28, 2025, our registration statement pursuant to which shares were issued under the ATM Program expired.</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During the three months ended December 31, 2024, we did not issue any shares under the ATM program.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7" w:name="page58"/>
    <w:bookmarkEnd w:id="57"/>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or by securitizing a portion of our investments, among other sources. Any future additional debt capital we incur, to the extent it is available, may be issued at a higher cost and on less favorable terms and conditions than the Truist Credit Facility, 2026 Notes, and 2026 Notes-2.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a stock repurchase program.</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May 2025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May 2025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9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2025 and September 30, 2025, we had cash and cash equivalents of $45.9 million and $51.8 million, respectively, available for investing and general corporate purposes. We believe our liquidity and capital resources are sufficient to allow us to effectively operate our business.</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2025, our operating activities provided cash of $134.5 million and our financing activities used cash of $140.4 million. Our operating activities provided cash primarily due to our investment activities and our financing activities used cash primarily for repayments of our credit facility and distributions paid to stockholders.</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2024, our operating activities provided cash of $18.7 million and our financing activities used cash of $12.7 million. Our operating activities provided cash primarily due to our investment activities and our financing activities used cash primarily for distributions paid to stockholders.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as a Delaware limited liability company. PSLF invests primarily in middle-market and other corporate debt securities consistent with its strategy. As of December 31, 2025 and September 30, 2025, PSLF had total assets of $1,409.3 million and $1,315.4 million, respectively and its investment portfolio consisted of debt investments in 118 and 109 portfolio companies, respectively. As of December 31, 2025, we and Pantheon had remaining commitments to fund subordinated notes of $8.2 million and $11.7 million, respectively, and equity interest of $5.0 million and $7.1 million, respectively, in PSLF. As of September 30, 2025, we and Pantheon had remaining commitments to fund subordinated notes of $8.2 million and $11.7 million, respectively, and equity interests of $5.0 million and $7.1 million, respectively, in PSLF. As of December 31, 2025, at fair value, the largest investment in a single portfolio company in PSLF was $26.6 million and the five largest investments totaled $123.6 million. As of September 30, 2025, at fair value, the largest investment in a single portfolio company in PSLF was $24.8 million and the five largest investments totaled $121.4 million. PSLF invests in portfolio companies in the same industries in which we may directly invest.</w:t>
      </w:r>
    </w:p>
    <w:p>
      <w:pPr>
        <w:spacing w:after="0" w:line="2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December 31, 2025, we and Pantheon owned 55.8% and 44.2%, respectively, of each of the outstanding subordinated notes and equity interests of PSLF. As of September 30, 2025, we and Pantheon owned 55.8% and 44.2%, respectively, of each of the outstanding subordinated notes and equity interest of PSLF. As of December 31, 2025, our investment in PSLF consisted of subordinated notes of $140.3 million and equity interests of $82.4 million, respectively. As of September 30, 2025, our investment in PSLF consisted of subordinated notes of $140.3 million and equity interests of $82.4 million respectively.</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being entitled to cast two votes on each matter; and (iii) the presence of four members of the Member Designees’ Committee constitute a quorum, provided that the two individuals are present that were elected, designated or appointed by each of us and Pantheon.</w:t>
      </w:r>
    </w:p>
    <w:p>
      <w:pPr>
        <w:spacing w:after="0" w:line="110"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Additionally, PSLF, through its wholly-owned subsidiary, has entered into a $400.0 million (increased from $325.0 million in August 2024) senior secured revolving credit facility, with BNP Paribas, which bears interest at SOFR (or an alternative risk-free interest rate index) plus 225 basis points during the investment period and is subject to leverage and borrowing base restrictions.</w:t>
      </w:r>
    </w:p>
    <w:p>
      <w:pPr>
        <w:spacing w:after="0" w:line="26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carefully constructed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 As of December 31, 2025 and September 30, 2025 there were $246.0 million and $246.0 million, respectively, of external 2034 Asset-Backed Debt.</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On July 26, 2023, CLO VII , LLC ("CLO VII") completed a $300 million debt securitization in the form of a collateralized loan obligation (the "2035 Debt Securitization" or "2035 Asset-Backed Debt"). The 2035 Asset-Backed Debt is secured by a carefully constructed portfolio consisting primarily of middle market loans. The 2035 Debt Securitization was executed through a private placement of: (i) $151.0 million Class A-1a Notes maturing 2035, which bear interest at the three-month SOFR plus 2.7%, (ii) $20.0 million Class A-1b Loans 2035, which bear interest at 6.5%, (iii) $12.0 million Class A-2 Senior Secured Floating Rate Notes due 2035, which bear interest at the three-month SOFR plus 3.2%, (iv) $21.0 million Class B Senior Secured Floating Rate Notes due 2035, which bear interest at the three-month SOFR plus 4.1%, (v) $24.0 million Class C Secured Deferrable Floating Rate Notes due 2035, which bear interest at the three-month SOFR plus 4.7%, and (vi) $18.0 million Class D Secured Deferrable Floating Rate Notes due 2035, which bear interest at the three-month SOFR plus 7.0%. On July 21, 2025, CLO VII closed a partial refinancing of the 2035 Debt Securitization where the $21.0 million Class B (B-R) Senior Secured Floating Rate Notes interest rate was decreased to SOFR plus 2.0%, the $24.0 million Class C (C-R)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8" w:name="page59"/>
    <w:bookmarkEnd w:id="58"/>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Secured Deferrable Floating Rate Notes interest rate was decreased to SOFR plus 2.3% and the $18.0 million Class D (D-R) Secured Deferrable Floating Rate Notes interest rate was decreased to SOFR plus 3.4%. As of December 31, 2025 and September 30, 2025, there were $246.0 million and $246.0 million of external 2035 Asset-Backed Debt.</w:t>
      </w:r>
    </w:p>
    <w:p>
      <w:pPr>
        <w:spacing w:after="0" w:line="95"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On December 23, 2024, PennantPark CLO X, LLC ("CLO X”) completed a $400.5 million debt securitization in the form of a collateralized loan obligation (the "2037 Debt Securitization" or "2037 Asset-Backed Debt"). The 2037 Asset-Backed Debt is secured by a carefully constructed portfolio consisting primarily of middle market loans. The 2037 Debt Securitization was executed through a private placement of: (i) $158.0 million Class A-1 Notes maturing 2037, which bear interest at the three-month SOFR plus 1.59%, (ii) $30.0 million Class A-1A Loans maturing 2037, which bear interest at the three-month SOFR plus 1.59%, (iii) $40.0 million Class A-1W Loans maturing 2037, which bear interest at the three-month SOFR plus 1.59%, (iv) $16.0 million Class A-2W Loans due 2037, which bear interest at the three-month SOFR plus 1.75%, (v) $28.0 million Class B Notes due 2037, which bear interest at the three-month SOFR plus 1.85%, (vi) $32.0 million Class C Notes due 2037, which bear interest at the three-month SOFR plus 2.40%., (vii) $24.0 million Class D Notes due 2037, which bear interest at the three-month SOFR plus 3.85%. As of December 31, 2025 and September 30, 2025 there were $328.0 million and $328.0 million, respectively, of external 2037 Asset-Backed Debt.</w:t>
      </w:r>
    </w:p>
    <w:p>
      <w:pPr>
        <w:spacing w:after="0" w:line="113"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August 28, 2024, PSLF entered into an amendment (the “Amendment”) to PSLF’s limited liability company agreement (the “LLC Agreement”). The Amendment amended the term of PSLF, which would have otherwise expired on January 31, 2025, to be indefinite, subject to the other terms of dissolution, wind down and termination in the LLC Agreement. The Amendment also modified the LLC Agreement to permit any member of PSLF (each, a “PSLF Member”) to request to redeem its interests in PSLF (in minimum tranches of 25% of the interests then-owned by such PSFL Member) at any time. Under the Amendment, if a PSLF Member makes a redemption request, PSLF will be required to use commercially reasonable efforts to redeem any such PSFL Member’s interests within 18 months and, in any event, within three years from the date of such redemption request, subject to customary limitations with respect to the liquidity of PSLF and the requirement that the Company’s proportionate share or ownership of PSLF not exceed 87.5%.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120" w:type="dxa"/>
            <w:vAlign w:val="bottom"/>
          </w:tcPr>
          <w:p>
            <w:pPr>
              <w:spacing w:after="0"/>
              <w:rPr>
                <w:sz w:val="16"/>
                <w:szCs w:val="16"/>
                <w:color w:val="auto"/>
              </w:rPr>
            </w:pPr>
          </w:p>
        </w:tc>
        <w:tc>
          <w:tcPr>
            <w:tcW w:w="17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5"/>
                <w:szCs w:val="15"/>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42"/>
        </w:trPr>
        <w:tc>
          <w:tcPr>
            <w:tcW w:w="768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tcBorders>
              <w:top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1,357,342</w:t>
            </w:r>
          </w:p>
        </w:tc>
        <w:tc>
          <w:tcPr>
            <w:tcW w:w="30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1,265,901</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120" w:type="dxa"/>
            <w:vAlign w:val="bottom"/>
          </w:tcPr>
          <w:p>
            <w:pPr>
              <w:spacing w:after="0"/>
              <w:rPr>
                <w:sz w:val="12"/>
                <w:szCs w:val="12"/>
                <w:color w:val="auto"/>
              </w:rPr>
            </w:pPr>
          </w:p>
        </w:tc>
        <w:tc>
          <w:tcPr>
            <w:tcW w:w="1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1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8"/>
        </w:trPr>
        <w:tc>
          <w:tcPr>
            <w:tcW w:w="76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Number of portfolio companies in PSLF</w:t>
            </w: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26,563</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24,802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120" w:type="dxa"/>
            <w:vAlign w:val="bottom"/>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123,565</w:t>
            </w: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121,360</w:t>
            </w: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December 31, 2025 (par and $ in thousands):</w:t>
      </w:r>
    </w:p>
    <w:tbl>
      <w:tblPr>
        <w:tblLayout w:type="fixed"/>
        <w:tblInd w:w="0" w:type="dxa"/>
        <w:tblCellMar>
          <w:top w:w="0" w:type="dxa"/>
          <w:left w:w="0" w:type="dxa"/>
          <w:bottom w:w="0" w:type="dxa"/>
          <w:right w:w="0" w:type="dxa"/>
        </w:tblCellMar>
      </w:tblPr>
      <w:tr>
        <w:trPr>
          <w:trHeight w:val="134"/>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76"/>
        </w:trPr>
        <w:tc>
          <w:tcPr>
            <w:tcW w:w="2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First Lien Secured Debt - 1,258.% of Net Assets</w:t>
            </w:r>
          </w:p>
        </w:tc>
        <w:tc>
          <w:tcPr>
            <w:tcW w:w="2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ACP Avenu Buyer,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23,450</w:t>
            </w:r>
          </w:p>
        </w:tc>
        <w:tc>
          <w:tcPr>
            <w:tcW w:w="340" w:type="dxa"/>
            <w:vAlign w:val="bottom"/>
            <w:gridSpan w:val="2"/>
            <w:shd w:val="clear" w:color="auto" w:fill="CCEC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23,183</w:t>
            </w:r>
          </w:p>
        </w:tc>
        <w:tc>
          <w:tcPr>
            <w:tcW w:w="28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23,391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Falcon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10/06/23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08/01/29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15,157</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14,937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AFC-Dell Holding Corp.</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04/09/27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 Care Providers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APT OPCO,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12/24/25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09/30/31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9.93%</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SOFR+626</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16,270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16,270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Alpine Acquisition Corp II </w:t>
            </w:r>
            <w:r>
              <w:rPr>
                <w:rFonts w:ascii="Times New Roman" w:cs="Times New Roman" w:eastAsia="Times New Roman" w:hAnsi="Times New Roman"/>
                <w:sz w:val="14"/>
                <w:szCs w:val="14"/>
                <w:color w:val="auto"/>
                <w:vertAlign w:val="superscript"/>
              </w:rPr>
              <w:t>(4), (6)</w:t>
            </w:r>
          </w:p>
        </w:tc>
        <w:tc>
          <w:tcPr>
            <w:tcW w:w="1140" w:type="dxa"/>
            <w:vAlign w:val="bottom"/>
            <w:gridSpan w:val="2"/>
            <w:vMerge w:val="restart"/>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10/12/22</w:t>
            </w:r>
          </w:p>
        </w:tc>
        <w:tc>
          <w:tcPr>
            <w:tcW w:w="940" w:type="dxa"/>
            <w:vAlign w:val="bottom"/>
            <w:gridSpan w:val="2"/>
            <w:vMerge w:val="restart"/>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11/30/26</w:t>
            </w:r>
          </w:p>
        </w:tc>
        <w:tc>
          <w:tcPr>
            <w:tcW w:w="300" w:type="dxa"/>
            <w:vAlign w:val="bottom"/>
            <w:shd w:val="clear" w:color="auto" w:fill="CCECFF"/>
          </w:tcPr>
          <w:p>
            <w:pPr>
              <w:spacing w:after="0"/>
              <w:rPr>
                <w:sz w:val="12"/>
                <w:szCs w:val="12"/>
                <w:color w:val="auto"/>
              </w:rPr>
            </w:pPr>
          </w:p>
        </w:tc>
        <w:tc>
          <w:tcPr>
            <w:tcW w:w="1380" w:type="dxa"/>
            <w:vAlign w:val="bottom"/>
            <w:shd w:val="clear" w:color="auto" w:fill="CCECFF"/>
          </w:tcPr>
          <w:p>
            <w:pPr>
              <w:jc w:val="center"/>
              <w:ind w:right="6"/>
              <w:spacing w:after="0"/>
              <w:rPr>
                <w:sz w:val="20"/>
                <w:szCs w:val="20"/>
                <w:color w:val="auto"/>
              </w:rPr>
            </w:pPr>
            <w:r>
              <w:rPr>
                <w:rFonts w:ascii="Times New Roman" w:cs="Times New Roman" w:eastAsia="Times New Roman" w:hAnsi="Times New Roman"/>
                <w:sz w:val="11"/>
                <w:szCs w:val="11"/>
                <w:color w:val="auto"/>
                <w:w w:val="98"/>
              </w:rPr>
              <w:t>Containers, Packaging and</w:t>
            </w: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9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15,157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15,028</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800" w:type="dxa"/>
            <w:vAlign w:val="bottom"/>
            <w:shd w:val="clear" w:color="auto" w:fill="CCECFF"/>
          </w:tcPr>
          <w:p>
            <w:pPr>
              <w:spacing w:after="0"/>
              <w:rPr>
                <w:sz w:val="8"/>
                <w:szCs w:val="8"/>
                <w:color w:val="auto"/>
              </w:rPr>
            </w:pPr>
          </w:p>
        </w:tc>
        <w:tc>
          <w:tcPr>
            <w:tcW w:w="1140" w:type="dxa"/>
            <w:vAlign w:val="bottom"/>
            <w:gridSpan w:val="2"/>
            <w:vMerge w:val="continue"/>
            <w:shd w:val="clear" w:color="auto" w:fill="CCECFF"/>
          </w:tcPr>
          <w:p>
            <w:pPr>
              <w:spacing w:after="0"/>
              <w:rPr>
                <w:sz w:val="8"/>
                <w:szCs w:val="8"/>
                <w:color w:val="auto"/>
              </w:rPr>
            </w:pPr>
          </w:p>
        </w:tc>
        <w:tc>
          <w:tcPr>
            <w:tcW w:w="940" w:type="dxa"/>
            <w:vAlign w:val="bottom"/>
            <w:gridSpan w:val="2"/>
            <w:vMerge w:val="continue"/>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38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Glass</w:t>
            </w:r>
          </w:p>
        </w:tc>
        <w:tc>
          <w:tcPr>
            <w:tcW w:w="10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40" w:type="dxa"/>
            <w:vAlign w:val="bottom"/>
            <w:shd w:val="clear" w:color="auto" w:fill="CCECFF"/>
          </w:tcPr>
          <w:p>
            <w:pPr>
              <w:spacing w:after="0"/>
              <w:rPr>
                <w:sz w:val="8"/>
                <w:szCs w:val="8"/>
                <w:color w:val="auto"/>
              </w:rPr>
            </w:pPr>
          </w:p>
        </w:tc>
        <w:tc>
          <w:tcPr>
            <w:tcW w:w="900" w:type="dxa"/>
            <w:vAlign w:val="bottom"/>
            <w:gridSpan w:val="2"/>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520" w:type="dxa"/>
            <w:vAlign w:val="bottom"/>
            <w:vMerge w:val="continue"/>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940" w:type="dxa"/>
            <w:vAlign w:val="bottom"/>
            <w:vMerge w:val="continue"/>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Amsive Holdings Corporation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13,717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Anteriad, LLC (f/k/a MeritDirect,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06/30/26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9.57%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13,618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13,618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Arcfield Acquisition Corp.</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07/26/22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10/28/31</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Archer Lewis,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08/28/29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09/13/29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20,305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20,111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20,508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11/20/30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Beacon Behavioral Support Services,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09/16/24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Best Practice Associates,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01/21/25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10.47%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19,800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19,560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08/11/22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07/02/29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14,513</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Manufacturing / Basic</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Big Top Holdings,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02/28/30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Industries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Bioderm,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01/31/28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09/17/26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9.07%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SOFR+540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25,179</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25,036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 Care Providers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Blue Cloud Pediatric Surgery Centers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01/21/31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Boss Industries,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12/27/30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10/03/22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07/25/29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6,170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9,863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9,775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9,863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CF512,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12/29/21</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08/20/26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SOFR+619</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9,019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8,929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Carisk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02/09/24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12/01/29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11,341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Carnegie Dartlet,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02/07/30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22,598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22,312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09/09/22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06/14/28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21,670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21,824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11/26/24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10,409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10,342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Commercial Fire Protection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09/23/30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20,778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20,682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20,778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11.22%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SOFR+750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Cornerstone Advisors of Arizona,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05/13/32</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08/12/22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07/13/27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9.70%</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8,601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08/16/27</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9.08%</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SOFR+536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DRI Holding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08/04/22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12/21/28</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9.07%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5,450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11/03/25</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4,399</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4,455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c>
          <w:tcPr>
            <w:tcW w:w="0" w:type="dxa"/>
            <w:vAlign w:val="bottom"/>
          </w:tcPr>
          <w:p>
            <w:pPr>
              <w:spacing w:after="0"/>
              <w:rPr>
                <w:sz w:val="1"/>
                <w:szCs w:val="1"/>
                <w:color w:val="auto"/>
              </w:rPr>
            </w:pPr>
          </w:p>
        </w:tc>
      </w:tr>
      <w:tr>
        <w:trPr>
          <w:trHeight w:val="175"/>
        </w:trPr>
        <w:tc>
          <w:tcPr>
            <w:tcW w:w="2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8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Electronic Equipment,</w:t>
            </w: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DX Electric Company,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10/01/31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Instruments and Components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09/30/30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4,938</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4,899</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4,938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Dynata, LLC - First Out Term Loan</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07/15/24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07/17/28</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9.14%</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1,568</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 Out Term Loan</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07/15/24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10/16/28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9,646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9,646</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5,848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EDS Buyer,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01/10/29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23,124</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22,885</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05/29/29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11,941</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Emergency Care Partners,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10/18/27</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EvAL Home Care Solutions Intermediate,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07/23/24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05/10/30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6,801</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03/15/27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10.07%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9,499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Hotels, Motels, Inns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02/23/28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Gaming</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rPr>
              <w:t>12.98%</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SOFR+925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4,128</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4,089</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color w:val="auto"/>
                <w:w w:val="97"/>
              </w:rPr>
              <w:t>Housewares and Durable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GGG Midco,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12/16/24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09/27/30</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15,096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680" w:type="dxa"/>
            <w:vAlign w:val="bottom"/>
            <w:gridSpan w:val="2"/>
            <w:shd w:val="clear" w:color="auto" w:fill="CCECFF"/>
          </w:tcPr>
          <w:p>
            <w:pPr>
              <w:jc w:val="center"/>
              <w:ind w:left="206"/>
              <w:spacing w:after="0" w:line="108" w:lineRule="exact"/>
              <w:rPr>
                <w:sz w:val="20"/>
                <w:szCs w:val="20"/>
                <w:color w:val="auto"/>
              </w:rPr>
            </w:pPr>
            <w:r>
              <w:rPr>
                <w:rFonts w:ascii="Times New Roman" w:cs="Times New Roman" w:eastAsia="Times New Roman" w:hAnsi="Times New Roman"/>
                <w:sz w:val="11"/>
                <w:szCs w:val="11"/>
                <w:color w:val="auto"/>
                <w:w w:val="97"/>
              </w:rPr>
              <w:t>Banking, Finance, Insurance &amp;</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03/16/26</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Real Estate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9.33%</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6,287</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3,951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3,923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HEC Purchaser Corp.</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09/16/24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06/17/29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8.87%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12,530</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(4)</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15,523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15,449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HW Holdco,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05/10/26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9.80%</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23,121</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23,082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23,121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12/31/26</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08/09/30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19,134</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18,950</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Hills Distribution,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02/13/24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14,347</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14,264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09/22/28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4,339</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4,298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Acquisitionco,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11/15/27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5,438</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5,393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Impact Advisors,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12/10/25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03/19/32</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Health Care Technology</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7,940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02/07/23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12/28/28</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Miscellaneous Services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Infolinks Media Buyco,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13,011</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Inovex Information Systems Incorporated</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03/04/25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Inventus Power,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10/10/23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01/15/26</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11.33%</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SOFR+761</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12,935</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13,701</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Takeback TL</w:t>
            </w: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800" w:type="dxa"/>
            <w:vAlign w:val="bottom"/>
            <w:vMerge w:val="continue"/>
            <w:shd w:val="clear" w:color="auto" w:fill="CCECFF"/>
          </w:tcPr>
          <w:p>
            <w:pPr>
              <w:spacing w:after="0"/>
              <w:rPr>
                <w:sz w:val="6"/>
                <w:szCs w:val="6"/>
                <w:color w:val="auto"/>
              </w:rPr>
            </w:pPr>
          </w:p>
        </w:tc>
        <w:tc>
          <w:tcPr>
            <w:tcW w:w="1140" w:type="dxa"/>
            <w:vAlign w:val="bottom"/>
            <w:gridSpan w:val="2"/>
            <w:vMerge w:val="restart"/>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07/31/25</w:t>
            </w:r>
          </w:p>
        </w:tc>
        <w:tc>
          <w:tcPr>
            <w:tcW w:w="940" w:type="dxa"/>
            <w:vAlign w:val="bottom"/>
            <w:gridSpan w:val="2"/>
            <w:vMerge w:val="restart"/>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shd w:val="clear" w:color="auto" w:fill="CCECFF"/>
          </w:tcPr>
          <w:p>
            <w:pPr>
              <w:spacing w:after="0"/>
              <w:rPr>
                <w:sz w:val="6"/>
                <w:szCs w:val="6"/>
                <w:color w:val="auto"/>
              </w:rPr>
            </w:pPr>
          </w:p>
        </w:tc>
        <w:tc>
          <w:tcPr>
            <w:tcW w:w="13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740" w:type="dxa"/>
            <w:vAlign w:val="bottom"/>
            <w:gridSpan w:val="2"/>
            <w:vMerge w:val="restart"/>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shd w:val="clear" w:color="auto" w:fill="CCECFF"/>
          </w:tcPr>
          <w:p>
            <w:pPr>
              <w:spacing w:after="0"/>
              <w:rPr>
                <w:sz w:val="6"/>
                <w:szCs w:val="6"/>
                <w:color w:val="auto"/>
              </w:rPr>
            </w:pPr>
          </w:p>
        </w:tc>
        <w:tc>
          <w:tcPr>
            <w:tcW w:w="6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9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86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2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0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800" w:type="dxa"/>
            <w:vAlign w:val="bottom"/>
            <w:shd w:val="clear" w:color="auto" w:fill="CCECFF"/>
          </w:tcPr>
          <w:p>
            <w:pPr>
              <w:spacing w:after="0"/>
              <w:rPr>
                <w:sz w:val="5"/>
                <w:szCs w:val="5"/>
                <w:color w:val="auto"/>
              </w:rPr>
            </w:pPr>
          </w:p>
        </w:tc>
        <w:tc>
          <w:tcPr>
            <w:tcW w:w="1140" w:type="dxa"/>
            <w:vAlign w:val="bottom"/>
            <w:gridSpan w:val="2"/>
            <w:vMerge w:val="continue"/>
            <w:shd w:val="clear" w:color="auto" w:fill="CCECFF"/>
          </w:tcPr>
          <w:p>
            <w:pPr>
              <w:spacing w:after="0"/>
              <w:rPr>
                <w:sz w:val="5"/>
                <w:szCs w:val="5"/>
                <w:color w:val="auto"/>
              </w:rPr>
            </w:pPr>
          </w:p>
        </w:tc>
        <w:tc>
          <w:tcPr>
            <w:tcW w:w="940" w:type="dxa"/>
            <w:vAlign w:val="bottom"/>
            <w:gridSpan w:val="2"/>
            <w:vMerge w:val="continue"/>
            <w:shd w:val="clear" w:color="auto" w:fill="CCECFF"/>
          </w:tcPr>
          <w:p>
            <w:pPr>
              <w:spacing w:after="0"/>
              <w:rPr>
                <w:sz w:val="5"/>
                <w:szCs w:val="5"/>
                <w:color w:val="auto"/>
              </w:rPr>
            </w:pPr>
          </w:p>
        </w:tc>
        <w:tc>
          <w:tcPr>
            <w:tcW w:w="300" w:type="dxa"/>
            <w:vAlign w:val="bottom"/>
            <w:shd w:val="clear" w:color="auto" w:fill="CCECFF"/>
          </w:tcPr>
          <w:p>
            <w:pPr>
              <w:spacing w:after="0"/>
              <w:rPr>
                <w:sz w:val="5"/>
                <w:szCs w:val="5"/>
                <w:color w:val="auto"/>
              </w:rPr>
            </w:pPr>
          </w:p>
        </w:tc>
        <w:tc>
          <w:tcPr>
            <w:tcW w:w="1380" w:type="dxa"/>
            <w:vAlign w:val="bottom"/>
            <w:vMerge w:val="continue"/>
            <w:shd w:val="clear" w:color="auto" w:fill="CCECFF"/>
          </w:tcPr>
          <w:p>
            <w:pPr>
              <w:spacing w:after="0"/>
              <w:rPr>
                <w:sz w:val="5"/>
                <w:szCs w:val="5"/>
                <w:color w:val="auto"/>
              </w:rPr>
            </w:pPr>
          </w:p>
        </w:tc>
        <w:tc>
          <w:tcPr>
            <w:tcW w:w="740" w:type="dxa"/>
            <w:vAlign w:val="bottom"/>
            <w:gridSpan w:val="2"/>
            <w:vMerge w:val="continue"/>
            <w:shd w:val="clear" w:color="auto" w:fill="CCECFF"/>
          </w:tcPr>
          <w:p>
            <w:pPr>
              <w:spacing w:after="0"/>
              <w:rPr>
                <w:sz w:val="5"/>
                <w:szCs w:val="5"/>
                <w:color w:val="auto"/>
              </w:rPr>
            </w:pPr>
          </w:p>
        </w:tc>
        <w:tc>
          <w:tcPr>
            <w:tcW w:w="220" w:type="dxa"/>
            <w:vAlign w:val="bottom"/>
            <w:shd w:val="clear" w:color="auto" w:fill="CCECFF"/>
          </w:tcPr>
          <w:p>
            <w:pPr>
              <w:spacing w:after="0"/>
              <w:rPr>
                <w:sz w:val="5"/>
                <w:szCs w:val="5"/>
                <w:color w:val="auto"/>
              </w:rPr>
            </w:pPr>
          </w:p>
        </w:tc>
        <w:tc>
          <w:tcPr>
            <w:tcW w:w="640" w:type="dxa"/>
            <w:vAlign w:val="bottom"/>
            <w:vMerge w:val="continue"/>
            <w:shd w:val="clear" w:color="auto" w:fill="CCECFF"/>
          </w:tcPr>
          <w:p>
            <w:pPr>
              <w:spacing w:after="0"/>
              <w:rPr>
                <w:sz w:val="5"/>
                <w:szCs w:val="5"/>
                <w:color w:val="auto"/>
              </w:rPr>
            </w:pPr>
          </w:p>
        </w:tc>
        <w:tc>
          <w:tcPr>
            <w:tcW w:w="900" w:type="dxa"/>
            <w:vAlign w:val="bottom"/>
            <w:gridSpan w:val="2"/>
            <w:vMerge w:val="continue"/>
            <w:shd w:val="clear" w:color="auto" w:fill="CCECFF"/>
          </w:tcPr>
          <w:p>
            <w:pPr>
              <w:spacing w:after="0"/>
              <w:rPr>
                <w:sz w:val="5"/>
                <w:szCs w:val="5"/>
                <w:color w:val="auto"/>
              </w:rPr>
            </w:pPr>
          </w:p>
        </w:tc>
        <w:tc>
          <w:tcPr>
            <w:tcW w:w="860" w:type="dxa"/>
            <w:vAlign w:val="bottom"/>
            <w:gridSpan w:val="2"/>
            <w:vMerge w:val="continue"/>
            <w:shd w:val="clear" w:color="auto" w:fill="CCECFF"/>
          </w:tcPr>
          <w:p>
            <w:pPr>
              <w:spacing w:after="0"/>
              <w:rPr>
                <w:sz w:val="5"/>
                <w:szCs w:val="5"/>
                <w:color w:val="auto"/>
              </w:rPr>
            </w:pPr>
          </w:p>
        </w:tc>
        <w:tc>
          <w:tcPr>
            <w:tcW w:w="1220" w:type="dxa"/>
            <w:vAlign w:val="bottom"/>
            <w:gridSpan w:val="2"/>
            <w:vMerge w:val="continue"/>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 - Priority TL</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07/31/25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Pictures, Entertainment</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Lash OpCo,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02/18/27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10.94%</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SOFR+710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21,806</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21,754</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21,260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02/03/27</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02/01/30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8.46%</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12,251</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12,167</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12,251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8,153</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7,952</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MDI Buyer,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07/25/28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8.57%</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19,677</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19,529</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03/04/25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12/19/30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19,684</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MBS Holdings,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04/16/27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8,223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8,182</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8,223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04/01/22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2,885</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2,861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Medina Health,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01/18/24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10/20/28</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19,317</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Acquisitionco,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07/17/24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7,774</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7,860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MOREgroup Holdings,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08/29/24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01/16/30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19,433</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9,496</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NBH Group,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08/19/26</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9.71%</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SOFR+585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7,162</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7,145</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NORA Acquisition,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11/21/23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08/31/29</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10.02%</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SOFR+635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North American Rail Solutions</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08/29/31</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Road and Rail</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9,950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01/17/25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18,879</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18,753</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Omnia Exterior Solutions,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07/25/24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12/29/29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17,945</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17,743</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One Stop Mailing,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06/07/23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74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SOFR+636</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8,227</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8,161</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08/29/24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5,739</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5,678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5,767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PN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10/09/25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07/31/31</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3,556</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Pacific Purchaser,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03/21/24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10/02/28</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9.85%</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12,773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12,613</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12,466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PAR Excellence Holdings, Inc.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11/26/24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09/03/30</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8.77%</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PD Tri-State Holdco, LLC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12/25/25</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10/14/30</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Commercial Services and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Paving Lessor Corp. First Lien -Term Loan</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10/24/25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07/01/31</w:t>
            </w:r>
          </w:p>
        </w:tc>
        <w:tc>
          <w:tcPr>
            <w:tcW w:w="3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Supplies</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8.94%</w:t>
            </w:r>
          </w:p>
        </w:tc>
        <w:tc>
          <w:tcPr>
            <w:tcW w:w="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6,862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(4)</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04/01/22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11/09/27</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Retail</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4.27%</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8,913</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8,699</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Project Granite Buyer,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07/21/25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12/31/30</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5,940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5,889</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Puget Collision,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10/02/31</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10,000</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9,945</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9,938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08/15/29</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3,960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3,930</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3,837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RTIC Subsidiary Holdings, LLC</w:t>
            </w:r>
          </w:p>
        </w:tc>
        <w:tc>
          <w:tcPr>
            <w:tcW w:w="114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07/23/24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05/03/29</w:t>
            </w:r>
          </w:p>
        </w:tc>
        <w:tc>
          <w:tcPr>
            <w:tcW w:w="300" w:type="dxa"/>
            <w:vAlign w:val="bottom"/>
            <w:shd w:val="clear" w:color="auto" w:fill="CCECFF"/>
          </w:tcPr>
          <w:p>
            <w:pPr>
              <w:spacing w:after="0"/>
              <w:rPr>
                <w:sz w:val="10"/>
                <w:szCs w:val="10"/>
                <w:color w:val="auto"/>
              </w:rPr>
            </w:pPr>
          </w:p>
        </w:tc>
        <w:tc>
          <w:tcPr>
            <w:tcW w:w="13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9.42%</w:t>
            </w:r>
          </w:p>
        </w:tc>
        <w:tc>
          <w:tcPr>
            <w:tcW w:w="220" w:type="dxa"/>
            <w:vAlign w:val="bottom"/>
            <w:shd w:val="clear" w:color="auto" w:fill="CCECFF"/>
          </w:tcPr>
          <w:p>
            <w:pPr>
              <w:spacing w:after="0"/>
              <w:rPr>
                <w:sz w:val="10"/>
                <w:szCs w:val="10"/>
                <w:color w:val="auto"/>
              </w:rPr>
            </w:pPr>
          </w:p>
        </w:tc>
        <w:tc>
          <w:tcPr>
            <w:tcW w:w="6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24,637</w:t>
            </w:r>
          </w:p>
        </w:tc>
        <w:tc>
          <w:tcPr>
            <w:tcW w:w="86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24,318</w:t>
            </w:r>
          </w:p>
        </w:tc>
        <w:tc>
          <w:tcPr>
            <w:tcW w:w="122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w:t>
            </w:r>
          </w:p>
        </w:tc>
        <w:tc>
          <w:tcPr>
            <w:tcW w:w="114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w w:val="97"/>
              </w:rPr>
              <w:t>11/06/19</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03/29/27</w:t>
            </w:r>
          </w:p>
        </w:tc>
        <w:tc>
          <w:tcPr>
            <w:tcW w:w="3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4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11,780</w:t>
            </w:r>
          </w:p>
        </w:tc>
        <w:tc>
          <w:tcPr>
            <w:tcW w:w="8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11,717</w:t>
            </w:r>
          </w:p>
        </w:tc>
        <w:tc>
          <w:tcPr>
            <w:tcW w:w="1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14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w w:val="97"/>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06/20/29</w:t>
            </w:r>
          </w:p>
        </w:tc>
        <w:tc>
          <w:tcPr>
            <w:tcW w:w="300" w:type="dxa"/>
            <w:vAlign w:val="bottom"/>
            <w:shd w:val="clear" w:color="auto" w:fill="CCECFF"/>
          </w:tcPr>
          <w:p>
            <w:pPr>
              <w:spacing w:after="0"/>
              <w:rPr>
                <w:sz w:val="11"/>
                <w:szCs w:val="11"/>
                <w:color w:val="auto"/>
              </w:rPr>
            </w:pPr>
          </w:p>
        </w:tc>
        <w:tc>
          <w:tcPr>
            <w:tcW w:w="1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8.99%</w:t>
            </w:r>
          </w:p>
        </w:tc>
        <w:tc>
          <w:tcPr>
            <w:tcW w:w="220" w:type="dxa"/>
            <w:vAlign w:val="bottom"/>
            <w:shd w:val="clear" w:color="auto" w:fill="CCECFF"/>
          </w:tcPr>
          <w:p>
            <w:pPr>
              <w:spacing w:after="0"/>
              <w:rPr>
                <w:sz w:val="11"/>
                <w:szCs w:val="11"/>
                <w:color w:val="auto"/>
              </w:rPr>
            </w:pP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22,629</w:t>
            </w: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22,561</w:t>
            </w: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Recteq, LLC</w:t>
            </w:r>
          </w:p>
        </w:tc>
        <w:tc>
          <w:tcPr>
            <w:tcW w:w="114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w w:val="97"/>
              </w:rPr>
              <w:t>06/26/24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01/29/26</w:t>
            </w:r>
          </w:p>
        </w:tc>
        <w:tc>
          <w:tcPr>
            <w:tcW w:w="3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rPr>
              <w:t>10.07%</w:t>
            </w:r>
          </w:p>
        </w:tc>
        <w:tc>
          <w:tcPr>
            <w:tcW w:w="2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1000" w:type="dxa"/>
            <w:vAlign w:val="bottom"/>
            <w:gridSpan w:val="3"/>
            <w:vMerge w:val="restart"/>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Par</w:t>
            </w:r>
          </w:p>
        </w:tc>
        <w:tc>
          <w:tcPr>
            <w:tcW w:w="520" w:type="dxa"/>
            <w:vAlign w:val="bottom"/>
            <w:vMerge w:val="restart"/>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 xml:space="preserve">Fair Value </w:t>
            </w:r>
            <w:r>
              <w:rPr>
                <w:rFonts w:ascii="Times New Roman" w:cs="Times New Roman" w:eastAsia="Times New Roman" w:hAnsi="Times New Roman"/>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2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6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Index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780" w:type="dxa"/>
            <w:vAlign w:val="bottom"/>
            <w:tcBorders>
              <w:top w:val="single" w:sz="8" w:color="auto"/>
            </w:tcBorders>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0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80" w:type="dxa"/>
            <w:vAlign w:val="bottom"/>
            <w:tcBorders>
              <w:top w:val="single" w:sz="8" w:color="auto"/>
            </w:tcBorders>
            <w:shd w:val="clear" w:color="auto" w:fill="CCECFF"/>
          </w:tcPr>
          <w:p>
            <w:pPr>
              <w:spacing w:after="0"/>
              <w:rPr>
                <w:sz w:val="8"/>
                <w:szCs w:val="8"/>
                <w:color w:val="auto"/>
              </w:rPr>
            </w:pPr>
          </w:p>
        </w:tc>
        <w:tc>
          <w:tcPr>
            <w:tcW w:w="340" w:type="dxa"/>
            <w:vAlign w:val="bottom"/>
            <w:shd w:val="clear" w:color="auto" w:fill="CCECFF"/>
          </w:tcPr>
          <w:p>
            <w:pPr>
              <w:spacing w:after="0"/>
              <w:rPr>
                <w:sz w:val="8"/>
                <w:szCs w:val="8"/>
                <w:color w:val="auto"/>
              </w:rPr>
            </w:pPr>
          </w:p>
        </w:tc>
        <w:tc>
          <w:tcPr>
            <w:tcW w:w="1360" w:type="dxa"/>
            <w:vAlign w:val="bottom"/>
            <w:tcBorders>
              <w:top w:val="single" w:sz="8" w:color="auto"/>
            </w:tcBorders>
            <w:shd w:val="clear" w:color="auto" w:fill="CCECFF"/>
          </w:tcPr>
          <w:p>
            <w:pPr>
              <w:jc w:val="center"/>
              <w:ind w:right="6"/>
              <w:spacing w:after="0" w:line="102"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8"/>
                <w:szCs w:val="8"/>
                <w:color w:val="auto"/>
              </w:rPr>
            </w:pPr>
          </w:p>
        </w:tc>
        <w:tc>
          <w:tcPr>
            <w:tcW w:w="66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2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8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00" w:type="dxa"/>
            <w:vAlign w:val="bottom"/>
            <w:tcBorders>
              <w:top w:val="single" w:sz="8" w:color="auto"/>
            </w:tcBorders>
            <w:shd w:val="clear" w:color="auto" w:fill="CCECFF"/>
          </w:tcPr>
          <w:p>
            <w:pPr>
              <w:spacing w:after="0"/>
              <w:rPr>
                <w:sz w:val="8"/>
                <w:szCs w:val="8"/>
                <w:color w:val="auto"/>
              </w:rPr>
            </w:pPr>
          </w:p>
        </w:tc>
        <w:tc>
          <w:tcPr>
            <w:tcW w:w="52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60" w:type="dxa"/>
            <w:vAlign w:val="bottom"/>
            <w:tcBorders>
              <w:top w:val="single" w:sz="8" w:color="auto"/>
            </w:tcBorders>
            <w:shd w:val="clear" w:color="auto" w:fill="CCECFF"/>
          </w:tcPr>
          <w:p>
            <w:pPr>
              <w:spacing w:after="0"/>
              <w:rPr>
                <w:sz w:val="8"/>
                <w:szCs w:val="8"/>
                <w:color w:val="auto"/>
              </w:rPr>
            </w:pPr>
          </w:p>
        </w:tc>
        <w:tc>
          <w:tcPr>
            <w:tcW w:w="90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06/21/27</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3,683</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Healthcare Providers &amp;</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Ro Health, LLC</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04/03/25</w:t>
            </w:r>
          </w:p>
        </w:tc>
        <w:tc>
          <w:tcPr>
            <w:tcW w:w="96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7"/>
              </w:rPr>
              <w:t>01/17/31</w:t>
            </w:r>
          </w:p>
        </w:tc>
        <w:tc>
          <w:tcPr>
            <w:tcW w:w="34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8.17%</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Rosco Parent,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12/24/25</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09/12/31</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5,154</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5,119</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5,115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06/16/29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9.85%</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5,493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01/07/25</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10/31/30</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11,784</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11,880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07/07/26</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Sath Industries,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12/10/25</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Building Products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11,360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Seacoast Service Partners NA, LLC</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07/21/25</w:t>
            </w:r>
          </w:p>
        </w:tc>
        <w:tc>
          <w:tcPr>
            <w:tcW w:w="96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7"/>
              </w:rPr>
              <w:t>12/20/29</w:t>
            </w:r>
          </w:p>
        </w:tc>
        <w:tc>
          <w:tcPr>
            <w:tcW w:w="34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Chemicals, Plastics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09/14/22</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06/13/29</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9.82%</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SOFR+615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14,369</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12/01/23</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12/20/27</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4"/>
              </w:rPr>
              <w:t>10.62%</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26,831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26,563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03/01/28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10,578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10,442</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10,578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8"/>
              </w:rPr>
              <w:t xml:space="preserve">STG Distribution, LLC - First Out New Money Term Loans </w:t>
            </w:r>
            <w:r>
              <w:rPr>
                <w:rFonts w:ascii="Times New Roman" w:cs="Times New Roman" w:eastAsia="Times New Roman" w:hAnsi="Times New Roman"/>
                <w:sz w:val="14"/>
                <w:szCs w:val="14"/>
                <w:color w:val="auto"/>
                <w:w w:val="98"/>
                <w:vertAlign w:val="superscript"/>
              </w:rPr>
              <w:t>(4)</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10/03/24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 xml:space="preserve">STG Distribution, LLC - Second Out Term Loans </w:t>
            </w:r>
            <w:r>
              <w:rPr>
                <w:rFonts w:ascii="Times New Roman" w:cs="Times New Roman" w:eastAsia="Times New Roman" w:hAnsi="Times New Roman"/>
                <w:sz w:val="14"/>
                <w:szCs w:val="14"/>
                <w:color w:val="auto"/>
                <w:vertAlign w:val="superscript"/>
              </w:rPr>
              <w:t>(4)</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10/03/24</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4,617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2,593</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SV-Aero Holdings,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10/31/24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11/01/30</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14,563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Systems Planning And Analysis, Inc.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08/16/27</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8.42%</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16,878</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16,785</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16,827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02/27/24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01/23/29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4"/>
              </w:rPr>
              <w:t>10.17%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9,825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9,713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TMII Enterprises,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12/22/28</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8.22%</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SOFR+450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19,827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19,654</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US Parent,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11/24/25</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Food</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9.89%</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Team Services Group, LLC</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07/24/23</w:t>
            </w:r>
          </w:p>
        </w:tc>
        <w:tc>
          <w:tcPr>
            <w:tcW w:w="960" w:type="dxa"/>
            <w:vAlign w:val="bottom"/>
            <w:gridSpan w:val="2"/>
            <w:shd w:val="clear" w:color="auto" w:fill="CCECFF"/>
          </w:tcPr>
          <w:p>
            <w:pPr>
              <w:jc w:val="center"/>
              <w:ind w:left="126"/>
              <w:spacing w:after="0"/>
              <w:rPr>
                <w:sz w:val="20"/>
                <w:szCs w:val="20"/>
                <w:color w:val="auto"/>
              </w:rPr>
            </w:pPr>
            <w:r>
              <w:rPr>
                <w:rFonts w:ascii="Times New Roman" w:cs="Times New Roman" w:eastAsia="Times New Roman" w:hAnsi="Times New Roman"/>
                <w:sz w:val="11"/>
                <w:szCs w:val="11"/>
                <w:color w:val="auto"/>
                <w:w w:val="97"/>
              </w:rPr>
              <w:t>12/20/27</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9.09%</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9,563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9,427</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Bluebird Group,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07/28/26</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9.57%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08/31/28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14,443</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14,364</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14,356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Transgo,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06/07/24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12/29/28</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9.47%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16,174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16,312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Tyto Athene,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03/02/22</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04/01/28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8.88%</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SOFR+490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11,342</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11,280</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10,888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Watchtower Buyer, LLC</w:t>
            </w:r>
          </w:p>
        </w:tc>
        <w:tc>
          <w:tcPr>
            <w:tcW w:w="116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09/19/24</w:t>
            </w:r>
          </w:p>
        </w:tc>
        <w:tc>
          <w:tcPr>
            <w:tcW w:w="960" w:type="dxa"/>
            <w:vAlign w:val="bottom"/>
            <w:gridSpan w:val="2"/>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12/01/29</w:t>
            </w:r>
          </w:p>
        </w:tc>
        <w:tc>
          <w:tcPr>
            <w:tcW w:w="34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78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9.67%</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23,055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23,058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116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w w:val="97"/>
              </w:rPr>
              <w:t>04/30/25</w:t>
            </w:r>
          </w:p>
        </w:tc>
        <w:tc>
          <w:tcPr>
            <w:tcW w:w="960" w:type="dxa"/>
            <w:vAlign w:val="bottom"/>
            <w:gridSpan w:val="2"/>
            <w:shd w:val="clear" w:color="auto" w:fill="CCECFF"/>
          </w:tcPr>
          <w:p>
            <w:pPr>
              <w:jc w:val="center"/>
              <w:ind w:left="126"/>
              <w:spacing w:after="0" w:line="122" w:lineRule="exact"/>
              <w:rPr>
                <w:sz w:val="20"/>
                <w:szCs w:val="20"/>
                <w:color w:val="auto"/>
              </w:rPr>
            </w:pPr>
            <w:r>
              <w:rPr>
                <w:rFonts w:ascii="Times New Roman" w:cs="Times New Roman" w:eastAsia="Times New Roman" w:hAnsi="Times New Roman"/>
                <w:sz w:val="11"/>
                <w:szCs w:val="11"/>
                <w:color w:val="auto"/>
                <w:w w:val="97"/>
              </w:rPr>
              <w:t>04/30/28</w:t>
            </w: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9.34%</w:t>
            </w: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9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6,577</w:t>
            </w: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6,676</w:t>
            </w: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900" w:type="dxa"/>
            <w:vAlign w:val="bottom"/>
            <w:tcBorders>
              <w:bottom w:val="single" w:sz="8" w:color="CCECFF"/>
            </w:tcBorders>
            <w:shd w:val="clear" w:color="auto" w:fill="CCECFF"/>
          </w:tcPr>
          <w:p>
            <w:pPr>
              <w:spacing w:after="0"/>
              <w:rPr>
                <w:sz w:val="10"/>
                <w:szCs w:val="10"/>
                <w:color w:val="auto"/>
              </w:rPr>
            </w:pPr>
          </w:p>
        </w:tc>
        <w:tc>
          <w:tcPr>
            <w:tcW w:w="180" w:type="dxa"/>
            <w:vAlign w:val="bottom"/>
            <w:tcBorders>
              <w:bottom w:val="single" w:sz="8" w:color="CCECFF"/>
            </w:tcBorders>
            <w:shd w:val="clear" w:color="auto" w:fill="CCECFF"/>
          </w:tcPr>
          <w:p>
            <w:pPr>
              <w:spacing w:after="0"/>
              <w:rPr>
                <w:sz w:val="10"/>
                <w:szCs w:val="10"/>
                <w:color w:val="auto"/>
              </w:rPr>
            </w:pPr>
          </w:p>
        </w:tc>
        <w:tc>
          <w:tcPr>
            <w:tcW w:w="780" w:type="dxa"/>
            <w:vAlign w:val="bottom"/>
            <w:tcBorders>
              <w:bottom w:val="single" w:sz="8" w:color="CCECFF"/>
            </w:tcBorders>
            <w:shd w:val="clear" w:color="auto" w:fill="CCECFF"/>
          </w:tcPr>
          <w:p>
            <w:pPr>
              <w:spacing w:after="0"/>
              <w:rPr>
                <w:sz w:val="10"/>
                <w:szCs w:val="10"/>
                <w:color w:val="auto"/>
              </w:rPr>
            </w:pPr>
          </w:p>
        </w:tc>
        <w:tc>
          <w:tcPr>
            <w:tcW w:w="340" w:type="dxa"/>
            <w:vAlign w:val="bottom"/>
            <w:tcBorders>
              <w:bottom w:val="single" w:sz="8" w:color="CCECFF"/>
            </w:tcBorders>
            <w:shd w:val="clear" w:color="auto" w:fill="CCECFF"/>
          </w:tcPr>
          <w:p>
            <w:pPr>
              <w:spacing w:after="0"/>
              <w:rPr>
                <w:sz w:val="10"/>
                <w:szCs w:val="10"/>
                <w:color w:val="auto"/>
              </w:rPr>
            </w:pPr>
          </w:p>
        </w:tc>
        <w:tc>
          <w:tcPr>
            <w:tcW w:w="13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auto"/>
            </w:tcBorders>
            <w:shd w:val="clear" w:color="auto" w:fill="CCECFF"/>
          </w:tcPr>
          <w:p>
            <w:pPr>
              <w:spacing w:after="0"/>
              <w:rPr>
                <w:sz w:val="10"/>
                <w:szCs w:val="10"/>
                <w:color w:val="auto"/>
              </w:rPr>
            </w:pPr>
          </w:p>
        </w:tc>
        <w:tc>
          <w:tcPr>
            <w:tcW w:w="520" w:type="dxa"/>
            <w:vAlign w:val="bottom"/>
            <w:tcBorders>
              <w:bottom w:val="single" w:sz="8" w:color="auto"/>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auto"/>
            </w:tcBorders>
            <w:shd w:val="clear" w:color="auto" w:fill="CCECFF"/>
          </w:tcPr>
          <w:p>
            <w:pPr>
              <w:spacing w:after="0"/>
              <w:rPr>
                <w:sz w:val="10"/>
                <w:szCs w:val="10"/>
                <w:color w:val="auto"/>
              </w:rPr>
            </w:pPr>
          </w:p>
        </w:tc>
        <w:tc>
          <w:tcPr>
            <w:tcW w:w="900" w:type="dxa"/>
            <w:vAlign w:val="bottom"/>
            <w:tcBorders>
              <w:bottom w:val="single" w:sz="8" w:color="auto"/>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1,382,302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1,347,821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 - 4.1%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Systems, LLC - Subordinate Debt</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04/30/25</w:t>
            </w:r>
          </w:p>
        </w:tc>
        <w:tc>
          <w:tcPr>
            <w:tcW w:w="96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color w:val="auto"/>
                <w:w w:val="97"/>
              </w:rPr>
              <w:t>07/30/28</w:t>
            </w:r>
          </w:p>
        </w:tc>
        <w:tc>
          <w:tcPr>
            <w:tcW w:w="34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12.00%</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Securities - 4.8%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New Insight Holdings, Inc. - Common Equity</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07/15/24</w:t>
            </w:r>
          </w:p>
        </w:tc>
        <w:tc>
          <w:tcPr>
            <w:tcW w:w="18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134,330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48Forty Intermediate Holdings, Inc. - Common Equity</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11/05/24</w:t>
            </w:r>
          </w:p>
        </w:tc>
        <w:tc>
          <w:tcPr>
            <w:tcW w:w="18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Group, LP - Common Equity</w:t>
            </w:r>
          </w:p>
        </w:tc>
        <w:tc>
          <w:tcPr>
            <w:tcW w:w="116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w w:val="97"/>
              </w:rPr>
              <w:t>04/30/25</w:t>
            </w:r>
          </w:p>
        </w:tc>
        <w:tc>
          <w:tcPr>
            <w:tcW w:w="18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White Tiger Newco, LLC - Common Equity</w:t>
            </w:r>
          </w:p>
        </w:tc>
        <w:tc>
          <w:tcPr>
            <w:tcW w:w="116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w w:val="97"/>
              </w:rPr>
              <w:t>07/31/25</w:t>
            </w: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10,805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8,177</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line="129" w:lineRule="exact"/>
              <w:rPr>
                <w:sz w:val="20"/>
                <w:szCs w:val="20"/>
                <w:color w:val="auto"/>
              </w:rPr>
            </w:pPr>
            <w:r>
              <w:rPr>
                <w:rFonts w:ascii="Times New Roman" w:cs="Times New Roman" w:eastAsia="Times New Roman" w:hAnsi="Times New Roman"/>
                <w:sz w:val="11"/>
                <w:szCs w:val="11"/>
                <w:b w:val="1"/>
                <w:bCs w:val="1"/>
                <w:color w:val="auto"/>
              </w:rPr>
              <w:t>Total Investments - 1,267.0% of Net Assets</w:t>
            </w:r>
            <w:r>
              <w:rPr>
                <w:rFonts w:ascii="Times New Roman" w:cs="Times New Roman" w:eastAsia="Times New Roman" w:hAnsi="Times New Roman"/>
                <w:sz w:val="14"/>
                <w:szCs w:val="14"/>
                <w:b w:val="1"/>
                <w:bCs w:val="1"/>
                <w:color w:val="auto"/>
                <w:vertAlign w:val="superscript"/>
              </w:rPr>
              <w:t>(3)(5)</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1,394,885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b w:val="1"/>
                <w:bCs w:val="1"/>
                <w:color w:val="auto"/>
              </w:rPr>
              <w:t>Cash Equivalents - 19.51% of Net Assets</w:t>
            </w:r>
          </w:p>
        </w:tc>
        <w:tc>
          <w:tcPr>
            <w:tcW w:w="2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JPMorgan U.S. Government  (Money Market Fund)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3.61%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Goldman Sachs Financial Square Government Fund (Money</w:t>
            </w:r>
          </w:p>
        </w:tc>
        <w:tc>
          <w:tcPr>
            <w:tcW w:w="2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13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 Fund)</w:t>
            </w:r>
          </w:p>
        </w:tc>
        <w:tc>
          <w:tcPr>
            <w:tcW w:w="2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13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3.71%</w:t>
            </w:r>
          </w:p>
        </w:tc>
        <w:tc>
          <w:tcPr>
            <w:tcW w:w="2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12,264</w:t>
            </w: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3.69%</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Equivalents</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20,904</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20,904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Cash - 22.54% of Net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w:t>
            </w: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4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90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3"/>
          </w:tcPr>
          <w:p>
            <w:pPr>
              <w:spacing w:after="0"/>
              <w:rPr>
                <w:sz w:val="10"/>
                <w:szCs w:val="10"/>
                <w:color w:val="auto"/>
              </w:rPr>
            </w:pPr>
          </w:p>
        </w:tc>
        <w:tc>
          <w:tcPr>
            <w:tcW w:w="10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1,439,937</w:t>
            </w:r>
          </w:p>
        </w:tc>
        <w:tc>
          <w:tcPr>
            <w:tcW w:w="220" w:type="dxa"/>
            <w:vAlign w:val="bottom"/>
            <w:gridSpan w:val="2"/>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1,402,394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780" w:type="dxa"/>
            <w:vAlign w:val="bottom"/>
            <w:shd w:val="clear" w:color="auto" w:fill="CCECFF"/>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(1208.9)% of Net</w:t>
            </w:r>
          </w:p>
        </w:tc>
        <w:tc>
          <w:tcPr>
            <w:tcW w:w="260" w:type="dxa"/>
            <w:vAlign w:val="bottom"/>
            <w:shd w:val="clear" w:color="auto" w:fill="CCECFF"/>
          </w:tcPr>
          <w:p>
            <w:pPr>
              <w:spacing w:after="0"/>
              <w:rPr>
                <w:sz w:val="7"/>
                <w:szCs w:val="7"/>
                <w:color w:val="auto"/>
              </w:rPr>
            </w:pPr>
          </w:p>
        </w:tc>
        <w:tc>
          <w:tcPr>
            <w:tcW w:w="900" w:type="dxa"/>
            <w:vAlign w:val="bottom"/>
            <w:shd w:val="clear" w:color="auto" w:fill="CCECFF"/>
          </w:tcPr>
          <w:p>
            <w:pPr>
              <w:spacing w:after="0"/>
              <w:rPr>
                <w:sz w:val="7"/>
                <w:szCs w:val="7"/>
                <w:color w:val="auto"/>
              </w:rPr>
            </w:pPr>
          </w:p>
        </w:tc>
        <w:tc>
          <w:tcPr>
            <w:tcW w:w="180" w:type="dxa"/>
            <w:vAlign w:val="bottom"/>
            <w:shd w:val="clear" w:color="auto" w:fill="CCECFF"/>
          </w:tcPr>
          <w:p>
            <w:pPr>
              <w:spacing w:after="0"/>
              <w:rPr>
                <w:sz w:val="7"/>
                <w:szCs w:val="7"/>
                <w:color w:val="auto"/>
              </w:rPr>
            </w:pPr>
          </w:p>
        </w:tc>
        <w:tc>
          <w:tcPr>
            <w:tcW w:w="780" w:type="dxa"/>
            <w:vAlign w:val="bottom"/>
            <w:shd w:val="clear" w:color="auto" w:fill="CCECFF"/>
          </w:tcPr>
          <w:p>
            <w:pPr>
              <w:spacing w:after="0"/>
              <w:rPr>
                <w:sz w:val="7"/>
                <w:szCs w:val="7"/>
                <w:color w:val="auto"/>
              </w:rPr>
            </w:pPr>
          </w:p>
        </w:tc>
        <w:tc>
          <w:tcPr>
            <w:tcW w:w="340" w:type="dxa"/>
            <w:vAlign w:val="bottom"/>
            <w:shd w:val="clear" w:color="auto" w:fill="CCECFF"/>
          </w:tcPr>
          <w:p>
            <w:pPr>
              <w:spacing w:after="0"/>
              <w:rPr>
                <w:sz w:val="7"/>
                <w:szCs w:val="7"/>
                <w:color w:val="auto"/>
              </w:rPr>
            </w:pPr>
          </w:p>
        </w:tc>
        <w:tc>
          <w:tcPr>
            <w:tcW w:w="13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66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2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60" w:type="dxa"/>
            <w:vAlign w:val="bottom"/>
            <w:shd w:val="clear" w:color="auto" w:fill="CCECFF"/>
          </w:tcPr>
          <w:p>
            <w:pPr>
              <w:spacing w:after="0"/>
              <w:rPr>
                <w:sz w:val="7"/>
                <w:szCs w:val="7"/>
                <w:color w:val="auto"/>
              </w:rPr>
            </w:pPr>
          </w:p>
        </w:tc>
        <w:tc>
          <w:tcPr>
            <w:tcW w:w="1000" w:type="dxa"/>
            <w:vAlign w:val="bottom"/>
            <w:gridSpan w:val="2"/>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(1,295,254)</w:t>
            </w:r>
          </w:p>
        </w:tc>
        <w:tc>
          <w:tcPr>
            <w:tcW w:w="0" w:type="dxa"/>
            <w:vAlign w:val="bottom"/>
          </w:tcPr>
          <w:p>
            <w:pPr>
              <w:spacing w:after="0"/>
              <w:rPr>
                <w:sz w:val="1"/>
                <w:szCs w:val="1"/>
                <w:color w:val="auto"/>
              </w:rPr>
            </w:pPr>
          </w:p>
        </w:tc>
      </w:tr>
      <w:tr>
        <w:trPr>
          <w:trHeight w:val="124"/>
        </w:trPr>
        <w:tc>
          <w:tcPr>
            <w:tcW w:w="2780" w:type="dxa"/>
            <w:vAlign w:val="bottom"/>
            <w:shd w:val="clear" w:color="auto" w:fill="CCEC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34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1000" w:type="dxa"/>
            <w:vAlign w:val="bottom"/>
            <w:gridSpan w:val="2"/>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3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6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2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6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5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Members' Equity—100.0%</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107,140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-2562225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-2185670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-1370965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-744855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-556895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-367665</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8" w:lineRule="exact"/>
        <w:rPr>
          <w:sz w:val="20"/>
          <w:szCs w:val="20"/>
          <w:color w:val="auto"/>
        </w:rPr>
      </w:pPr>
    </w:p>
    <w:p>
      <w:pPr>
        <w:ind w:left="380" w:right="180" w:hanging="372"/>
        <w:spacing w:after="0" w:line="267" w:lineRule="auto"/>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 60-day, 90-day or 180-day SOFR rate (1MS, 2MS, 3MS, or 6MS, respectively), at the borrower’s option. All securities are subject to the SOFR floor where a spread is provided, unless noted. The spread provided includes PIK interest and other fee rates, if any.</w:t>
      </w:r>
    </w:p>
    <w:p>
      <w:pPr>
        <w:spacing w:after="0" w:line="7"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w:t>
      </w:r>
    </w:p>
    <w:p>
      <w:pPr>
        <w:spacing w:after="0" w:line="20"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December 31, 2025, all investments are in US Companies. Total cost, fair value, and percentage of Net Assets for U.S Companies were $1,394.9 million, $1,357.3 million and 1,267.0%.</w:t>
      </w:r>
    </w:p>
    <w:p>
      <w:pPr>
        <w:spacing w:after="0" w:line="20"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Non-accrual security</w:t>
      </w:r>
    </w:p>
    <w:p>
      <w:pPr>
        <w:spacing w:after="0" w:line="33"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investments are not registered under the 1933 Act and have restrictions on resale.</w:t>
      </w:r>
    </w:p>
    <w:p>
      <w:pPr>
        <w:spacing w:after="0" w:line="20" w:lineRule="exact"/>
        <w:rPr>
          <w:rFonts w:ascii="Times New Roman" w:cs="Times New Roman" w:eastAsia="Times New Roman" w:hAnsi="Times New Roman"/>
          <w:sz w:val="10"/>
          <w:szCs w:val="10"/>
          <w:color w:val="auto"/>
        </w:rPr>
      </w:pPr>
    </w:p>
    <w:p>
      <w:pPr>
        <w:ind w:left="380" w:right="140" w:hanging="372"/>
        <w:spacing w:after="0" w:line="281" w:lineRule="auto"/>
        <w:tabs>
          <w:tab w:leader="none" w:pos="38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securities, or a portion thereof, are not 1) pledge as collateral under the Credit Facility and held through Funding I; or, 2) securing the 2034 Asset-Backed Debt and held through PennantPark CLOIV, LLC, or 3) securing the 2036 Asset-Backed Debt and held through PennantPark CLO VII, LLC, or 4) securing the 2037 Asset-Backed Debt and held through PennantPark CLO X,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2025 (par and $ in thousands):</w:t>
      </w:r>
    </w:p>
    <w:tbl>
      <w:tblPr>
        <w:tblLayout w:type="fixed"/>
        <w:tblInd w:w="0" w:type="dxa"/>
        <w:tblCellMar>
          <w:top w:w="0" w:type="dxa"/>
          <w:left w:w="0" w:type="dxa"/>
          <w:bottom w:w="0" w:type="dxa"/>
          <w:right w:w="0" w:type="dxa"/>
        </w:tblCellMar>
      </w:tblPr>
      <w:tr>
        <w:trPr>
          <w:trHeight w:val="134"/>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Basis Point</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2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First Lien Secured Debt - 1,035.8% of Net Assets</w:t>
            </w:r>
          </w:p>
        </w:tc>
        <w:tc>
          <w:tcPr>
            <w:tcW w:w="2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ACP Avenu Buyer,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04/23/24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9.04%</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7,590</w:t>
            </w:r>
          </w:p>
        </w:tc>
        <w:tc>
          <w:tcPr>
            <w:tcW w:w="3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7,474</w:t>
            </w:r>
          </w:p>
        </w:tc>
        <w:tc>
          <w:tcPr>
            <w:tcW w:w="28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Acp Falcon Buyer,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10/06/23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08/01/29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9.79%</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15,196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14,963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15,348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AFC-Dell Holding Corp.</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04/09/27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9.83%</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16,181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16,072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16,100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Ad.Net Acquisition,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10.26%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SOFR+626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4,788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Aechelon Technology,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4,800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4,718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Alpine Acquisition Corp II (4), (7)</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10/12/22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11/30/26</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15,056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7,896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Amsive Holdings Corporation</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13,805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13,745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13,667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Anteriad, LLC (f/k/a MeritDirect,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06/30/26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13,837</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13,803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13,837</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Arcfield Acquisition Corp.</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07/26/22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10/28/31</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9.31%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Archer Lewis,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12/20/24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08/28/29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15,426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Argano,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09/13/29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14,850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14,730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14,628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BLC Holding Company,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02/24/25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11/20/30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Environmental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11,942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12,013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Beacon Behavioral Support Services,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09/16/24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9.50%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24,305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Best Practice Associates,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01/21/25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10.91%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19,850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19,606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Beta Plus Technologies,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08/11/22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07/02/29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14,550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14,375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Manufacturing / Basic</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Big Top Holdings,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02/28/30</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Industries</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6,531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6,626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Bioderm,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01/31/28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10.77%</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SOFR+650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09/17/26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SOFR+540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25,244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25,052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24,802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Boss Industries,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07/21/25</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12/27/30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Conglomerate Manufacturing</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5,916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Burgess Point Purchaser Corporation</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10/03/22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07/25/29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6,186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5,926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5,348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C5MI Acquisition,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10/09/24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7,425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CF512,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12/29/21</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08/20/26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SOFR+619</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9,042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8,983</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8,952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Carisk Buyer,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02/09/24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12/01/29</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Carnegie Dartlet,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06/26/24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02/07/30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Education</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22,655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22,360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22,428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Cartessa Aesthetics,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06/14/28</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21,880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21,708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Case Works,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11/26/24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10/01/29</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10,436</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10,366</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9,966</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Commercial Fire Protection Holdings,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09/23/30</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20,831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20,730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20,831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Compex Legal Services,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02/09/26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931</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Confluent Health,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11/30/28</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SOFR+750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CJX Borrower,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08/12/22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07/13/27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10.08%</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8,624</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8,614</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8,624</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08/16/27</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10.03%</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SOFR+586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DRI Holding Inc.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08/04/22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12/21/28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SOFR+535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5,442</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5,655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DRS Holdings III,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11/03/25</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4,478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4,478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Duggal Acquisition,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09/30/30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Marketing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4,910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Dynata, LLC - First Out Term Loan</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07/15/24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07/17/28</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9.46%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1,572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Dynata, LLC - Last Out Term Loan</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07/15/24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10/16/28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SOFR+576</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9,670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9,670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7,873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EDS Buyer,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01/10/29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SOFR+475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23,169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22,915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ETE Intermediate II,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05/29/29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9.16%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11,963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Emergency Care Partners,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12/23/24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10/18/27</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EvAL Home Care Solutions Intermediate,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07/23/24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05/10/30</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Exigo Intermediate II,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03/15/27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10.51%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9,551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8"/>
              </w:rPr>
              <w:t>Hotels, Motels, Inns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Five Star Buyer,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02/23/28</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Gaming</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13.35%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SOFR+915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Home and Office Furnishings,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Housewares and Durable</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GGG Midco, LLC</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12/16/24</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09/27/30</w:t>
            </w:r>
          </w:p>
        </w:tc>
        <w:tc>
          <w:tcPr>
            <w:tcW w:w="30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Banking, Finance, Insurance &amp;</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03/16/26</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9.74%</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SOFR+560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Graffiti Buyer,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08/10/27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9.80%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SOFR+560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3,959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3,928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HEC Purchaser Corp.</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09/16/24</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06/17/29</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8.87%</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7,798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HV Watterson Holdings, LLC (4)</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09/09/22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8.00%</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15,570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15,496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HW Holdco,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05/10/26</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23,593</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23,537</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23,593</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Insurance</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9.60%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Harris &amp; Co,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12/20/24</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08/09/30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Financial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9.16%</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19,182</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18,995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19,015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Hills Distribution,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02/13/24</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11/08/29</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10.32%</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14,148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13,992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IG Investments Holdings,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09/22/28</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9.31%</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SOFR+500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4,350</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4,305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4,328</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Imagine Acquisitionco,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11/15/27</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SOFR+510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5,452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5,402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5,452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6"/>
              </w:rPr>
              <w:t>Personal, Food and</w:t>
            </w: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1160" w:type="dxa"/>
            <w:vAlign w:val="bottom"/>
            <w:gridSpan w:val="2"/>
            <w:shd w:val="clear" w:color="auto" w:fill="CCECFF"/>
          </w:tcPr>
          <w:p>
            <w:pPr>
              <w:jc w:val="center"/>
              <w:ind w:left="186"/>
              <w:spacing w:after="0"/>
              <w:rPr>
                <w:sz w:val="20"/>
                <w:szCs w:val="20"/>
                <w:color w:val="auto"/>
              </w:rPr>
            </w:pPr>
            <w:r>
              <w:rPr>
                <w:rFonts w:ascii="Times New Roman" w:cs="Times New Roman" w:eastAsia="Times New Roman" w:hAnsi="Times New Roman"/>
                <w:sz w:val="11"/>
                <w:szCs w:val="11"/>
                <w:color w:val="auto"/>
              </w:rPr>
              <w:t>02/07/23</w:t>
            </w:r>
          </w:p>
        </w:tc>
        <w:tc>
          <w:tcPr>
            <w:tcW w:w="94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12/28/28</w:t>
            </w: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0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rPr>
              <w:t>10.16%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SOFR+600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13,622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13,749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Infolinks Media Buyco, LLC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0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9.50%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13,046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13,007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12,981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Inovex Information Systems Incorporated</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03/04/25</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12/17/30</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0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5,918</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Inventus Power, Inc.</w:t>
            </w:r>
          </w:p>
        </w:tc>
        <w:tc>
          <w:tcPr>
            <w:tcW w:w="1160" w:type="dxa"/>
            <w:vAlign w:val="bottom"/>
            <w:gridSpan w:val="2"/>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10/10/23</w:t>
            </w:r>
          </w:p>
        </w:tc>
        <w:tc>
          <w:tcPr>
            <w:tcW w:w="94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01/15/26</w:t>
            </w:r>
          </w:p>
        </w:tc>
        <w:tc>
          <w:tcPr>
            <w:tcW w:w="3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11.78%</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SOFR+761</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12,968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Kinetic Purchaser, LLC</w:t>
            </w:r>
          </w:p>
        </w:tc>
        <w:tc>
          <w:tcPr>
            <w:tcW w:w="1160" w:type="dxa"/>
            <w:vAlign w:val="bottom"/>
            <w:gridSpan w:val="2"/>
            <w:shd w:val="clear" w:color="auto" w:fill="CCECFF"/>
          </w:tcPr>
          <w:p>
            <w:pPr>
              <w:jc w:val="center"/>
              <w:ind w:left="18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4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11/10/27</w:t>
            </w:r>
          </w:p>
        </w:tc>
        <w:tc>
          <w:tcPr>
            <w:tcW w:w="30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80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rPr>
              <w:t>10.15%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SOFR+615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13,701</w:t>
            </w: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13,590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11,646</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jc w:val="center"/>
              <w:ind w:right="6"/>
              <w:spacing w:after="0" w:line="108" w:lineRule="exact"/>
              <w:rPr>
                <w:sz w:val="20"/>
                <w:szCs w:val="20"/>
                <w:color w:val="auto"/>
              </w:rPr>
            </w:pPr>
            <w:r>
              <w:rPr>
                <w:rFonts w:ascii="Times New Roman" w:cs="Times New Roman" w:eastAsia="Times New Roman" w:hAnsi="Times New Roman"/>
                <w:sz w:val="11"/>
                <w:szCs w:val="11"/>
                <w:color w:val="auto"/>
                <w:w w:val="97"/>
              </w:rPr>
              <w:t>Leisure, Amusement, Motion</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 - Takeback TL</w:t>
            </w:r>
          </w:p>
        </w:tc>
        <w:tc>
          <w:tcPr>
            <w:tcW w:w="1160" w:type="dxa"/>
            <w:vAlign w:val="bottom"/>
            <w:gridSpan w:val="2"/>
          </w:tcPr>
          <w:p>
            <w:pPr>
              <w:jc w:val="center"/>
              <w:ind w:left="186"/>
              <w:spacing w:after="0"/>
              <w:rPr>
                <w:sz w:val="20"/>
                <w:szCs w:val="20"/>
                <w:color w:val="auto"/>
              </w:rPr>
            </w:pPr>
            <w:r>
              <w:rPr>
                <w:rFonts w:ascii="Times New Roman" w:cs="Times New Roman" w:eastAsia="Times New Roman" w:hAnsi="Times New Roman"/>
                <w:sz w:val="11"/>
                <w:szCs w:val="11"/>
                <w:color w:val="auto"/>
              </w:rPr>
              <w:t>07/31/25</w:t>
            </w:r>
          </w:p>
        </w:tc>
        <w:tc>
          <w:tcPr>
            <w:tcW w:w="94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Pictures, Entertainment</w:t>
            </w:r>
          </w:p>
        </w:tc>
        <w:tc>
          <w:tcPr>
            <w:tcW w:w="80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rPr>
              <w:t>10.10%</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SOFR+594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2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Above</w:t>
            </w:r>
          </w:p>
        </w:tc>
        <w:tc>
          <w:tcPr>
            <w:tcW w:w="20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Par</w:t>
            </w:r>
          </w:p>
        </w:tc>
        <w:tc>
          <w:tcPr>
            <w:tcW w:w="220" w:type="dxa"/>
            <w:vAlign w:val="bottom"/>
          </w:tcPr>
          <w:p>
            <w:pPr>
              <w:spacing w:after="0"/>
              <w:rPr>
                <w:sz w:val="12"/>
                <w:szCs w:val="12"/>
                <w:color w:val="auto"/>
              </w:rPr>
            </w:pPr>
          </w:p>
        </w:tc>
        <w:tc>
          <w:tcPr>
            <w:tcW w:w="6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780" w:type="dxa"/>
            <w:vAlign w:val="bottom"/>
            <w:tcBorders>
              <w:top w:val="single" w:sz="8" w:color="auto"/>
            </w:tcBorders>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920" w:type="dxa"/>
            <w:vAlign w:val="bottom"/>
            <w:tcBorders>
              <w:top w:val="single" w:sz="8" w:color="auto"/>
            </w:tcBorders>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800" w:type="dxa"/>
            <w:vAlign w:val="bottom"/>
            <w:tcBorders>
              <w:top w:val="single" w:sz="8" w:color="auto"/>
            </w:tcBorders>
            <w:shd w:val="clear" w:color="auto" w:fill="CCECFF"/>
          </w:tcPr>
          <w:p>
            <w:pPr>
              <w:spacing w:after="0"/>
              <w:rPr>
                <w:sz w:val="8"/>
                <w:szCs w:val="8"/>
                <w:color w:val="auto"/>
              </w:rPr>
            </w:pPr>
          </w:p>
        </w:tc>
        <w:tc>
          <w:tcPr>
            <w:tcW w:w="320" w:type="dxa"/>
            <w:vAlign w:val="bottom"/>
            <w:shd w:val="clear" w:color="auto" w:fill="CCECFF"/>
          </w:tcPr>
          <w:p>
            <w:pPr>
              <w:spacing w:after="0"/>
              <w:rPr>
                <w:sz w:val="8"/>
                <w:szCs w:val="8"/>
                <w:color w:val="auto"/>
              </w:rPr>
            </w:pPr>
          </w:p>
        </w:tc>
        <w:tc>
          <w:tcPr>
            <w:tcW w:w="1360" w:type="dxa"/>
            <w:vAlign w:val="bottom"/>
            <w:tcBorders>
              <w:top w:val="single" w:sz="8" w:color="auto"/>
            </w:tcBorders>
            <w:shd w:val="clear" w:color="auto" w:fill="CCECFF"/>
          </w:tcPr>
          <w:p>
            <w:pPr>
              <w:jc w:val="center"/>
              <w:spacing w:after="0" w:line="102" w:lineRule="exact"/>
              <w:rPr>
                <w:sz w:val="20"/>
                <w:szCs w:val="20"/>
                <w:color w:val="auto"/>
              </w:rPr>
            </w:pPr>
            <w:r>
              <w:rPr>
                <w:rFonts w:ascii="Times New Roman" w:cs="Times New Roman" w:eastAsia="Times New Roman" w:hAnsi="Times New Roman"/>
                <w:sz w:val="11"/>
                <w:szCs w:val="11"/>
                <w:color w:val="auto"/>
                <w:w w:val="98"/>
              </w:rPr>
              <w:t>Leisure, Amusement, Motion</w:t>
            </w:r>
          </w:p>
        </w:tc>
        <w:tc>
          <w:tcPr>
            <w:tcW w:w="120" w:type="dxa"/>
            <w:vAlign w:val="bottom"/>
            <w:shd w:val="clear" w:color="auto" w:fill="CCECFF"/>
          </w:tcPr>
          <w:p>
            <w:pPr>
              <w:spacing w:after="0"/>
              <w:rPr>
                <w:sz w:val="8"/>
                <w:szCs w:val="8"/>
                <w:color w:val="auto"/>
              </w:rPr>
            </w:pPr>
          </w:p>
        </w:tc>
        <w:tc>
          <w:tcPr>
            <w:tcW w:w="70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60" w:type="dxa"/>
            <w:vAlign w:val="bottom"/>
            <w:tcBorders>
              <w:top w:val="single" w:sz="8" w:color="auto"/>
            </w:tcBorders>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40" w:type="dxa"/>
            <w:vAlign w:val="bottom"/>
            <w:tcBorders>
              <w:top w:val="single" w:sz="8" w:color="auto"/>
            </w:tcBorders>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60" w:type="dxa"/>
            <w:vAlign w:val="bottom"/>
            <w:tcBorders>
              <w:top w:val="single" w:sz="8" w:color="auto"/>
            </w:tcBorders>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800" w:type="dxa"/>
            <w:vAlign w:val="bottom"/>
            <w:tcBorders>
              <w:top w:val="single" w:sz="8" w:color="auto"/>
            </w:tcBorders>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 - Priority TL</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07/31/25</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07/31/29</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Pictures, Entertainment</w:t>
            </w:r>
          </w:p>
        </w:tc>
        <w:tc>
          <w:tcPr>
            <w:tcW w:w="8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10.10%</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SOFR+594</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Lash OpCo,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02/18/27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12.16%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SOFR+785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21,525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21,466</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20,987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02/03/27</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SOFR+475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20,115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20,017</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LJ Avalon Holdings,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02/01/30</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8.77%</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SOFR+450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7,636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7,550</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7,636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04/01/27</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SOFR+560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7,939</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8,142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Chemicals, Plastics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MDI Buyer, Inc.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12/20/24</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07/25/28</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8.95%</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SOFR+475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Marketplace Events Acquisition,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03/04/25</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12/19/30</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19,727</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MBS Holdings, Inc.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04/16/27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9.30%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SOFR+510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8,244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8,197</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Meadowlark Acquirer,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04/01/22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12/10/27</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9.65%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SOFR+565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2,893</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2,865</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2,893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Medina Health, LLC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01/18/24</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10/20/28</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10.25%</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SOFR+625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Megawatt Acquisitionco,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07/17/24</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7,880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7,788</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7,502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MOREgroup Holdings, Inc.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08/29/24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01/16/30</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19,472</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19,700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10/01/27</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9,575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9,512</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9,575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NBH Group, LLC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08/19/26</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10.12%</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SOFR+585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NORA Acquisition,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11/21/23</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08/31/29</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10.35%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SOFR+635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20,090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OSP Embedded Purchaser,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01/17/25</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12/17/29</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9.76%</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18,926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18,793</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18,661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Omnia Exterior Solutions,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07/25/24</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12/29/29</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9.26%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17,982</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17,766</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One Stop Mailing,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06/07/23</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05/07/27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10.53%</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SOFR+636</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8,199</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PCS Midco,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08/29/24</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03/01/30</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5,753</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5,688</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5,753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Pink Lily Holdco, LLC (5)</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04/01/22</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11/09/27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Retail</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4.27%</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8,761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8,699</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Pacific Purchaser,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03/21/24</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10/02/28</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SOFR+625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12,773</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12,602</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PAR Excellence Holdings, Inc.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11/26/24</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09/03/30</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9.17%</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Project Granite Buyer,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07/21/25</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12/31/30</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5,955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5,903</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6,015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RRA Corporate,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12/23/24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08/15/29</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9.25%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3,960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3,930</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RTIC Subsidiary Holdings,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07/23/24</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05/03/29</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9.75%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24,700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24,365</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24,453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Radius Aerospace, Inc.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11/06/19</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03/29/27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10.45%</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SOFR+615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11,780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11,714</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11,515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06/20/29</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9.29%</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SOFR+500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22,704</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22,631</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Recteq,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06/26/24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01/29/26</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SOFR+640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9,537</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06/21/27</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8.75%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SOFR+475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3,861</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Healthcare Providers &amp;</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Ro Health, LLC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04/03/25</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01/17/31</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Services</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8.50%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SOFR+450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Rural Sourcing Holdings,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06/16/29</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5,435</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5,367</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4,891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Sabel Systems Technology Solutions,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01/07/25</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10/31/30</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11,813</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11,910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Sales Benchmark Index,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07/07/26</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10.20%</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SOFR+620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6,617</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6,597</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6,617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Diversified Conglomerate</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Seacoast Service Partners NA, LLC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07/21/25</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12/20/29</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Service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Chemicals, Plastics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09/14/22</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06/13/29</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Rubber</w:t>
            </w:r>
          </w:p>
        </w:tc>
        <w:tc>
          <w:tcPr>
            <w:tcW w:w="82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rPr>
              <w:t>10.15%</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SOFR+615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14,394</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Sigma Defense Systems,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12/01/23</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12/20/27</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10.31%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SOFR+615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23,904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23,741</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23,904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03/01/28</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9.15%</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SOFR+515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9,412</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9,261</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9,412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STG Distribution, LLC - First Out New Money Term Loans</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10/03/24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12.57%</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SOFR+835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1,986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1,895</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STG Distribution, LLC - Second Out Term Loans (5)</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10/03/24</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10/03/29</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5.32%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4,566</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2,594</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SV-Aero Holdings,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10/31/24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11/01/30</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14,656</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14,719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Systems Planning And Analysis, Inc.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08/16/27</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8.92%</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16,919</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16,816</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16,784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TCG 3.0 Jogger Acquisitionco, Inc.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02/27/24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01/23/29</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Media</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10.52%</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SOFR+650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9,850</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9,732</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9,801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Personal, Food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TMII Enterprises,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12/22/28</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Miscellaneous Services</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8.66%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19,878</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19,692</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TPC US Parent,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11/24/25</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Food</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10.19%</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SOFR+590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11,269</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11,185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Team Services Group,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12/20/27</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9.56%</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SOFR+525</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9,588</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9,434</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The Bluebird Group,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07/28/26</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SOFR+590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16,306</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The Vertex Companies,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08/31/28</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8.93%</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SOFR+475</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14,480</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14,393</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14,408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Transgo,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06/07/24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12/29/28</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Auto Sector</w:t>
            </w:r>
          </w:p>
        </w:tc>
        <w:tc>
          <w:tcPr>
            <w:tcW w:w="820" w:type="dxa"/>
            <w:vAlign w:val="bottom"/>
            <w:gridSpan w:val="2"/>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9.91%</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SOFR+575</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16,363</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16,215</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16,486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Tyto Athene, LLC</w:t>
            </w:r>
          </w:p>
        </w:tc>
        <w:tc>
          <w:tcPr>
            <w:tcW w:w="1180" w:type="dxa"/>
            <w:vAlign w:val="bottom"/>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03/02/22</w:t>
            </w:r>
          </w:p>
        </w:tc>
        <w:tc>
          <w:tcPr>
            <w:tcW w:w="980" w:type="dxa"/>
            <w:vAlign w:val="bottom"/>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04/01/28</w:t>
            </w:r>
          </w:p>
        </w:tc>
        <w:tc>
          <w:tcPr>
            <w:tcW w:w="320" w:type="dxa"/>
            <w:vAlign w:val="bottom"/>
            <w:shd w:val="clear" w:color="auto" w:fill="CCECFF"/>
          </w:tcPr>
          <w:p>
            <w:pPr>
              <w:spacing w:after="0"/>
              <w:rPr>
                <w:sz w:val="10"/>
                <w:szCs w:val="10"/>
                <w:color w:val="auto"/>
              </w:rPr>
            </w:pPr>
          </w:p>
        </w:tc>
        <w:tc>
          <w:tcPr>
            <w:tcW w:w="13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820" w:type="dxa"/>
            <w:vAlign w:val="bottom"/>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9.19%</w:t>
            </w: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SOFR+490</w:t>
            </w:r>
          </w:p>
        </w:tc>
        <w:tc>
          <w:tcPr>
            <w:tcW w:w="7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11,342</w:t>
            </w:r>
          </w:p>
        </w:tc>
        <w:tc>
          <w:tcPr>
            <w:tcW w:w="88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11,271</w:t>
            </w:r>
          </w:p>
        </w:tc>
        <w:tc>
          <w:tcPr>
            <w:tcW w:w="100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11,058</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Urology Management Holdings, Inc.</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07/24/23</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06/15/27</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9.66%</w:t>
            </w: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SOFR+550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Healthcare, Education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Fertility Enterprises, LLC</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09/03/25</w:t>
            </w:r>
          </w:p>
        </w:tc>
        <w:tc>
          <w:tcPr>
            <w:tcW w:w="98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7"/>
              </w:rPr>
              <w:t>10/11/31</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Childcare</w:t>
            </w:r>
          </w:p>
        </w:tc>
        <w:tc>
          <w:tcPr>
            <w:tcW w:w="82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8.67%</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SOFR+450</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4,931</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Watchtower Buyer, LLC</w:t>
            </w:r>
          </w:p>
        </w:tc>
        <w:tc>
          <w:tcPr>
            <w:tcW w:w="118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09/19/24</w:t>
            </w:r>
          </w:p>
        </w:tc>
        <w:tc>
          <w:tcPr>
            <w:tcW w:w="98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12/01/29</w:t>
            </w:r>
          </w:p>
        </w:tc>
        <w:tc>
          <w:tcPr>
            <w:tcW w:w="3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Consumer Products</w:t>
            </w:r>
          </w:p>
        </w:tc>
        <w:tc>
          <w:tcPr>
            <w:tcW w:w="82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SOFR+600</w:t>
            </w:r>
          </w:p>
        </w:tc>
        <w:tc>
          <w:tcPr>
            <w:tcW w:w="7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23,114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22,912</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80" w:type="dxa"/>
            <w:vAlign w:val="bottom"/>
            <w:tcBorders>
              <w:bottom w:val="single" w:sz="8" w:color="CCECFF"/>
            </w:tcBorders>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Wash &amp; Wax Systems, LLC</w:t>
            </w:r>
          </w:p>
        </w:tc>
        <w:tc>
          <w:tcPr>
            <w:tcW w:w="1180" w:type="dxa"/>
            <w:vAlign w:val="bottom"/>
            <w:tcBorders>
              <w:bottom w:val="single" w:sz="8" w:color="CCECFF"/>
            </w:tcBorders>
            <w:gridSpan w:val="2"/>
            <w:shd w:val="clear" w:color="auto" w:fill="CCECFF"/>
          </w:tcPr>
          <w:p>
            <w:pPr>
              <w:jc w:val="center"/>
              <w:ind w:left="206"/>
              <w:spacing w:after="0" w:line="122" w:lineRule="exact"/>
              <w:rPr>
                <w:sz w:val="20"/>
                <w:szCs w:val="20"/>
                <w:color w:val="auto"/>
              </w:rPr>
            </w:pPr>
            <w:r>
              <w:rPr>
                <w:rFonts w:ascii="Times New Roman" w:cs="Times New Roman" w:eastAsia="Times New Roman" w:hAnsi="Times New Roman"/>
                <w:sz w:val="11"/>
                <w:szCs w:val="11"/>
                <w:color w:val="auto"/>
              </w:rPr>
              <w:t>04/30/25</w:t>
            </w:r>
          </w:p>
        </w:tc>
        <w:tc>
          <w:tcPr>
            <w:tcW w:w="980" w:type="dxa"/>
            <w:vAlign w:val="bottom"/>
            <w:tcBorders>
              <w:bottom w:val="single" w:sz="8" w:color="CCECFF"/>
            </w:tcBorders>
            <w:gridSpan w:val="2"/>
            <w:shd w:val="clear" w:color="auto" w:fill="CCECFF"/>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7"/>
              </w:rPr>
              <w:t>04/30/28</w:t>
            </w:r>
          </w:p>
        </w:tc>
        <w:tc>
          <w:tcPr>
            <w:tcW w:w="320" w:type="dxa"/>
            <w:vAlign w:val="bottom"/>
            <w:tcBorders>
              <w:bottom w:val="single" w:sz="8" w:color="CCECFF"/>
            </w:tcBorders>
            <w:shd w:val="clear" w:color="auto" w:fill="CCECFF"/>
          </w:tcPr>
          <w:p>
            <w:pPr>
              <w:spacing w:after="0"/>
              <w:rPr>
                <w:sz w:val="10"/>
                <w:szCs w:val="10"/>
                <w:color w:val="auto"/>
              </w:rPr>
            </w:pPr>
          </w:p>
        </w:tc>
        <w:tc>
          <w:tcPr>
            <w:tcW w:w="1360" w:type="dxa"/>
            <w:vAlign w:val="bottom"/>
            <w:tcBorders>
              <w:bottom w:val="single" w:sz="8" w:color="CCECFF"/>
            </w:tcBorders>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tcBorders>
              <w:bottom w:val="single" w:sz="8" w:color="CCECFF"/>
            </w:tcBorders>
            <w:gridSpan w:val="2"/>
            <w:shd w:val="clear" w:color="auto" w:fill="CCECFF"/>
          </w:tcPr>
          <w:p>
            <w:pPr>
              <w:jc w:val="center"/>
              <w:ind w:left="46"/>
              <w:spacing w:after="0" w:line="122" w:lineRule="exact"/>
              <w:rPr>
                <w:sz w:val="20"/>
                <w:szCs w:val="20"/>
                <w:color w:val="auto"/>
              </w:rPr>
            </w:pPr>
            <w:r>
              <w:rPr>
                <w:rFonts w:ascii="Times New Roman" w:cs="Times New Roman" w:eastAsia="Times New Roman" w:hAnsi="Times New Roman"/>
                <w:sz w:val="11"/>
                <w:szCs w:val="11"/>
                <w:color w:val="auto"/>
                <w:w w:val="98"/>
              </w:rPr>
              <w:t>9.81%</w:t>
            </w:r>
          </w:p>
        </w:tc>
        <w:tc>
          <w:tcPr>
            <w:tcW w:w="220" w:type="dxa"/>
            <w:vAlign w:val="bottom"/>
            <w:tcBorders>
              <w:bottom w:val="single" w:sz="8" w:color="CCECFF"/>
            </w:tcBorders>
            <w:shd w:val="clear" w:color="auto" w:fill="CCECFF"/>
          </w:tcPr>
          <w:p>
            <w:pPr>
              <w:spacing w:after="0"/>
              <w:rPr>
                <w:sz w:val="10"/>
                <w:szCs w:val="10"/>
                <w:color w:val="auto"/>
              </w:rPr>
            </w:pPr>
          </w:p>
        </w:tc>
        <w:tc>
          <w:tcPr>
            <w:tcW w:w="860" w:type="dxa"/>
            <w:vAlign w:val="bottom"/>
            <w:tcBorders>
              <w:bottom w:val="single" w:sz="8" w:color="CCECFF"/>
            </w:tcBorders>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SOFR+550</w:t>
            </w:r>
          </w:p>
        </w:tc>
        <w:tc>
          <w:tcPr>
            <w:tcW w:w="740" w:type="dxa"/>
            <w:vAlign w:val="bottom"/>
            <w:tcBorders>
              <w:bottom w:val="single" w:sz="8" w:color="CCECFF"/>
            </w:tcBorders>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6,577</w:t>
            </w:r>
          </w:p>
        </w:tc>
        <w:tc>
          <w:tcPr>
            <w:tcW w:w="220" w:type="dxa"/>
            <w:vAlign w:val="bottom"/>
            <w:tcBorders>
              <w:bottom w:val="single" w:sz="8" w:color="CCECFF"/>
            </w:tcBorders>
            <w:shd w:val="clear" w:color="auto" w:fill="CCECFF"/>
          </w:tcPr>
          <w:p>
            <w:pPr>
              <w:spacing w:after="0"/>
              <w:rPr>
                <w:sz w:val="10"/>
                <w:szCs w:val="10"/>
                <w:color w:val="auto"/>
              </w:rPr>
            </w:pPr>
          </w:p>
        </w:tc>
        <w:tc>
          <w:tcPr>
            <w:tcW w:w="66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6,686</w:t>
            </w:r>
          </w:p>
        </w:tc>
        <w:tc>
          <w:tcPr>
            <w:tcW w:w="200" w:type="dxa"/>
            <w:vAlign w:val="bottom"/>
            <w:tcBorders>
              <w:bottom w:val="single" w:sz="8" w:color="CCECFF"/>
            </w:tcBorders>
            <w:shd w:val="clear" w:color="auto" w:fill="CCECFF"/>
          </w:tcPr>
          <w:p>
            <w:pPr>
              <w:spacing w:after="0"/>
              <w:rPr>
                <w:sz w:val="10"/>
                <w:szCs w:val="10"/>
                <w:color w:val="auto"/>
              </w:rPr>
            </w:pPr>
          </w:p>
        </w:tc>
        <w:tc>
          <w:tcPr>
            <w:tcW w:w="800" w:type="dxa"/>
            <w:vAlign w:val="bottom"/>
            <w:tcBorders>
              <w:bottom w:val="single" w:sz="8" w:color="auto"/>
            </w:tcBorders>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6,708</w:t>
            </w: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1,276,720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1,253,543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 - 3.7% of Net Assets</w:t>
            </w: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Systems, LLC - Subordinate Debt</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04/30/25</w:t>
            </w:r>
          </w:p>
        </w:tc>
        <w:tc>
          <w:tcPr>
            <w:tcW w:w="98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7"/>
              </w:rPr>
              <w:t>07/30/28</w:t>
            </w:r>
          </w:p>
        </w:tc>
        <w:tc>
          <w:tcPr>
            <w:tcW w:w="32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12.00%</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20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2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80" w:type="dxa"/>
            <w:vAlign w:val="bottom"/>
            <w:tcBorders>
              <w:top w:val="single" w:sz="8" w:color="CCECFF"/>
            </w:tcBorders>
          </w:tcPr>
          <w:p>
            <w:pPr>
              <w:spacing w:after="0"/>
              <w:rPr>
                <w:sz w:val="12"/>
                <w:szCs w:val="12"/>
                <w:color w:val="auto"/>
              </w:rPr>
            </w:pPr>
          </w:p>
        </w:tc>
        <w:tc>
          <w:tcPr>
            <w:tcW w:w="260" w:type="dxa"/>
            <w:vAlign w:val="bottom"/>
            <w:tcBorders>
              <w:top w:val="single" w:sz="8" w:color="CCECFF"/>
            </w:tcBorders>
          </w:tcPr>
          <w:p>
            <w:pPr>
              <w:spacing w:after="0"/>
              <w:rPr>
                <w:sz w:val="12"/>
                <w:szCs w:val="12"/>
                <w:color w:val="auto"/>
              </w:rPr>
            </w:pPr>
          </w:p>
        </w:tc>
        <w:tc>
          <w:tcPr>
            <w:tcW w:w="920" w:type="dxa"/>
            <w:vAlign w:val="bottom"/>
            <w:tcBorders>
              <w:top w:val="single" w:sz="8" w:color="CCECFF"/>
            </w:tcBorders>
          </w:tcPr>
          <w:p>
            <w:pPr>
              <w:spacing w:after="0"/>
              <w:rPr>
                <w:sz w:val="12"/>
                <w:szCs w:val="12"/>
                <w:color w:val="auto"/>
              </w:rPr>
            </w:pPr>
          </w:p>
        </w:tc>
        <w:tc>
          <w:tcPr>
            <w:tcW w:w="180" w:type="dxa"/>
            <w:vAlign w:val="bottom"/>
            <w:tcBorders>
              <w:top w:val="single" w:sz="8" w:color="CCECFF"/>
            </w:tcBorders>
          </w:tcPr>
          <w:p>
            <w:pPr>
              <w:spacing w:after="0"/>
              <w:rPr>
                <w:sz w:val="12"/>
                <w:szCs w:val="12"/>
                <w:color w:val="auto"/>
              </w:rPr>
            </w:pPr>
          </w:p>
        </w:tc>
        <w:tc>
          <w:tcPr>
            <w:tcW w:w="800" w:type="dxa"/>
            <w:vAlign w:val="bottom"/>
            <w:tcBorders>
              <w:top w:val="single" w:sz="8" w:color="CCECFF"/>
            </w:tcBorders>
          </w:tcPr>
          <w:p>
            <w:pPr>
              <w:spacing w:after="0"/>
              <w:rPr>
                <w:sz w:val="12"/>
                <w:szCs w:val="12"/>
                <w:color w:val="auto"/>
              </w:rPr>
            </w:pPr>
          </w:p>
        </w:tc>
        <w:tc>
          <w:tcPr>
            <w:tcW w:w="320" w:type="dxa"/>
            <w:vAlign w:val="bottom"/>
            <w:tcBorders>
              <w:top w:val="single" w:sz="8" w:color="CCECFF"/>
            </w:tcBorders>
          </w:tcPr>
          <w:p>
            <w:pPr>
              <w:spacing w:after="0"/>
              <w:rPr>
                <w:sz w:val="12"/>
                <w:szCs w:val="12"/>
                <w:color w:val="auto"/>
              </w:rPr>
            </w:pPr>
          </w:p>
        </w:tc>
        <w:tc>
          <w:tcPr>
            <w:tcW w:w="1360" w:type="dxa"/>
            <w:vAlign w:val="bottom"/>
            <w:tcBorders>
              <w:top w:val="single" w:sz="8" w:color="CCECFF"/>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c>
          <w:tcPr>
            <w:tcW w:w="700" w:type="dxa"/>
            <w:vAlign w:val="bottom"/>
            <w:tcBorders>
              <w:top w:val="single" w:sz="8" w:color="CCECFF"/>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860" w:type="dxa"/>
            <w:vAlign w:val="bottom"/>
            <w:tcBorders>
              <w:top w:val="single" w:sz="8" w:color="CCECFF"/>
            </w:tcBorders>
          </w:tcPr>
          <w:p>
            <w:pPr>
              <w:spacing w:after="0"/>
              <w:rPr>
                <w:sz w:val="12"/>
                <w:szCs w:val="12"/>
                <w:color w:val="auto"/>
              </w:rPr>
            </w:pPr>
          </w:p>
        </w:tc>
        <w:tc>
          <w:tcPr>
            <w:tcW w:w="200" w:type="dxa"/>
            <w:vAlign w:val="bottom"/>
            <w:tcBorders>
              <w:top w:val="single" w:sz="8" w:color="CCECFF"/>
            </w:tcBorders>
          </w:tcPr>
          <w:p>
            <w:pPr>
              <w:spacing w:after="0"/>
              <w:rPr>
                <w:sz w:val="12"/>
                <w:szCs w:val="12"/>
                <w:color w:val="auto"/>
              </w:rPr>
            </w:pPr>
          </w:p>
        </w:tc>
        <w:tc>
          <w:tcPr>
            <w:tcW w:w="540" w:type="dxa"/>
            <w:vAlign w:val="bottom"/>
            <w:tcBorders>
              <w:top w:val="single" w:sz="8" w:color="CCECFF"/>
            </w:tcBorders>
          </w:tcPr>
          <w:p>
            <w:pPr>
              <w:spacing w:after="0"/>
              <w:rPr>
                <w:sz w:val="12"/>
                <w:szCs w:val="12"/>
                <w:color w:val="auto"/>
              </w:rPr>
            </w:pPr>
          </w:p>
        </w:tc>
        <w:tc>
          <w:tcPr>
            <w:tcW w:w="220" w:type="dxa"/>
            <w:vAlign w:val="bottom"/>
            <w:tcBorders>
              <w:top w:val="single" w:sz="8" w:color="CCEC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CEC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Equity Securities - 6.6% of Net Assets</w:t>
            </w:r>
          </w:p>
        </w:tc>
        <w:tc>
          <w:tcPr>
            <w:tcW w:w="2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New Insight Holdings, Inc. - Common Equity</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07/15/24</w:t>
            </w:r>
          </w:p>
        </w:tc>
        <w:tc>
          <w:tcPr>
            <w:tcW w:w="180" w:type="dxa"/>
            <w:vAlign w:val="bottom"/>
          </w:tcPr>
          <w:p>
            <w:pPr>
              <w:spacing w:after="0"/>
              <w:rPr>
                <w:sz w:val="12"/>
                <w:szCs w:val="12"/>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134,330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320" w:type="dxa"/>
            <w:vAlign w:val="bottom"/>
            <w:shd w:val="clear" w:color="auto" w:fill="CCECFF"/>
          </w:tcPr>
          <w:p>
            <w:pPr>
              <w:spacing w:after="0"/>
              <w:rPr>
                <w:sz w:val="9"/>
                <w:szCs w:val="9"/>
                <w:color w:val="auto"/>
              </w:rPr>
            </w:pPr>
          </w:p>
        </w:tc>
        <w:tc>
          <w:tcPr>
            <w:tcW w:w="136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Containers, Packaging and</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8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48Forty Intermediate Holdings, Inc. - Common Equity</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11/05/24</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shd w:val="clear" w:color="auto" w:fill="CCECFF"/>
          </w:tcPr>
          <w:p>
            <w:pPr>
              <w:spacing w:after="0"/>
              <w:rPr>
                <w:sz w:val="11"/>
                <w:szCs w:val="11"/>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Glass</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20"/>
                <w:szCs w:val="20"/>
                <w:color w:val="auto"/>
              </w:rPr>
            </w:pPr>
            <w:r>
              <w:rPr>
                <w:rFonts w:ascii="Times New Roman" w:cs="Times New Roman" w:eastAsia="Times New Roman" w:hAnsi="Times New Roman"/>
                <w:sz w:val="11"/>
                <w:szCs w:val="11"/>
                <w:color w:val="auto"/>
              </w:rPr>
              <w:t>Wash &amp; Wax Group, LP - Common Equity</w:t>
            </w:r>
          </w:p>
        </w:tc>
        <w:tc>
          <w:tcPr>
            <w:tcW w:w="1180" w:type="dxa"/>
            <w:vAlign w:val="bottom"/>
            <w:gridSpan w:val="2"/>
          </w:tcPr>
          <w:p>
            <w:pPr>
              <w:jc w:val="center"/>
              <w:ind w:left="206"/>
              <w:spacing w:after="0"/>
              <w:rPr>
                <w:sz w:val="20"/>
                <w:szCs w:val="20"/>
                <w:color w:val="auto"/>
              </w:rPr>
            </w:pPr>
            <w:r>
              <w:rPr>
                <w:rFonts w:ascii="Times New Roman" w:cs="Times New Roman" w:eastAsia="Times New Roman" w:hAnsi="Times New Roman"/>
                <w:sz w:val="11"/>
                <w:szCs w:val="11"/>
                <w:color w:val="auto"/>
              </w:rPr>
              <w:t>04/30/25</w:t>
            </w:r>
          </w:p>
        </w:tc>
        <w:tc>
          <w:tcPr>
            <w:tcW w:w="180" w:type="dxa"/>
            <w:vAlign w:val="bottom"/>
          </w:tcPr>
          <w:p>
            <w:pPr>
              <w:spacing w:after="0"/>
              <w:rPr>
                <w:sz w:val="12"/>
                <w:szCs w:val="12"/>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2,803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White Tiger Newco, LLC - Common Equity</w:t>
            </w:r>
          </w:p>
        </w:tc>
        <w:tc>
          <w:tcPr>
            <w:tcW w:w="1180" w:type="dxa"/>
            <w:vAlign w:val="bottom"/>
            <w:gridSpan w:val="2"/>
            <w:shd w:val="clear" w:color="auto" w:fill="CCECFF"/>
          </w:tcPr>
          <w:p>
            <w:pPr>
              <w:jc w:val="center"/>
              <w:ind w:left="206"/>
              <w:spacing w:after="0"/>
              <w:rPr>
                <w:sz w:val="20"/>
                <w:szCs w:val="20"/>
                <w:color w:val="auto"/>
              </w:rPr>
            </w:pPr>
            <w:r>
              <w:rPr>
                <w:rFonts w:ascii="Times New Roman" w:cs="Times New Roman" w:eastAsia="Times New Roman" w:hAnsi="Times New Roman"/>
                <w:sz w:val="11"/>
                <w:szCs w:val="11"/>
                <w:color w:val="auto"/>
              </w:rPr>
              <w:t>07/31/25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shd w:val="clear" w:color="auto" w:fill="CCECFF"/>
          </w:tcPr>
          <w:p>
            <w:pPr>
              <w:spacing w:after="0"/>
              <w:rPr>
                <w:sz w:val="12"/>
                <w:szCs w:val="12"/>
                <w:color w:val="auto"/>
              </w:rPr>
            </w:pPr>
          </w:p>
        </w:tc>
        <w:tc>
          <w:tcPr>
            <w:tcW w:w="13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ind w:left="5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10,805</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-1104900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-728345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Spread</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 Name</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00" w:type="dxa"/>
            <w:vAlign w:val="bottom"/>
          </w:tcPr>
          <w:p>
            <w:pPr>
              <w:spacing w:after="0"/>
              <w:rPr>
                <w:sz w:val="12"/>
                <w:szCs w:val="12"/>
                <w:color w:val="auto"/>
              </w:rPr>
            </w:pP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Above</w:t>
            </w:r>
          </w:p>
        </w:tc>
        <w:tc>
          <w:tcPr>
            <w:tcW w:w="220" w:type="dxa"/>
            <w:vAlign w:val="bottom"/>
          </w:tcPr>
          <w:p>
            <w:pPr>
              <w:spacing w:after="0"/>
              <w:rPr>
                <w:sz w:val="12"/>
                <w:szCs w:val="12"/>
                <w:color w:val="auto"/>
              </w:rPr>
            </w:pPr>
          </w:p>
        </w:tc>
        <w:tc>
          <w:tcPr>
            <w:tcW w:w="880" w:type="dxa"/>
            <w:vAlign w:val="bottom"/>
            <w:gridSpan w:val="3"/>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Par</w:t>
            </w:r>
          </w:p>
        </w:tc>
        <w:tc>
          <w:tcPr>
            <w:tcW w:w="5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2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(1)</w:t>
            </w:r>
          </w:p>
        </w:tc>
        <w:tc>
          <w:tcPr>
            <w:tcW w:w="2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320" w:type="dxa"/>
            <w:vAlign w:val="bottom"/>
            <w:tcBorders>
              <w:top w:val="single" w:sz="8" w:color="auto"/>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480" w:type="dxa"/>
            <w:vAlign w:val="bottom"/>
            <w:tcBorders>
              <w:top w:val="single" w:sz="8" w:color="auto"/>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top w:val="single" w:sz="8" w:color="auto"/>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top w:val="single" w:sz="8" w:color="auto"/>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top w:val="single" w:sz="8" w:color="auto"/>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top w:val="single" w:sz="8" w:color="auto"/>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top w:val="single" w:sz="8" w:color="auto"/>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top w:val="single" w:sz="8" w:color="auto"/>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top w:val="single" w:sz="8" w:color="auto"/>
              <w:bottom w:val="single" w:sz="8" w:color="auto"/>
            </w:tcBorders>
            <w:shd w:val="clear" w:color="auto" w:fill="CCECFF"/>
          </w:tcPr>
          <w:p>
            <w:pPr>
              <w:spacing w:after="0"/>
              <w:rPr>
                <w:sz w:val="11"/>
                <w:szCs w:val="11"/>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8,177</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7,936</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Total Investments - 1,046.0% of Net Assets(3)(6)</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1,289,319</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1,265,901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9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Cash Equivalents - 13.9% of Net Assets</w:t>
            </w:r>
          </w:p>
        </w:tc>
        <w:tc>
          <w:tcPr>
            <w:tcW w:w="1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3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JPMorgan U.S. Government</w:t>
            </w:r>
          </w:p>
        </w:tc>
        <w:tc>
          <w:tcPr>
            <w:tcW w:w="26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(Money Market Fund)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4.09%</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60" w:type="dxa"/>
            <w:vAlign w:val="bottom"/>
            <w:gridSpan w:val="4"/>
            <w:shd w:val="clear" w:color="auto" w:fill="CCECFF"/>
          </w:tcPr>
          <w:p>
            <w:pPr>
              <w:spacing w:after="0" w:line="108" w:lineRule="exact"/>
              <w:rPr>
                <w:sz w:val="20"/>
                <w:szCs w:val="20"/>
                <w:color w:val="auto"/>
              </w:rPr>
            </w:pPr>
            <w:r>
              <w:rPr>
                <w:rFonts w:ascii="Times New Roman" w:cs="Times New Roman" w:eastAsia="Times New Roman" w:hAnsi="Times New Roman"/>
                <w:sz w:val="11"/>
                <w:szCs w:val="11"/>
                <w:color w:val="auto"/>
              </w:rPr>
              <w:t>Goldman Sachs Financial Square Government Fund (Money</w:t>
            </w:r>
          </w:p>
        </w:tc>
        <w:tc>
          <w:tcPr>
            <w:tcW w:w="16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13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2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Market Fund)</w:t>
            </w:r>
          </w:p>
        </w:tc>
        <w:tc>
          <w:tcPr>
            <w:tcW w:w="14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13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8"/>
              </w:rPr>
              <w:t>4.18%</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6,946</w:t>
            </w:r>
          </w:p>
        </w:tc>
        <w:tc>
          <w:tcPr>
            <w:tcW w:w="2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BlackRock Federal FD Institutional 81 (Money Market Fund)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8"/>
              </w:rPr>
              <w:t>4.19%</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Equivalents</w:t>
            </w:r>
          </w:p>
        </w:tc>
        <w:tc>
          <w:tcPr>
            <w:tcW w:w="14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16,838</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16,838</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- 19.9% of Net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rPr>
              <w:t>Cash</w:t>
            </w:r>
          </w:p>
        </w:tc>
        <w:tc>
          <w:tcPr>
            <w:tcW w:w="14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60" w:type="dxa"/>
            <w:vAlign w:val="bottom"/>
            <w:gridSpan w:val="4"/>
            <w:shd w:val="clear" w:color="auto" w:fill="CCEC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Total Investments, Cash Equivalents and Cash - 1,079.8%</w:t>
            </w:r>
          </w:p>
        </w:tc>
        <w:tc>
          <w:tcPr>
            <w:tcW w:w="16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3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54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20" w:type="dxa"/>
            <w:vAlign w:val="bottom"/>
            <w:vMerge w:val="restart"/>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1,330,304</w:t>
            </w:r>
          </w:p>
        </w:tc>
        <w:tc>
          <w:tcPr>
            <w:tcW w:w="200" w:type="dxa"/>
            <w:vAlign w:val="bottom"/>
            <w:shd w:val="clear" w:color="auto" w:fill="CCECFF"/>
          </w:tcPr>
          <w:p>
            <w:pPr>
              <w:spacing w:after="0"/>
              <w:rPr>
                <w:sz w:val="8"/>
                <w:szCs w:val="8"/>
                <w:color w:val="auto"/>
              </w:rPr>
            </w:pPr>
          </w:p>
        </w:tc>
        <w:tc>
          <w:tcPr>
            <w:tcW w:w="200" w:type="dxa"/>
            <w:vAlign w:val="bottom"/>
            <w:vMerge w:val="restart"/>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1,306,886</w:t>
            </w:r>
          </w:p>
        </w:tc>
        <w:tc>
          <w:tcPr>
            <w:tcW w:w="1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320" w:type="dxa"/>
            <w:vAlign w:val="bottom"/>
            <w:tcBorders>
              <w:bottom w:val="single" w:sz="8" w:color="CCECFF"/>
            </w:tcBorders>
            <w:shd w:val="clear" w:color="auto" w:fill="CCECFF"/>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of Net Assets</w:t>
            </w:r>
          </w:p>
        </w:tc>
        <w:tc>
          <w:tcPr>
            <w:tcW w:w="14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13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gridSpan w:val="3"/>
            <w:shd w:val="clear" w:color="auto" w:fill="CCECFF"/>
          </w:tcPr>
          <w:p>
            <w:pPr>
              <w:spacing w:after="0"/>
              <w:rPr>
                <w:sz w:val="11"/>
                <w:szCs w:val="11"/>
                <w:color w:val="auto"/>
              </w:rPr>
            </w:pPr>
          </w:p>
        </w:tc>
        <w:tc>
          <w:tcPr>
            <w:tcW w:w="120" w:type="dxa"/>
            <w:vAlign w:val="bottom"/>
            <w:tcBorders>
              <w:bottom w:val="single" w:sz="8" w:color="auto"/>
            </w:tcBorders>
            <w:vMerge w:val="continue"/>
            <w:shd w:val="clear" w:color="auto" w:fill="CCECFF"/>
          </w:tcPr>
          <w:p>
            <w:pPr>
              <w:spacing w:after="0"/>
              <w:rPr>
                <w:sz w:val="11"/>
                <w:szCs w:val="11"/>
                <w:color w:val="auto"/>
              </w:rPr>
            </w:pPr>
          </w:p>
        </w:tc>
        <w:tc>
          <w:tcPr>
            <w:tcW w:w="560" w:type="dxa"/>
            <w:vAlign w:val="bottom"/>
            <w:tcBorders>
              <w:bottom w:val="single" w:sz="8" w:color="auto"/>
            </w:tcBorders>
            <w:vMerge w:val="continue"/>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vMerge w:val="continue"/>
            <w:shd w:val="clear" w:color="auto" w:fill="CCECFF"/>
          </w:tcPr>
          <w:p>
            <w:pPr>
              <w:spacing w:after="0"/>
              <w:rPr>
                <w:sz w:val="11"/>
                <w:szCs w:val="11"/>
                <w:color w:val="auto"/>
              </w:rPr>
            </w:pPr>
          </w:p>
        </w:tc>
        <w:tc>
          <w:tcPr>
            <w:tcW w:w="620" w:type="dxa"/>
            <w:vAlign w:val="bottom"/>
            <w:tcBorders>
              <w:bottom w:val="single" w:sz="8" w:color="auto"/>
            </w:tcBorders>
            <w:vMerge w:val="continue"/>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960" w:type="dxa"/>
            <w:vAlign w:val="bottom"/>
            <w:gridSpan w:val="4"/>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(979.8)% of Net</w:t>
            </w: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(1,185,860)</w:t>
            </w:r>
          </w:p>
        </w:tc>
        <w:tc>
          <w:tcPr>
            <w:tcW w:w="0" w:type="dxa"/>
            <w:vAlign w:val="bottom"/>
          </w:tcPr>
          <w:p>
            <w:pPr>
              <w:spacing w:after="0"/>
              <w:rPr>
                <w:sz w:val="1"/>
                <w:szCs w:val="1"/>
                <w:color w:val="auto"/>
              </w:rPr>
            </w:pPr>
          </w:p>
        </w:tc>
      </w:tr>
      <w:tr>
        <w:trPr>
          <w:trHeight w:val="124"/>
        </w:trPr>
        <w:tc>
          <w:tcPr>
            <w:tcW w:w="1320" w:type="dxa"/>
            <w:vAlign w:val="bottom"/>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1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20" w:type="dxa"/>
            <w:vAlign w:val="bottom"/>
            <w:tcBorders>
              <w:bottom w:val="single" w:sz="8" w:color="CCECFF"/>
            </w:tcBorders>
            <w:shd w:val="clear" w:color="auto" w:fill="CCEC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Members' Equity—100.0%</w:t>
            </w:r>
          </w:p>
        </w:tc>
        <w:tc>
          <w:tcPr>
            <w:tcW w:w="14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9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7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70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8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5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121,026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-1327785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-1327785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-702310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-702310</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-513715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-513715</wp:posOffset>
            </wp:positionV>
            <wp:extent cx="774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-281940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-264795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8" w:lineRule="exact"/>
        <w:rPr>
          <w:sz w:val="20"/>
          <w:szCs w:val="20"/>
          <w:color w:val="auto"/>
        </w:rPr>
      </w:pPr>
    </w:p>
    <w:p>
      <w:pPr>
        <w:ind w:left="380" w:right="180" w:hanging="372"/>
        <w:spacing w:after="0" w:line="267" w:lineRule="auto"/>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("S" or "SOFR"). The spread may change based on the type of rate used. The terms in the Schedule of Investments disclose the actual interest rate in effect as of the reporting period. SOFR loans are typically indexed to a 30-day, 60-day, 90-day or 180-day SOFR rate (1MS, 2MS, 3MS, or 6MS, respectively), at the borrower’s option. All securities are subject to the SOFR floor where a spread is provided, unless noted. The spread provided includes PIK interest and other fee rates, if any.</w:t>
      </w:r>
    </w:p>
    <w:p>
      <w:pPr>
        <w:spacing w:after="0" w:line="7"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Valued based on PSLF's accounting policy.</w:t>
      </w:r>
    </w:p>
    <w:p>
      <w:pPr>
        <w:spacing w:after="0" w:line="20"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September 30, 2025, all investments are in US Companies. Total cost, fair value, and percentage of Net Assets for U.S Companies were $1,289.3 million, $1,265.9 million and 1,046.0%.</w:t>
      </w:r>
    </w:p>
    <w:p>
      <w:pPr>
        <w:spacing w:after="0" w:line="20"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Non-accrual security</w:t>
      </w:r>
    </w:p>
    <w:p>
      <w:pPr>
        <w:spacing w:after="0" w:line="33"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Partial non-accrual PIK security</w:t>
      </w:r>
    </w:p>
    <w:p>
      <w:pPr>
        <w:spacing w:after="0" w:line="20" w:lineRule="exact"/>
        <w:rPr>
          <w:rFonts w:ascii="Times New Roman" w:cs="Times New Roman" w:eastAsia="Times New Roman" w:hAnsi="Times New Roman"/>
          <w:sz w:val="10"/>
          <w:szCs w:val="10"/>
          <w:color w:val="auto"/>
        </w:rPr>
      </w:pPr>
    </w:p>
    <w:p>
      <w:pPr>
        <w:ind w:left="380" w:hanging="372"/>
        <w:spacing w:after="0"/>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investments are not registered under the 1933 Act and have restrictions on resale.</w:t>
      </w:r>
    </w:p>
    <w:p>
      <w:pPr>
        <w:spacing w:after="0" w:line="20" w:lineRule="exact"/>
        <w:rPr>
          <w:rFonts w:ascii="Times New Roman" w:cs="Times New Roman" w:eastAsia="Times New Roman" w:hAnsi="Times New Roman"/>
          <w:sz w:val="10"/>
          <w:szCs w:val="10"/>
          <w:color w:val="auto"/>
        </w:rPr>
      </w:pPr>
    </w:p>
    <w:p>
      <w:pPr>
        <w:ind w:left="380" w:right="140" w:hanging="372"/>
        <w:spacing w:after="0" w:line="281" w:lineRule="auto"/>
        <w:tabs>
          <w:tab w:leader="none" w:pos="3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securities, or a portion thereof, are not 1) pledge as collateral under the Credit Facility and held through Funding I; or, 2) securing the 2034 Asset-Backed Debt and held through PennantPark CLOIV, LLC, or 3) securing the 2035 Asset-Backed Debt and held through PennantPark CLO VII, LLC, or 4) securing the 2037 Asset-Backed Debt and held through PennantPark CLO X, LLC.</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PSLF, ($ in thousands):</w:t>
            </w:r>
          </w:p>
        </w:tc>
        <w:tc>
          <w:tcPr>
            <w:tcW w:w="100" w:type="dxa"/>
            <w:vAlign w:val="bottom"/>
          </w:tcPr>
          <w:p>
            <w:pPr>
              <w:spacing w:after="0"/>
              <w:rPr>
                <w:sz w:val="16"/>
                <w:szCs w:val="16"/>
                <w:color w:val="auto"/>
              </w:rPr>
            </w:pPr>
          </w:p>
        </w:tc>
        <w:tc>
          <w:tcPr>
            <w:tcW w:w="1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 (amortized cost—$1,394,885 and $1,289,319, respectively)</w:t>
            </w:r>
          </w:p>
        </w:tc>
        <w:tc>
          <w:tcPr>
            <w:tcW w:w="1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1,357,342</w:t>
            </w:r>
          </w:p>
        </w:tc>
        <w:tc>
          <w:tcPr>
            <w:tcW w:w="38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1,265,901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equivalents (cost—$20,904 and $16,838,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20,904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Cash (cost—$24,148 and $24,147 respectively)</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24,148</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Receivable for investments sold</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Borders>
              <w:bottom w:val="single" w:sz="8" w:color="CCECFF"/>
            </w:tcBorders>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Due from affiliate</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1,409,325</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2037 Asset-backed debt, net (par—$328,000, unamortized deferred financing cost of $1,797 and $1,887,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326,203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2034 Asset-backed debt, net (par—$246,000, unamortized deferred financing cost of $843 and $940, respectively)</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245,157</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245,060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2035 Asset-backed debt, net (par—$246,000, unamortized deferred financing cost of $1,340 and $1,434, respectively)</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244,660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Credit facility payable</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189,600</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Subordinated notes payable to members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Payable for investments purchased</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18,816</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560" w:type="dxa"/>
            <w:vAlign w:val="bottom"/>
            <w:gridSpan w:val="2"/>
            <w:shd w:val="clear" w:color="auto" w:fill="CCEC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13,072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Distribution payable to members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payable on subordinated notes to members</w:t>
            </w:r>
          </w:p>
        </w:tc>
        <w:tc>
          <w:tcPr>
            <w:tcW w:w="1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shd w:val="clear" w:color="auto" w:fill="CCECFF"/>
          </w:tcPr>
          <w:p>
            <w:pPr>
              <w:spacing w:after="0"/>
              <w:rPr>
                <w:sz w:val="12"/>
                <w:szCs w:val="12"/>
                <w:color w:val="auto"/>
              </w:rPr>
            </w:pPr>
          </w:p>
        </w:tc>
        <w:tc>
          <w:tcPr>
            <w:tcW w:w="134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w:t>
            </w: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to affiliate</w:t>
            </w: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CFF"/>
            </w:tcBorders>
            <w:shd w:val="clear" w:color="auto" w:fill="CCEC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1,302,185</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1,194,421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CFF"/>
            </w:tcBorders>
            <w:shd w:val="clear" w:color="auto" w:fill="CCECFF"/>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100" w:type="dxa"/>
            <w:vAlign w:val="bottom"/>
            <w:tcBorders>
              <w:bottom w:val="single" w:sz="8" w:color="auto"/>
            </w:tcBorders>
            <w:shd w:val="clear" w:color="auto" w:fill="CCECFF"/>
          </w:tcPr>
          <w:p>
            <w:pPr>
              <w:spacing w:after="0"/>
              <w:rPr>
                <w:sz w:val="12"/>
                <w:szCs w:val="12"/>
                <w:color w:val="auto"/>
              </w:rPr>
            </w:pPr>
          </w:p>
        </w:tc>
        <w:tc>
          <w:tcPr>
            <w:tcW w:w="134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107,140</w:t>
            </w:r>
          </w:p>
        </w:tc>
        <w:tc>
          <w:tcPr>
            <w:tcW w:w="2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14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121,026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1,409,325</w:t>
            </w:r>
          </w:p>
        </w:tc>
        <w:tc>
          <w:tcPr>
            <w:tcW w:w="2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1,315,447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-1662430</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76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line="228" w:lineRule="auto"/>
        <w:tabs>
          <w:tab w:leader="none" w:pos="380" w:val="left"/>
        </w:tabs>
        <w:numPr>
          <w:ilvl w:val="0"/>
          <w:numId w:val="3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December 31, 2025 and September 30, 2025, PSLF had zero unfunded commitments to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-87630</wp:posOffset>
            </wp:positionV>
            <wp:extent cx="20745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2940" w:type="dxa"/>
            <w:vAlign w:val="bottom"/>
            <w:gridSpan w:val="4"/>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7660" w:type="dxa"/>
            <w:vAlign w:val="bottom"/>
          </w:tcPr>
          <w:p>
            <w:pPr>
              <w:spacing w:after="0"/>
              <w:rPr>
                <w:sz w:val="9"/>
                <w:szCs w:val="9"/>
                <w:color w:val="auto"/>
              </w:rPr>
            </w:pPr>
          </w:p>
        </w:tc>
        <w:tc>
          <w:tcPr>
            <w:tcW w:w="294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040" w:type="dxa"/>
            <w:vAlign w:val="bottom"/>
            <w:shd w:val="clear" w:color="auto" w:fill="CCECFF"/>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32,440</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Borders>
              <w:bottom w:val="single" w:sz="8" w:color="CCECFF"/>
            </w:tcBorders>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04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32,844</w:t>
            </w:r>
          </w:p>
        </w:tc>
        <w:tc>
          <w:tcPr>
            <w:tcW w:w="260" w:type="dxa"/>
            <w:vAlign w:val="bottom"/>
            <w:tcBorders>
              <w:bottom w:val="single" w:sz="8" w:color="CCECFF"/>
            </w:tcBorders>
            <w:shd w:val="clear" w:color="auto" w:fill="CCECFF"/>
          </w:tcPr>
          <w:p>
            <w:pPr>
              <w:spacing w:after="0"/>
              <w:rPr>
                <w:sz w:val="12"/>
                <w:szCs w:val="12"/>
                <w:color w:val="auto"/>
              </w:rPr>
            </w:pPr>
          </w:p>
        </w:tc>
        <w:tc>
          <w:tcPr>
            <w:tcW w:w="10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33,476</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16,209</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15,643</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expense on subordinated notes to members</w:t>
            </w:r>
          </w:p>
        </w:tc>
        <w:tc>
          <w:tcPr>
            <w:tcW w:w="10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7,698</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shd w:val="clear" w:color="auto" w:fill="CCEC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Administration services expense</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25,099</w:t>
            </w: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24,160</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7,745</w:t>
            </w:r>
          </w:p>
        </w:tc>
        <w:tc>
          <w:tcPr>
            <w:tcW w:w="26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0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Net realized gain (loss) on investments</w:t>
            </w:r>
          </w:p>
        </w:tc>
        <w:tc>
          <w:tcPr>
            <w:tcW w:w="1040" w:type="dxa"/>
            <w:vAlign w:val="bottom"/>
          </w:tcPr>
          <w:p>
            <w:pPr>
              <w:spacing w:after="0"/>
              <w:rPr>
                <w:sz w:val="10"/>
                <w:szCs w:val="10"/>
                <w:color w:val="auto"/>
              </w:rPr>
            </w:pPr>
          </w:p>
        </w:tc>
        <w:tc>
          <w:tcPr>
            <w:tcW w:w="82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0"/>
                <w:szCs w:val="10"/>
                <w:color w:val="auto"/>
              </w:rPr>
            </w:pPr>
          </w:p>
        </w:tc>
        <w:tc>
          <w:tcPr>
            <w:tcW w:w="6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17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0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(14,131)</w:t>
            </w:r>
          </w:p>
        </w:tc>
        <w:tc>
          <w:tcPr>
            <w:tcW w:w="10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(1,918)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60" w:type="dxa"/>
            <w:vAlign w:val="bottom"/>
            <w:shd w:val="clear" w:color="auto" w:fill="CCEC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on investments</w:t>
            </w:r>
          </w:p>
        </w:tc>
        <w:tc>
          <w:tcPr>
            <w:tcW w:w="10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(14,131)</w:t>
            </w:r>
          </w:p>
        </w:tc>
        <w:tc>
          <w:tcPr>
            <w:tcW w:w="10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0"/>
        </w:trPr>
        <w:tc>
          <w:tcPr>
            <w:tcW w:w="766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040" w:type="dxa"/>
            <w:vAlign w:val="bottom"/>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(6,386)</w:t>
            </w:r>
          </w:p>
        </w:tc>
        <w:tc>
          <w:tcPr>
            <w:tcW w:w="1080" w:type="dxa"/>
            <w:vAlign w:val="bottom"/>
          </w:tcPr>
          <w:p>
            <w:pPr>
              <w:jc w:val="right"/>
              <w:ind w:right="95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-1199515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-1199515</wp:posOffset>
            </wp:positionV>
            <wp:extent cx="774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-128270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7145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5" w:lineRule="exact"/>
        <w:rPr>
          <w:sz w:val="20"/>
          <w:szCs w:val="20"/>
          <w:color w:val="auto"/>
        </w:rPr>
      </w:pPr>
    </w:p>
    <w:p>
      <w:pPr>
        <w:ind w:left="140" w:hanging="132"/>
        <w:spacing w:after="0"/>
        <w:tabs>
          <w:tab w:leader="none" w:pos="1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 management or incentive fees are payable by PSLF. PSLF pays the Administrator an annual fee of 0.25% of average gross assets under management payable on a quarterly basis.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During the three months ended December 31, 2025, we declared distributions of $0.24 per share, for total distributions of $15.7 million. During the three months ended December 31, 2024, we declared distributions of $0.24 per share, for total distribution of $15.7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Effective October 2023, we changed from a quarterly distribution to a monthly distribution. We intend to continue to make monthly distributions to our stockholders. Our monthly distributions, if any, are determined by our board of directors.</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two-year extension to December 31, 2024, for transitioning away from LIBOR. The Company has adopted the ASU 2020-04, the effect of which was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June 2022, the FASB issued Accounting Standards Update No. 2022-03, Fair Value Measurement (Topic 820): Fair Value Measurement of Equity Securities Subject to Contractual Sale Restrictions ("ASU 2022-03"), which changed the fair value measurement disclosure requirements of ASC Topic 820, Fair Value Measurements and Disclosures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has adopted the new accounting standard, the effect was not material to the consolidated financial statements.</w:t>
      </w:r>
    </w:p>
    <w:p>
      <w:pPr>
        <w:spacing w:after="0" w:line="11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In November 2023, FASB issued Accounting Standards Update No. 2023-07, Segment Reporting (Topic 280), Improvements to Reportable Segment Disclosures to improve reportable segment disclosure requirements through enhanced disclosures about significant segment expenses. ASU 2023-07 expands public entities' segment disclosure by requiring disclosure of significant segment expenses that are regularly provided to the chief operating decision maker (the "CODM") and included within each reported measure of segment's profit or loss, an amount and description of its composition for other segment items and interim disclosure of a reportable segment's profit or loss and assets. All disclosure requirements of ASU 2023-07 are required for entities with a single reportable segment. ASU 2023-07 is effective for fiscal years beginning after December 15, 2023, and interim periods for fiscal years beginning December 15, 2024, and should be applied on a retrospective basis to all periods presented, noting early adoption is permitted. The Company has adopted ASU 2023-07 effective September 30, 2025 and concluded that the application of this guidance did not have a material impact on its consolidated financial statements. See Note 13 for more information on the effects of the adoption of ASU 2023-07.</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December 2023, the FASB issued ASU 2023 - 09 "Improvements to Income Tax Disclosures" ("ASU 2023 - 09"). ASU 2023 - 09 intends to improve the transparency of income tax disclosures. ASU 2023 - 09 is effective for fiscal years beginning after December 15, 2024 and is to be adopted on a prospective basis with the option to apply retrospectively. We are currently assessing the impact of this guidance, however, we do not expect a material impact to our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December 31, 2025, our debt portfolio consisted of 89% variable-rate investments and 11% fixed 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340" w:type="dxa"/>
            <w:vAlign w:val="bottom"/>
            <w:gridSpan w:val="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480" w:type="dxa"/>
            <w:vAlign w:val="bottom"/>
          </w:tcPr>
          <w:p>
            <w:pPr>
              <w:spacing w:after="0"/>
              <w:rPr>
                <w:sz w:val="13"/>
                <w:szCs w:val="13"/>
                <w:color w:val="auto"/>
              </w:rPr>
            </w:pPr>
          </w:p>
        </w:tc>
        <w:tc>
          <w:tcPr>
            <w:tcW w:w="3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40" w:type="dxa"/>
            <w:vAlign w:val="bottom"/>
            <w:gridSpan w:val="2"/>
          </w:tcPr>
          <w:p>
            <w:pPr>
              <w:jc w:val="right"/>
              <w:ind w:right="1360"/>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480" w:type="dxa"/>
            <w:vAlign w:val="bottom"/>
          </w:tcPr>
          <w:p>
            <w:pPr>
              <w:spacing w:after="0"/>
              <w:rPr>
                <w:sz w:val="12"/>
                <w:szCs w:val="12"/>
                <w:color w:val="auto"/>
              </w:rPr>
            </w:pPr>
          </w:p>
        </w:tc>
        <w:tc>
          <w:tcPr>
            <w:tcW w:w="31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C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Down 3%</w:t>
            </w:r>
          </w:p>
        </w:tc>
        <w:tc>
          <w:tcPr>
            <w:tcW w:w="700" w:type="dxa"/>
            <w:vAlign w:val="bottom"/>
            <w:gridSpan w:val="2"/>
            <w:shd w:val="clear" w:color="auto" w:fill="CCECFF"/>
          </w:tcPr>
          <w:p>
            <w:pPr>
              <w:jc w:val="right"/>
              <w:ind w:righ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340" w:type="dxa"/>
            <w:vAlign w:val="bottom"/>
            <w:gridSpan w:val="2"/>
            <w:shd w:val="clear" w:color="auto" w:fill="CCEC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(8,657)</w:t>
            </w:r>
          </w:p>
        </w:tc>
        <w:tc>
          <w:tcPr>
            <w:tcW w:w="480" w:type="dxa"/>
            <w:vAlign w:val="bottom"/>
            <w:shd w:val="clear" w:color="auto" w:fill="CCEC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120" w:type="dxa"/>
            <w:vAlign w:val="bottom"/>
            <w:gridSpan w:val="2"/>
            <w:shd w:val="clear" w:color="auto" w:fill="CCEC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49"/>
        </w:trPr>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Down 2%</w:t>
            </w:r>
          </w:p>
        </w:tc>
        <w:tc>
          <w:tcPr>
            <w:tcW w:w="7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3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(6,565)</w:t>
            </w: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48"/>
        </w:trPr>
        <w:tc>
          <w:tcPr>
            <w:tcW w:w="360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Down 1%</w:t>
            </w:r>
          </w:p>
        </w:tc>
        <w:tc>
          <w:tcPr>
            <w:tcW w:w="700" w:type="dxa"/>
            <w:vAlign w:val="bottom"/>
            <w:gridSpan w:val="2"/>
            <w:shd w:val="clear" w:color="auto" w:fill="CCEC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340" w:type="dxa"/>
            <w:vAlign w:val="bottom"/>
            <w:gridSpan w:val="2"/>
            <w:shd w:val="clear" w:color="auto" w:fill="CCEC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(3,282)</w:t>
            </w:r>
          </w:p>
        </w:tc>
        <w:tc>
          <w:tcPr>
            <w:tcW w:w="480" w:type="dxa"/>
            <w:vAlign w:val="bottom"/>
            <w:shd w:val="clear" w:color="auto" w:fill="CCEC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120" w:type="dxa"/>
            <w:vAlign w:val="bottom"/>
            <w:gridSpan w:val="2"/>
            <w:shd w:val="clear" w:color="auto" w:fill="CCEC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48"/>
        </w:trPr>
        <w:tc>
          <w:tcPr>
            <w:tcW w:w="3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1%</w:t>
            </w:r>
          </w:p>
        </w:tc>
        <w:tc>
          <w:tcPr>
            <w:tcW w:w="7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3,282</w:t>
            </w:r>
          </w:p>
        </w:tc>
        <w:tc>
          <w:tcPr>
            <w:tcW w:w="320" w:type="dxa"/>
            <w:vAlign w:val="bottom"/>
          </w:tcPr>
          <w:p>
            <w:pPr>
              <w:spacing w:after="0"/>
              <w:rPr>
                <w:sz w:val="12"/>
                <w:szCs w:val="12"/>
                <w:color w:val="auto"/>
              </w:rPr>
            </w:pPr>
          </w:p>
        </w:tc>
        <w:tc>
          <w:tcPr>
            <w:tcW w:w="48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CFF"/>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2%</w:t>
            </w:r>
          </w:p>
        </w:tc>
        <w:tc>
          <w:tcPr>
            <w:tcW w:w="700" w:type="dxa"/>
            <w:vAlign w:val="bottom"/>
            <w:gridSpan w:val="2"/>
            <w:shd w:val="clear" w:color="auto" w:fill="CCEC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6,564</w:t>
            </w:r>
          </w:p>
        </w:tc>
        <w:tc>
          <w:tcPr>
            <w:tcW w:w="320" w:type="dxa"/>
            <w:vAlign w:val="bottom"/>
            <w:shd w:val="clear" w:color="auto" w:fill="CCECFF"/>
          </w:tcPr>
          <w:p>
            <w:pPr>
              <w:spacing w:after="0"/>
              <w:rPr>
                <w:sz w:val="12"/>
                <w:szCs w:val="12"/>
                <w:color w:val="auto"/>
              </w:rPr>
            </w:pPr>
          </w:p>
        </w:tc>
        <w:tc>
          <w:tcPr>
            <w:tcW w:w="480" w:type="dxa"/>
            <w:vAlign w:val="bottom"/>
            <w:shd w:val="clear" w:color="auto" w:fill="CCEC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0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32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the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8" w:lineRule="exact"/>
        <w:rPr>
          <w:sz w:val="20"/>
          <w:szCs w:val="20"/>
          <w:color w:val="auto"/>
        </w:rPr>
      </w:pPr>
    </w:p>
    <w:p>
      <w:pPr>
        <w:ind w:firstLine="449"/>
        <w:spacing w:after="0" w:line="231" w:lineRule="auto"/>
        <w:rPr>
          <w:sz w:val="20"/>
          <w:szCs w:val="20"/>
          <w:color w:val="auto"/>
        </w:rPr>
      </w:pPr>
      <w:r>
        <w:rPr>
          <w:rFonts w:ascii="Times New Roman" w:cs="Times New Roman" w:eastAsia="Times New Roman" w:hAnsi="Times New Roman"/>
          <w:sz w:val="14"/>
          <w:szCs w:val="14"/>
          <w:color w:val="auto"/>
        </w:rPr>
        <w:t>As of the quarter ended December 31, 2025, we including our Chief Executive Officer and Chief Financial Officer, evaluated the effectiveness of the design and operation of our disclosure controls and procedures (as defined in Rule 13-a-15(e) of the Exchange Act). As disclosed in our Annual Report on Form 10-K for the fiscal year ended September 30, 2025, a material weakness was previously identified in the operation of controls related to our quarterly review of equity investment valuations with respect to the allocation of value of the portfolio company to the Company’s holdings. We have taken steps to remediate this material weakness, which steps have included (i) enhancing existing review controls of equity investments related to the allocation of the portfolio company’s enterprise value to the Company’s holdings to ensure allocations are consistent with the relevant and respective source document and (ii) enhancing policies and procedures to demonstrate a commitment to improving our overall control environment.</w:t>
      </w:r>
    </w:p>
    <w:p>
      <w:pPr>
        <w:spacing w:after="0" w:line="110" w:lineRule="exact"/>
        <w:rPr>
          <w:sz w:val="20"/>
          <w:szCs w:val="20"/>
          <w:color w:val="auto"/>
        </w:rPr>
      </w:pPr>
    </w:p>
    <w:p>
      <w:pPr>
        <w:ind w:firstLine="449"/>
        <w:spacing w:after="0" w:line="231" w:lineRule="auto"/>
        <w:rPr>
          <w:sz w:val="20"/>
          <w:szCs w:val="20"/>
          <w:color w:val="auto"/>
        </w:rPr>
      </w:pPr>
      <w:r>
        <w:rPr>
          <w:rFonts w:ascii="Times New Roman" w:cs="Times New Roman" w:eastAsia="Times New Roman" w:hAnsi="Times New Roman"/>
          <w:sz w:val="14"/>
          <w:szCs w:val="14"/>
          <w:color w:val="auto"/>
        </w:rPr>
        <w:t>Taking the above efforts into consideration, our management, including the Chief Executive Officer and Chief Financial Officer, concluded that our disclosure controls and procedures for the quarter ended December 31, 2025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0"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4"/>
          <w:szCs w:val="14"/>
          <w:color w:val="auto"/>
        </w:rPr>
        <w:t>Other than disclosed in this Item 4, there have been no changes in our internal controls over financial reporting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2"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2025, filed on November 24, 2025, which could materially affect our business, financial condition and/or operating results. The risks as in our Annual Report on Form 10-K, are not the only risks facing PennantPark Investment Corp. Additional risks and uncertainties not currently known to us or that we currently deem to be immaterial also may materially and adversely affect our business, financial condition and/or operating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10b5-1 Disclosure</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 of the officers or directors of the Company has adopted or terminated any Rule 10b5-1 trading arrangements applicable to them (if any) or the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140" w:type="dxa"/>
            <w:vAlign w:val="bottom"/>
            <w:gridSpan w:val="17"/>
          </w:tcPr>
          <w:p>
            <w:pPr>
              <w:ind w:left="46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9640" w:type="dxa"/>
            <w:vAlign w:val="bottom"/>
            <w:gridSpan w:val="16"/>
          </w:tcPr>
          <w:p>
            <w:pPr>
              <w:spacing w:after="0"/>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Articles of Incorporation (Incorporated by reference to Exhibit 99(a) to the Registrant’s Pre-Effective Amendment No. 3 to the Registration Statement on Form N-2/A</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960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457">
              <w:r>
                <w:rPr>
                  <w:rFonts w:ascii="Times New Roman" w:cs="Times New Roman" w:eastAsia="Times New Roman" w:hAnsi="Times New Roman"/>
                  <w:sz w:val="14"/>
                  <w:szCs w:val="14"/>
                  <w:color w:val="0000FF"/>
                </w:rPr>
                <w:t>(File No. 333-140092), filed on April 5, 2007).</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9640" w:type="dxa"/>
            <w:vAlign w:val="bottom"/>
            <w:gridSpan w:val="16"/>
          </w:tcPr>
          <w:p>
            <w:pPr>
              <w:spacing w:after="0"/>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Articles of Amendment to Articles of Incorporation of the Registrant (Incorporated by reference to Exhibit 3.2 to the Registrant’s Quarterly Report on Form 10-Q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242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458">
              <w:r>
                <w:rPr>
                  <w:rFonts w:ascii="Times New Roman" w:cs="Times New Roman" w:eastAsia="Times New Roman" w:hAnsi="Times New Roman"/>
                  <w:sz w:val="14"/>
                  <w:szCs w:val="14"/>
                  <w:color w:val="0000FF"/>
                </w:rPr>
                <w:t>No. 814-00736), filed on August 7, 2024).</w:t>
              </w:r>
            </w:hyperlink>
          </w:p>
        </w:tc>
        <w:tc>
          <w:tcPr>
            <w:tcW w:w="722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3.3</w:t>
            </w:r>
          </w:p>
        </w:tc>
        <w:tc>
          <w:tcPr>
            <w:tcW w:w="9640" w:type="dxa"/>
            <w:vAlign w:val="bottom"/>
            <w:gridSpan w:val="16"/>
          </w:tcPr>
          <w:p>
            <w:pPr>
              <w:spacing w:after="0"/>
              <w:rPr>
                <w:rFonts w:ascii="Times New Roman" w:cs="Times New Roman" w:eastAsia="Times New Roman" w:hAnsi="Times New Roman"/>
                <w:sz w:val="14"/>
                <w:szCs w:val="14"/>
                <w:color w:val="0000FF"/>
              </w:rPr>
            </w:pPr>
            <w:hyperlink r:id="rId459">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500" w:type="dxa"/>
            <w:vAlign w:val="bottom"/>
          </w:tcPr>
          <w:p>
            <w:pPr>
              <w:spacing w:after="0"/>
              <w:rPr>
                <w:sz w:val="11"/>
                <w:szCs w:val="11"/>
                <w:color w:val="auto"/>
              </w:rPr>
            </w:pPr>
          </w:p>
        </w:tc>
        <w:tc>
          <w:tcPr>
            <w:tcW w:w="9420" w:type="dxa"/>
            <w:vAlign w:val="bottom"/>
            <w:gridSpan w:val="12"/>
          </w:tcPr>
          <w:p>
            <w:pPr>
              <w:spacing w:after="0" w:line="129" w:lineRule="exact"/>
              <w:rPr>
                <w:rFonts w:ascii="Times New Roman" w:cs="Times New Roman" w:eastAsia="Times New Roman" w:hAnsi="Times New Roman"/>
                <w:sz w:val="14"/>
                <w:szCs w:val="14"/>
                <w:color w:val="0000FF"/>
              </w:rPr>
            </w:pPr>
            <w:hyperlink r:id="rId459">
              <w:r>
                <w:rPr>
                  <w:rFonts w:ascii="Times New Roman" w:cs="Times New Roman" w:eastAsia="Times New Roman" w:hAnsi="Times New Roman"/>
                  <w:sz w:val="14"/>
                  <w:szCs w:val="14"/>
                  <w:color w:val="0000FF"/>
                </w:rPr>
                <w:t>00736)</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May 11, 2020).</w:t>
              </w:r>
            </w:hyperlink>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9640" w:type="dxa"/>
            <w:vAlign w:val="bottom"/>
            <w:gridSpan w:val="16"/>
          </w:tcPr>
          <w:p>
            <w:pPr>
              <w:spacing w:after="0"/>
              <w:rPr>
                <w:rFonts w:ascii="Times New Roman" w:cs="Times New Roman" w:eastAsia="Times New Roman" w:hAnsi="Times New Roman"/>
                <w:sz w:val="14"/>
                <w:szCs w:val="14"/>
                <w:color w:val="0000FF"/>
              </w:rPr>
            </w:pPr>
            <w:hyperlink r:id="rId460">
              <w:r>
                <w:rPr>
                  <w:rFonts w:ascii="Times New Roman" w:cs="Times New Roman" w:eastAsia="Times New Roman" w:hAnsi="Times New Roman"/>
                  <w:sz w:val="14"/>
                  <w:szCs w:val="14"/>
                  <w:color w:val="0000FF"/>
                </w:rPr>
                <w:t>Seventh Amendment to Second Amended and Restated Senior Secured Revolving Credit Agreement, dated as of December 11, 2025, by and among the Registrant,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964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460">
              <w:r>
                <w:rPr>
                  <w:rFonts w:ascii="Times New Roman" w:cs="Times New Roman" w:eastAsia="Times New Roman" w:hAnsi="Times New Roman"/>
                  <w:sz w:val="14"/>
                  <w:szCs w:val="14"/>
                  <w:color w:val="0000FF"/>
                </w:rPr>
                <w:t>lenders party thereto, Truist Bank as administrative agent, and JPMorgan Chase Bank, N.A. as syndication agent (Incorporated by reference to Exhibit 10.1 to the</w:t>
              </w:r>
            </w:hyperlink>
          </w:p>
        </w:tc>
        <w:tc>
          <w:tcPr>
            <w:tcW w:w="20" w:type="dxa"/>
            <w:vAlign w:val="bottom"/>
            <w:tcBorders>
              <w:top w:val="single" w:sz="8" w:color="0000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536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460">
              <w:r>
                <w:rPr>
                  <w:rFonts w:ascii="Times New Roman" w:cs="Times New Roman" w:eastAsia="Times New Roman" w:hAnsi="Times New Roman"/>
                  <w:sz w:val="14"/>
                  <w:szCs w:val="14"/>
                  <w:color w:val="0000FF"/>
                </w:rPr>
                <w:t>Registrant’s Current Report on Form 8-K (File No. 814-00736) filed on December 15, 2025).</w:t>
              </w:r>
            </w:hyperlink>
          </w:p>
        </w:tc>
        <w:tc>
          <w:tcPr>
            <w:tcW w:w="20" w:type="dxa"/>
            <w:vAlign w:val="bottom"/>
            <w:tcBorders>
              <w:top w:val="single" w:sz="8" w:color="0000FF"/>
              <w:bottom w:val="single" w:sz="8" w:color="0000EE"/>
            </w:tcBorders>
          </w:tcPr>
          <w:p>
            <w:pPr>
              <w:spacing w:after="0"/>
              <w:rPr>
                <w:sz w:val="11"/>
                <w:szCs w:val="11"/>
                <w:color w:val="auto"/>
              </w:rPr>
            </w:pPr>
          </w:p>
        </w:tc>
        <w:tc>
          <w:tcPr>
            <w:tcW w:w="3940" w:type="dxa"/>
            <w:vAlign w:val="bottom"/>
            <w:tcBorders>
              <w:top w:val="single" w:sz="8" w:color="0000FF"/>
            </w:tcBorders>
            <w:gridSpan w:val="4"/>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Eighth Amendment to Second Amended and Restated Senior Secured Revolving Credit Agreement, dated as of January 30, 2026, by and among the Registrant,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8080" w:type="dxa"/>
            <w:vAlign w:val="bottom"/>
            <w:tcBorders>
              <w:top w:val="single" w:sz="8" w:color="0000FF"/>
              <w:bottom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lenders party thereto, Truist Bank as administrative agent and, solely with respect to Section 5.10 therein, PNNT Investment Holdings, LLC.</w:t>
            </w:r>
          </w:p>
        </w:tc>
        <w:tc>
          <w:tcPr>
            <w:tcW w:w="1360" w:type="dxa"/>
            <w:vAlign w:val="bottom"/>
            <w:tcBorders>
              <w:top w:val="single" w:sz="8" w:color="0000FF"/>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of the Securities Exchange Act of 1934, as amended.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6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Borders>
              <w:left w:val="single" w:sz="8" w:color="0000FF"/>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of the Securities Exchange Act of 1934, as amended.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6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60" w:type="dxa"/>
            <w:vAlign w:val="bottom"/>
            <w:tcBorders>
              <w:right w:val="single" w:sz="8" w:color="0000FF"/>
            </w:tcBorders>
            <w:gridSpan w:val="6"/>
            <w:shd w:val="clear" w:color="auto" w:fill="0000FF"/>
          </w:tcPr>
          <w:p>
            <w:pPr>
              <w:spacing w:after="0" w:line="20" w:lineRule="exact"/>
              <w:rPr>
                <w:sz w:val="1"/>
                <w:szCs w:val="1"/>
                <w:color w:val="auto"/>
              </w:rPr>
            </w:pPr>
          </w:p>
        </w:tc>
        <w:tc>
          <w:tcPr>
            <w:tcW w:w="3840" w:type="dxa"/>
            <w:vAlign w:val="bottom"/>
            <w:tcBorders>
              <w:left w:val="single" w:sz="8" w:color="0000FF"/>
            </w:tcBorders>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160" w:type="dxa"/>
            <w:vAlign w:val="bottom"/>
            <w:tcBorders>
              <w:right w:val="single" w:sz="8" w:color="0000EE"/>
            </w:tcBorders>
            <w:gridSpan w:val="6"/>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9640" w:type="dxa"/>
            <w:vAlign w:val="bottom"/>
            <w:gridSpan w:val="16"/>
          </w:tcPr>
          <w:p>
            <w:pPr>
              <w:spacing w:after="0"/>
              <w:rPr>
                <w:rFonts w:ascii="Times New Roman" w:cs="Times New Roman" w:eastAsia="Times New Roman" w:hAnsi="Times New Roman"/>
                <w:sz w:val="14"/>
                <w:szCs w:val="14"/>
                <w:color w:val="0000FF"/>
              </w:rPr>
            </w:pPr>
            <w:hyperlink r:id="rId461">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814-00736), filed on November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4"/>
              </w:rPr>
            </w:pPr>
            <w:hyperlink r:id="rId461">
              <w:r>
                <w:rPr>
                  <w:rFonts w:ascii="Times New Roman" w:cs="Times New Roman" w:eastAsia="Times New Roman" w:hAnsi="Times New Roman"/>
                  <w:sz w:val="14"/>
                  <w:szCs w:val="14"/>
                  <w:color w:val="0000FF"/>
                  <w:w w:val="94"/>
                </w:rPr>
                <w:t>16, 2011).</w:t>
              </w:r>
            </w:hyperlink>
          </w:p>
        </w:tc>
        <w:tc>
          <w:tcPr>
            <w:tcW w:w="20" w:type="dxa"/>
            <w:vAlign w:val="bottom"/>
            <w:tcBorders>
              <w:top w:val="single" w:sz="8" w:color="0000FF"/>
              <w:bottom w:val="single" w:sz="8" w:color="0000EE"/>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6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1340" w:type="dxa"/>
            <w:vAlign w:val="bottom"/>
            <w:tcBorders>
              <w:top w:val="single" w:sz="8" w:color="0000FF"/>
            </w:tcBorders>
          </w:tcPr>
          <w:p>
            <w:pPr>
              <w:spacing w:after="0"/>
              <w:rPr>
                <w:sz w:val="11"/>
                <w:szCs w:val="11"/>
                <w:color w:val="auto"/>
              </w:rPr>
            </w:pPr>
          </w:p>
        </w:tc>
        <w:tc>
          <w:tcPr>
            <w:tcW w:w="12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Instance Document-the instance document does not appear in the Interactive Data File as its XBRL tags are embedded within the Inline XBRL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6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80" w:hanging="1472"/>
        <w:spacing w:after="0"/>
        <w:tabs>
          <w:tab w:leader="none" w:pos="1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formatted as Inline XBRL and contained in Exhibit 101</w:t>
      </w:r>
    </w:p>
    <w:p>
      <w:pPr>
        <w:spacing w:after="0" w:line="20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1912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4" w:right="41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844"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6"/>
          <w:szCs w:val="16"/>
          <w:color w:val="auto"/>
        </w:rPr>
        <w:t>February 9,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INVESTMENT CORPORATION</w:t>
      </w:r>
    </w:p>
    <w:p>
      <w:pPr>
        <w:spacing w:after="0" w:line="2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6350</wp:posOffset>
            </wp:positionV>
            <wp:extent cx="334327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jc w:val="center"/>
        <w:ind w:right="640"/>
        <w:spacing w:after="0" w:line="227" w:lineRule="auto"/>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spacing w:after="0" w:line="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8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6350</wp:posOffset>
            </wp:positionV>
            <wp:extent cx="33432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Richard T. Allorto, Jr.</w:t>
      </w:r>
    </w:p>
    <w:p>
      <w:pPr>
        <w:spacing w:after="0" w:line="8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00" w:space="720"/>
            <w:col w:w="400" w:space="720"/>
            <w:col w:w="4580"/>
          </w:cols>
          <w:pgMar w:left="320" w:top="844" w:right="35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5"/>
          <w:szCs w:val="15"/>
          <w:color w:val="auto"/>
        </w:rPr>
        <w:t>Exhibit 10.2</w:t>
      </w:r>
    </w:p>
    <w:p>
      <w:pPr>
        <w:spacing w:after="0" w:line="218"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EIGHTH AMENDMENT TO SECOND AMENDED AND RESTATED SENIOR SECURED REVOLVING CREDIT AGREEMENT</w:t>
      </w:r>
    </w:p>
    <w:p>
      <w:pPr>
        <w:spacing w:after="0" w:line="239"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This EIGHTH AMENDMENT TO SECOND AMENDED AND RESTATED SENIOR SECURED REVOLVING CREDIT AGREEMENT, dated as of January 30, 2026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is among PENNANTPARK INVESTMENT CORPORATION, a Maryland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the issuing banks and swingline lenders party hereto, TRUIST BANK,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and, solely with respect to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herein, PNNT INVESTMENT HOLDINGS, LLC, a Delaware limited liability company (“</w:t>
      </w:r>
      <w:r>
        <w:rPr>
          <w:rFonts w:ascii="Times New Roman" w:cs="Times New Roman" w:eastAsia="Times New Roman" w:hAnsi="Times New Roman"/>
          <w:sz w:val="22"/>
          <w:szCs w:val="22"/>
          <w:u w:val="single" w:color="auto"/>
          <w:color w:val="auto"/>
        </w:rPr>
        <w:t>PNNT Investment Holdings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WHEREAS, the Borrower, the Lenders party thereto and the Administrative Agent are parties to the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that certain Second Amendment to Second Amended and Restated Senior Secured Revolving Credit Agreement, dated as of September 4, 2019, that certain Third Amendment to Second Amended and Restated Senior Secured Revolving Credit Agreement, dated as of December 10, 2021, that certain Fourth Amendment to Second Amended and Restated Senior Secured Revolving Credit Agreement, dated as of February 23, 2022, that certain Fifth Amendment to Second Amended and Restated Senior Secured Revolving Credit Agreement, dated as of July 29, 2022, that certain Sixth Amendment to Second Amended and Restated Senior Secured Revolving Credit Agreement, dated as of June 25, 2024, and that certain Seventh Amendment to Second Amended and Restated Senior Secured Revolving Credit Agreement, dated as of December 11, 2025,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and as the same may be further amended, supplemented, amended and restated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and</w:t>
      </w:r>
    </w:p>
    <w:p>
      <w:pPr>
        <w:spacing w:after="0" w:line="1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and the other parties hereto desire to amend the Existing Credit Agreement to make certain changes, as set forth below;</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contained herein and in the Existing Credit Agreement,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when used in this Amendment shall have the following meanings (such meanings to be equally applicable to the singular and plural forms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1" w:name="page72"/>
    <w:bookmarkEnd w:id="71"/>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Eighth Amendment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Definitions</w:t>
      </w:r>
      <w:r>
        <w:rPr>
          <w:rFonts w:ascii="Times New Roman" w:cs="Times New Roman" w:eastAsia="Times New Roman" w:hAnsi="Times New Roman"/>
          <w:sz w:val="22"/>
          <w:szCs w:val="22"/>
          <w:color w:val="auto"/>
        </w:rPr>
        <w:t>. Capitalized terms for which meanings are provided in the Credit Agreement are, unless otherwise defined herein or the context otherwise requires, used in this Amendment with such meanings.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 EXISTING CREDIT AGREEMENT</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Amendment to Existing Credit Agreement</w:t>
      </w:r>
      <w:r>
        <w:rPr>
          <w:rFonts w:ascii="Times New Roman" w:cs="Times New Roman" w:eastAsia="Times New Roman" w:hAnsi="Times New Roman"/>
          <w:sz w:val="22"/>
          <w:szCs w:val="22"/>
          <w:color w:val="auto"/>
        </w:rPr>
        <w:t>. Subject to the occurrence of the Eighth Amendment Effective Date, the parties hereto hereby agree that the Existing Credit Agreement is hereby amended as follows:</w:t>
      </w:r>
    </w:p>
    <w:p>
      <w:pPr>
        <w:spacing w:after="0" w:line="154" w:lineRule="exact"/>
        <w:rPr>
          <w:sz w:val="20"/>
          <w:szCs w:val="20"/>
          <w:color w:val="auto"/>
        </w:rPr>
      </w:pPr>
    </w:p>
    <w:p>
      <w:pPr>
        <w:ind w:left="2040" w:hanging="535"/>
        <w:spacing w:after="0"/>
        <w:tabs>
          <w:tab w:leader="none" w:pos="204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 of “</w:t>
      </w:r>
      <w:r>
        <w:rPr>
          <w:rFonts w:ascii="Times New Roman" w:cs="Times New Roman" w:eastAsia="Times New Roman" w:hAnsi="Times New Roman"/>
          <w:sz w:val="21"/>
          <w:szCs w:val="21"/>
          <w:u w:val="single" w:color="auto"/>
          <w:color w:val="auto"/>
        </w:rPr>
        <w:t>Covered Debt Amount</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of the Existing Credit Agreement (</w:t>
      </w:r>
      <w:r>
        <w:rPr>
          <w:rFonts w:ascii="Times New Roman" w:cs="Times New Roman" w:eastAsia="Times New Roman" w:hAnsi="Times New Roman"/>
          <w:sz w:val="21"/>
          <w:szCs w:val="21"/>
          <w:i w:val="1"/>
          <w:iCs w:val="1"/>
          <w:color w:val="auto"/>
        </w:rPr>
        <w:t>Definitions</w:t>
      </w:r>
    </w:p>
    <w:p>
      <w:pPr>
        <w:spacing w:after="0" w:line="29" w:lineRule="exact"/>
        <w:rPr>
          <w:rFonts w:ascii="Times New Roman" w:cs="Times New Roman" w:eastAsia="Times New Roman" w:hAnsi="Times New Roman"/>
          <w:sz w:val="21"/>
          <w:szCs w:val="21"/>
          <w:color w:val="auto"/>
        </w:rPr>
      </w:pPr>
    </w:p>
    <w:p>
      <w:pPr>
        <w:ind w:left="3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i w:val="1"/>
          <w:iCs w:val="1"/>
          <w:color w:val="auto"/>
        </w:rPr>
        <w:t>– Defined Terms</w:t>
      </w:r>
      <w:r>
        <w:rPr>
          <w:rFonts w:ascii="Times New Roman" w:cs="Times New Roman" w:eastAsia="Times New Roman" w:hAnsi="Times New Roman"/>
          <w:sz w:val="22"/>
          <w:szCs w:val="22"/>
          <w:color w:val="auto"/>
        </w:rPr>
        <w:t>) is hereby deleted in its entirety and replaced with the following in lieu thereof:</w:t>
      </w:r>
    </w:p>
    <w:p>
      <w:pPr>
        <w:spacing w:after="0" w:line="182" w:lineRule="exact"/>
        <w:rPr>
          <w:sz w:val="20"/>
          <w:szCs w:val="20"/>
          <w:color w:val="auto"/>
        </w:rPr>
      </w:pPr>
    </w:p>
    <w:p>
      <w:pPr>
        <w:jc w:val="both"/>
        <w:ind w:left="150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Debt Amount</w:t>
      </w:r>
      <w:r>
        <w:rPr>
          <w:rFonts w:ascii="Times New Roman" w:cs="Times New Roman" w:eastAsia="Times New Roman" w:hAnsi="Times New Roman"/>
          <w:sz w:val="22"/>
          <w:szCs w:val="22"/>
          <w:color w:val="auto"/>
        </w:rPr>
        <w:t xml:space="preserve">” means, on any date, the sum of (x) all of the Revolving Credit Exposures of all Lenders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aggregate amount of Other Covered Indebtedness on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(z) the LC Exposures fully Cash Collateralized on such date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and the last paragraph of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2026 May Notes, the 2026 November Notes, Permitted Amortizing Unsecured Longer-Term Indebtedness and Special Permitted Indebtedness, and (b) after the date that is the earlier of (i) the repayment in full of the Maturing Notes and (ii) the original stated maturity date of the 2026 November Notes, 50% of all Permitted Refinancing Indebtedness, in each case, shall be excluded from the calculation of the Covered Debt Amount until the date that is nine (9) months prior to the scheduled maturity date of such Indebtedness (provided that to the extent, but only to the extent, any portion of any such Indebtedness (including any portion of any Permitted Amortizing Unsecured Longer-Term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 w:name="page73"/>
    <w:bookmarkEnd w:id="72"/>
    <w:p>
      <w:pPr>
        <w:jc w:val="both"/>
        <w:ind w:left="1200"/>
        <w:spacing w:after="0" w:line="239" w:lineRule="auto"/>
        <w:rPr>
          <w:sz w:val="20"/>
          <w:szCs w:val="20"/>
          <w:color w:val="auto"/>
        </w:rPr>
      </w:pPr>
      <w:r>
        <w:rPr>
          <w:rFonts w:ascii="Times New Roman" w:cs="Times New Roman" w:eastAsia="Times New Roman" w:hAnsi="Times New Roman"/>
          <w:sz w:val="22"/>
          <w:szCs w:val="22"/>
          <w:color w:val="auto"/>
        </w:rPr>
        <w:t xml:space="preserve">or redeemed);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beginning on February 1, 2026 and ending on March 31, 2026, 50% of the 2026 November Notes shall be excluded from the calculation of the Covered Debt Amount. For the avoidance of doubt, for purposes of calculating the Covered Debt Amount, any Indebtedness that is required to be part of the Covered Debt Amount will be included at the then outstanding principal balance thereof.”</w:t>
      </w:r>
    </w:p>
    <w:p>
      <w:pPr>
        <w:spacing w:after="0" w:line="180" w:lineRule="exact"/>
        <w:rPr>
          <w:sz w:val="20"/>
          <w:szCs w:val="20"/>
          <w:color w:val="auto"/>
        </w:rPr>
      </w:pPr>
    </w:p>
    <w:p>
      <w:pPr>
        <w:ind w:left="80" w:right="20" w:firstLine="1125"/>
        <w:spacing w:after="0" w:line="258" w:lineRule="auto"/>
        <w:tabs>
          <w:tab w:leader="none" w:pos="174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Unsecured Longer-Term Indebtedness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Existing Credit Agreement (</w:t>
      </w:r>
      <w:r>
        <w:rPr>
          <w:rFonts w:ascii="Times New Roman" w:cs="Times New Roman" w:eastAsia="Times New Roman" w:hAnsi="Times New Roman"/>
          <w:sz w:val="22"/>
          <w:szCs w:val="22"/>
          <w:i w:val="1"/>
          <w:iCs w:val="1"/>
          <w:color w:val="auto"/>
        </w:rPr>
        <w:t>Definitions – Defined Terms</w:t>
      </w:r>
      <w:r>
        <w:rPr>
          <w:rFonts w:ascii="Times New Roman" w:cs="Times New Roman" w:eastAsia="Times New Roman" w:hAnsi="Times New Roman"/>
          <w:sz w:val="22"/>
          <w:szCs w:val="22"/>
          <w:color w:val="auto"/>
        </w:rPr>
        <w:t>) is hereby deleted in its entirety and replaced with the following in lieu thereof:</w:t>
      </w:r>
    </w:p>
    <w:p>
      <w:pPr>
        <w:spacing w:after="0" w:line="158" w:lineRule="exact"/>
        <w:rPr>
          <w:sz w:val="20"/>
          <w:szCs w:val="20"/>
          <w:color w:val="auto"/>
        </w:rPr>
      </w:pPr>
    </w:p>
    <w:p>
      <w:pPr>
        <w:jc w:val="both"/>
        <w:ind w:left="120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Longer-Term Indebtedness</w:t>
      </w:r>
      <w:r>
        <w:rPr>
          <w:rFonts w:ascii="Times New Roman" w:cs="Times New Roman" w:eastAsia="Times New Roman" w:hAnsi="Times New Roman"/>
          <w:sz w:val="21"/>
          <w:szCs w:val="21"/>
          <w:color w:val="auto"/>
        </w:rPr>
        <w:t xml:space="preserve">” means Indebtedness of any Obligor (which may be Guaranteed by any other Obligor) that (a) has no amortization prior to, and a final maturity date not earlier than, six months after the Extended Final Maturity Date (it being understood that (A) none of: (w) the conversion features under convertible notes; (x) the triggering and/or settlement thereof; and (y) any cash payment made in respect thereof shall constitute “amortization” for the purposes of this definition); (B) any mandatory amortization that is contingent upon the happening of an event that is not certain to occur (including, without limitation, a change of control or bankruptcy) shall not in and of itself be deemed to disqualify such Indebtedness under this clause (a); and (C) any mandatory amortization under any Permitted Amortizing Unsecured Longer-Term Indebtedness shall not in and of itself be deemed to disqualify such Indebtedness under this clause (a); provided, with respect to clause (a)(B) and clause (a)(C), the Borrower acknowledges that any payment prior to the Extended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solely to the extent necessary such that the financial covenants and events of default, as applicable, in this Agreement shall be as restrictive as such provisions in the Unsecured Longer-Term Indebtedness) (it being understood that put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8" w:right="339" w:bottom="1440" w:gutter="0" w:footer="0" w:header="0"/>
        </w:sectPr>
      </w:pPr>
    </w:p>
    <w:bookmarkStart w:id="73" w:name="page74"/>
    <w:bookmarkEnd w:id="73"/>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 xml:space="preserve">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shall not cause such Indebtedness to be designated as Unsecured Shorter-Term Indebtedness hereunder.</w:t>
      </w:r>
    </w:p>
    <w:p>
      <w:pPr>
        <w:spacing w:after="0" w:line="183"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Notwithstanding the foregoing, each of the 2026 May Notes and the 2026 November Notes shall be deemed Unsecured Longer-Term Indebtedness in all respects despite the fact that the maturity dates of the 2026 May Notes and the 2026 November Notes are prior to the Final Maturity Date so long as the 2026 May Notes and the 2026 November Notes continue to comply with all other requirements of the above definition; provided that, except as provided in the definition of “Covered Debt Amount” (x) from and after the date that is 9 months prior to the scheduled maturity date of the 2026 May Notes, the 2026 May Notes shall be included in the Covered Debt Amount and (y) from and after the date that is 9 months prior to the scheduled maturity date of the 2026 November Notes, the 2026 November Notes shall be included in the Covered Debt Amount.</w:t>
      </w:r>
    </w:p>
    <w:p>
      <w:pPr>
        <w:spacing w:after="0" w:line="1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become effective on the date (the “</w:t>
      </w:r>
      <w:r>
        <w:rPr>
          <w:rFonts w:ascii="Times New Roman" w:cs="Times New Roman" w:eastAsia="Times New Roman" w:hAnsi="Times New Roman"/>
          <w:sz w:val="22"/>
          <w:szCs w:val="22"/>
          <w:u w:val="single" w:color="auto"/>
          <w:color w:val="auto"/>
        </w:rPr>
        <w:t>Eighth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that each of the following conditions have been satisfied:</w:t>
      </w:r>
    </w:p>
    <w:p>
      <w:pPr>
        <w:spacing w:after="0" w:line="158" w:lineRule="exact"/>
        <w:rPr>
          <w:sz w:val="20"/>
          <w:szCs w:val="20"/>
          <w:color w:val="auto"/>
        </w:rPr>
      </w:pPr>
    </w:p>
    <w:p>
      <w:pPr>
        <w:jc w:val="both"/>
        <w:ind w:left="380" w:firstLine="1125"/>
        <w:spacing w:after="0" w:line="239" w:lineRule="auto"/>
        <w:tabs>
          <w:tab w:leader="none" w:pos="20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from each party hereto (i) a counterpart of this Amendment signed on behalf of such party or (ii) written evidence satisfactory to the Administrative Agent (which may include telecopy or electronic transmission of a signed signature page to this Amendment) that such party has signed a counterpart of this Amendment; and</w:t>
      </w:r>
    </w:p>
    <w:p>
      <w:pPr>
        <w:spacing w:after="0" w:line="180" w:lineRule="exact"/>
        <w:rPr>
          <w:rFonts w:ascii="Times New Roman" w:cs="Times New Roman" w:eastAsia="Times New Roman" w:hAnsi="Times New Roman"/>
          <w:sz w:val="22"/>
          <w:szCs w:val="22"/>
          <w:color w:val="auto"/>
        </w:rPr>
      </w:pPr>
    </w:p>
    <w:p>
      <w:pPr>
        <w:jc w:val="both"/>
        <w:ind w:left="380" w:firstLine="1125"/>
        <w:spacing w:after="0" w:line="244" w:lineRule="auto"/>
        <w:tabs>
          <w:tab w:leader="none" w:pos="20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the payment by the Borrower of any fees and expenses due and payable by the Borrower to the Lenders and the Administrative Agent on the Eighth Amendment Effective Date that the Borrower has agreed to pay in connection with this Amendment.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4" w:name="page75"/>
    <w:bookmarkEnd w:id="7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hereby represents and warrants that (i) this Amendment and the Credit Agreement each constitutes a legal, valid and binding obligation of it, enforceable against it in accordance with its terms, (ii) immediately prior to the effectiveness of this Amendment, no Default or Event of Default shall exist and,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References to Credit Agreement</w:t>
      </w:r>
      <w:r>
        <w:rPr>
          <w:rFonts w:ascii="Times New Roman" w:cs="Times New Roman" w:eastAsia="Times New Roman" w:hAnsi="Times New Roman"/>
          <w:sz w:val="22"/>
          <w:szCs w:val="22"/>
          <w:color w:val="auto"/>
        </w:rPr>
        <w:t>. Upon the effectiveness of this Amendment, each reference in the Credit Agreement to “this Agreement”, “hereunder”, “hereof”, “herein”, or words of like import shall mean and be a reference to the Existing Credit Agreement as amended hereby and each reference to the Existing Credit Agreement in the other Loan Documents and in any other document, instrument or agreement executed and/or delivered in connection with the Existing Credit Agreement shall mean and be a reference to the Existing Credit Agreement as amended hereby.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Effect on Existing Agreements</w:t>
      </w:r>
      <w:r>
        <w:rPr>
          <w:rFonts w:ascii="Times New Roman" w:cs="Times New Roman" w:eastAsia="Times New Roman" w:hAnsi="Times New Roman"/>
          <w:sz w:val="22"/>
          <w:szCs w:val="22"/>
          <w:color w:val="auto"/>
        </w:rPr>
        <w:t>. Except as specifically amended above, the Credit Agreement, the other Loan Documents and all other documents, instruments and agreements executed and/or delivered in connection therewith shall remain in full force and effect and are hereby ratified and confirmed in all respects. This Amendment does not constitute a novation or termination of the Secured Obligations (as defined in the Guarantee and Security Agreement) under the Credit Agreement as in effect immediately prior to the effectiveness of this Amendment and which remain outstanding.</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The execution, delivery and effectiveness of this Amendment shall not operate as a waiver of any right, power or remedy of the Administrative Agent under the Existing Credit Agreement, the Credit Agreement, the other Loan Documents or any other document, instrument or agreement executed in connection therewith, nor constitute a waiver of any provision contained therein, except as specifically set forth herein. The parties hereto hereby agree that this Amendment is a Loan Document.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shall be binding upon and shall inure to the benefit of the parties hereto and their respective successors and permitted assigns.</w:t>
      </w:r>
    </w:p>
    <w:p>
      <w:pPr>
        <w:spacing w:after="0" w:line="200" w:lineRule="exact"/>
        <w:rPr>
          <w:sz w:val="20"/>
          <w:szCs w:val="20"/>
          <w:color w:val="auto"/>
        </w:rPr>
      </w:pPr>
    </w:p>
    <w:p>
      <w:pPr>
        <w:spacing w:after="0" w:line="3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Section headings in this Amendment are inserted for convenience of reference only and shall not affect the meaning or interpretation of this Amendment or any provision hereof.</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 communication (e.g. pdf) shall be effective as delivery of a manually executed counterpart of this Amendment.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5.9.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80" w:firstLine="1125"/>
        <w:spacing w:after="0" w:line="239" w:lineRule="auto"/>
        <w:tabs>
          <w:tab w:leader="none" w:pos="204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reaffirms, ratifies and confirms that after giving effect to this Amendment and the transactions contemplated hereby, the Liens and other security interests granted by the Borrower pursuant to, and the terms and conditions of, the Guarantee and Security Agreement and the other Security Documents remain unaltered and in full force and effect and secure the Secured Obligations.</w:t>
      </w:r>
    </w:p>
    <w:p>
      <w:pPr>
        <w:spacing w:after="0" w:line="180" w:lineRule="exact"/>
        <w:rPr>
          <w:rFonts w:ascii="Times New Roman" w:cs="Times New Roman" w:eastAsia="Times New Roman" w:hAnsi="Times New Roman"/>
          <w:sz w:val="22"/>
          <w:szCs w:val="22"/>
          <w:color w:val="auto"/>
        </w:rPr>
      </w:pPr>
    </w:p>
    <w:p>
      <w:pPr>
        <w:jc w:val="both"/>
        <w:ind w:left="380" w:firstLine="1125"/>
        <w:spacing w:after="0" w:line="236" w:lineRule="auto"/>
        <w:tabs>
          <w:tab w:leader="none" w:pos="204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PNNT Investment Holdings (i) hereby consents to the terms of this Amendment and the Credit Agreement, (ii) hereby confirms that, after giving effect to this Amendment and the transactions contemplated hereby, its Guarantee under the Guarantee and Security Agreement remains unaltered and in full force and effect and (iii)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5.11.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thereunto duly authorized, as of the date first above written.</w:t>
      </w:r>
    </w:p>
    <w:p>
      <w:pPr>
        <w:spacing w:after="0" w:line="1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1391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 Jeffrey S. Sion</w:t>
      </w:r>
    </w:p>
    <w:p>
      <w:pPr>
        <w:ind w:left="48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CONTINUE ON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7" w:name="page78"/>
    <w:bookmarkEnd w:id="77"/>
    <w:p>
      <w:pPr>
        <w:ind w:left="3920"/>
        <w:spacing w:after="0"/>
        <w:rPr>
          <w:sz w:val="20"/>
          <w:szCs w:val="20"/>
          <w:color w:val="auto"/>
        </w:rPr>
      </w:pPr>
      <w:r>
        <w:rPr>
          <w:rFonts w:ascii="Times New Roman" w:cs="Times New Roman" w:eastAsia="Times New Roman" w:hAnsi="Times New Roman"/>
          <w:sz w:val="21"/>
          <w:szCs w:val="21"/>
          <w:color w:val="auto"/>
        </w:rPr>
        <w:t xml:space="preserve">Agreed and acknowledged solely with respect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PNNT INVESTMENT HOLDINGS, LLC</w:t>
      </w:r>
    </w:p>
    <w:p>
      <w:pPr>
        <w:spacing w:after="0" w:line="200" w:lineRule="exact"/>
        <w:rPr>
          <w:sz w:val="20"/>
          <w:szCs w:val="20"/>
          <w:color w:val="auto"/>
        </w:rPr>
      </w:pPr>
    </w:p>
    <w:p>
      <w:pPr>
        <w:spacing w:after="0" w:line="28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wp:posOffset>
            </wp:positionV>
            <wp:extent cx="11734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3920"/>
        <w:spacing w:after="0"/>
        <w:rPr>
          <w:sz w:val="20"/>
          <w:szCs w:val="20"/>
          <w:color w:val="auto"/>
        </w:rPr>
      </w:pPr>
      <w:r>
        <w:rPr>
          <w:rFonts w:ascii="Times New Roman" w:cs="Times New Roman" w:eastAsia="Times New Roman" w:hAnsi="Times New Roman"/>
          <w:sz w:val="22"/>
          <w:szCs w:val="22"/>
          <w:color w:val="auto"/>
        </w:rPr>
        <w:t>Name: Jeffrey S. Sion</w:t>
      </w:r>
    </w:p>
    <w:p>
      <w:pPr>
        <w:ind w:left="39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8" w:right="1440" w:bottom="1440" w:gutter="0" w:footer="0" w:header="0"/>
        </w:sectPr>
      </w:pPr>
    </w:p>
    <w:bookmarkStart w:id="78" w:name="page79"/>
    <w:bookmarkEnd w:id="78"/>
    <w:p>
      <w:pPr>
        <w:ind w:left="392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as the Administrative Agent, Swingline Lender, Issuing Bank and a Lender</w:t>
      </w: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Hays Wood</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 Hays Wood</w:t>
      </w:r>
    </w:p>
    <w:p>
      <w:pPr>
        <w:ind w:left="42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900" w:top="1404" w:right="579" w:bottom="1440" w:gutter="0" w:footer="0" w:header="0"/>
        </w:sectPr>
      </w:pPr>
    </w:p>
    <w:bookmarkStart w:id="79" w:name="page80"/>
    <w:bookmarkEnd w:id="79"/>
    <w:p>
      <w:pPr>
        <w:ind w:left="3920"/>
        <w:spacing w:after="0"/>
        <w:rPr>
          <w:sz w:val="20"/>
          <w:szCs w:val="20"/>
          <w:color w:val="auto"/>
        </w:rPr>
      </w:pPr>
      <w:r>
        <w:rPr>
          <w:rFonts w:ascii="Times New Roman" w:cs="Times New Roman" w:eastAsia="Times New Roman" w:hAnsi="Times New Roman"/>
          <w:sz w:val="22"/>
          <w:szCs w:val="22"/>
          <w:b w:val="1"/>
          <w:bCs w:val="1"/>
          <w:color w:val="auto"/>
        </w:rPr>
        <w:t>ING CAPITAL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Grace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8648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864870" cy="8890"/>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Grace Fu</w:t>
      </w:r>
    </w:p>
    <w:p>
      <w:pPr>
        <w:jc w:val="right"/>
        <w:ind w:right="3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Richard Troxel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Richard Troxel</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0" w:name="page81"/>
    <w:bookmarkEnd w:id="80"/>
    <w:p>
      <w:pPr>
        <w:spacing w:after="0" w:line="200" w:lineRule="exact"/>
        <w:rPr>
          <w:sz w:val="20"/>
          <w:szCs w:val="20"/>
          <w:color w:val="auto"/>
        </w:rPr>
      </w:pPr>
    </w:p>
    <w:p>
      <w:pPr>
        <w:spacing w:after="0" w:line="22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REGIONS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Brian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Brian Sandler</w:t>
      </w:r>
    </w:p>
    <w:p>
      <w:pPr>
        <w:jc w:val="right"/>
        <w:ind w:right="3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40" w:right="1440" w:bottom="1440" w:gutter="0" w:footer="0" w:header="0"/>
        </w:sectPr>
      </w:pPr>
    </w:p>
    <w:bookmarkStart w:id="81" w:name="page82"/>
    <w:bookmarkEnd w:id="81"/>
    <w:p>
      <w:pPr>
        <w:ind w:left="3920"/>
        <w:spacing w:after="0"/>
        <w:rPr>
          <w:sz w:val="20"/>
          <w:szCs w:val="20"/>
          <w:color w:val="auto"/>
        </w:rPr>
      </w:pPr>
      <w:r>
        <w:rPr>
          <w:rFonts w:ascii="Times New Roman" w:cs="Times New Roman" w:eastAsia="Times New Roman" w:hAnsi="Times New Roman"/>
          <w:sz w:val="22"/>
          <w:szCs w:val="22"/>
          <w:b w:val="1"/>
          <w:bCs w:val="1"/>
          <w:color w:val="auto"/>
        </w:rPr>
        <w:t>CIBC BANK USA</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Nick Koziak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Nick Koziak</w:t>
      </w:r>
    </w:p>
    <w:p>
      <w:pPr>
        <w:jc w:val="right"/>
        <w:ind w:right="3139"/>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2" w:name="page83"/>
    <w:bookmarkEnd w:id="82"/>
    <w:p>
      <w:pPr>
        <w:ind w:left="3920"/>
        <w:spacing w:after="0"/>
        <w:rPr>
          <w:sz w:val="20"/>
          <w:szCs w:val="20"/>
          <w:color w:val="auto"/>
        </w:rPr>
      </w:pPr>
      <w:r>
        <w:rPr>
          <w:rFonts w:ascii="Times New Roman" w:cs="Times New Roman" w:eastAsia="Times New Roman" w:hAnsi="Times New Roman"/>
          <w:sz w:val="21"/>
          <w:szCs w:val="21"/>
          <w:b w:val="1"/>
          <w:bCs w:val="1"/>
          <w:color w:val="auto"/>
        </w:rPr>
        <w:t>CITIZENS BANK, N.A.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Bryan Rizzardi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1"/>
          <w:szCs w:val="21"/>
          <w:color w:val="auto"/>
        </w:rPr>
        <w:t>Name: Bryan Rizzardi</w:t>
      </w:r>
    </w:p>
    <w:p>
      <w:pPr>
        <w:spacing w:after="0" w:line="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3" w:name="page84"/>
    <w:bookmarkEnd w:id="83"/>
    <w:p>
      <w:pPr>
        <w:ind w:left="3920"/>
        <w:spacing w:after="0"/>
        <w:rPr>
          <w:sz w:val="20"/>
          <w:szCs w:val="20"/>
          <w:color w:val="auto"/>
        </w:rPr>
      </w:pPr>
      <w:r>
        <w:rPr>
          <w:rFonts w:ascii="Times New Roman" w:cs="Times New Roman" w:eastAsia="Times New Roman" w:hAnsi="Times New Roman"/>
          <w:sz w:val="21"/>
          <w:szCs w:val="21"/>
          <w:b w:val="1"/>
          <w:bCs w:val="1"/>
          <w:color w:val="auto"/>
        </w:rPr>
        <w:t>WESTERN ALLIANCE BANK</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Tyler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Tyler Peterson</w:t>
      </w:r>
    </w:p>
    <w:p>
      <w:pPr>
        <w:ind w:left="42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4" w:name="page85"/>
    <w:bookmarkEnd w:id="84"/>
    <w:p>
      <w:pPr>
        <w:ind w:left="3920"/>
        <w:spacing w:after="0"/>
        <w:rPr>
          <w:sz w:val="20"/>
          <w:szCs w:val="20"/>
          <w:color w:val="auto"/>
        </w:rPr>
      </w:pPr>
      <w:r>
        <w:rPr>
          <w:rFonts w:ascii="Times New Roman" w:cs="Times New Roman" w:eastAsia="Times New Roman" w:hAnsi="Times New Roman"/>
          <w:sz w:val="21"/>
          <w:szCs w:val="21"/>
          <w:b w:val="1"/>
          <w:bCs w:val="1"/>
          <w:color w:val="auto"/>
        </w:rPr>
        <w:t>GOLDMAN SACHS BANK USA</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Roopa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1391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Roopa Chandra</w:t>
      </w:r>
    </w:p>
    <w:p>
      <w:pPr>
        <w:ind w:left="42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5" w:name="page86"/>
    <w:bookmarkEnd w:id="85"/>
    <w:p>
      <w:pPr>
        <w:ind w:left="3920"/>
        <w:spacing w:after="0"/>
        <w:rPr>
          <w:sz w:val="20"/>
          <w:szCs w:val="20"/>
          <w:color w:val="auto"/>
        </w:rPr>
      </w:pPr>
      <w:r>
        <w:rPr>
          <w:rFonts w:ascii="Times New Roman" w:cs="Times New Roman" w:eastAsia="Times New Roman" w:hAnsi="Times New Roman"/>
          <w:sz w:val="22"/>
          <w:szCs w:val="22"/>
          <w:b w:val="1"/>
          <w:bCs w:val="1"/>
          <w:color w:val="auto"/>
        </w:rPr>
        <w:t>CITY NATIONAL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-13970</wp:posOffset>
            </wp:positionV>
            <wp:extent cx="141351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22"/>
          <w:szCs w:val="22"/>
          <w:color w:val="auto"/>
        </w:rPr>
        <w:t>Name: Matthew L. Diehl</w:t>
      </w:r>
    </w:p>
    <w:p>
      <w:pPr>
        <w:jc w:val="right"/>
        <w:ind w:right="2899"/>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474980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404" w:right="1440" w:bottom="1440" w:gutter="0" w:footer="0" w:header="0"/>
        </w:sectPr>
      </w:pPr>
    </w:p>
    <w:bookmarkStart w:id="86" w:name="page87"/>
    <w:bookmarkEnd w:id="86"/>
    <w:p>
      <w:pPr>
        <w:ind w:left="3380"/>
        <w:spacing w:after="0"/>
        <w:rPr>
          <w:sz w:val="20"/>
          <w:szCs w:val="20"/>
          <w:color w:val="auto"/>
        </w:rPr>
      </w:pPr>
      <w:r>
        <w:rPr>
          <w:rFonts w:ascii="Times New Roman" w:cs="Times New Roman" w:eastAsia="Times New Roman" w:hAnsi="Times New Roman"/>
          <w:sz w:val="22"/>
          <w:szCs w:val="22"/>
          <w:b w:val="1"/>
          <w:bCs w:val="1"/>
          <w:color w:val="auto"/>
        </w:rPr>
        <w:t>RAYMOND JAMES BANK</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/s/ Camilo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11391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3700"/>
        <w:spacing w:after="0"/>
        <w:rPr>
          <w:sz w:val="20"/>
          <w:szCs w:val="20"/>
          <w:color w:val="auto"/>
        </w:rPr>
      </w:pPr>
      <w:r>
        <w:rPr>
          <w:rFonts w:ascii="Times New Roman" w:cs="Times New Roman" w:eastAsia="Times New Roman" w:hAnsi="Times New Roman"/>
          <w:sz w:val="22"/>
          <w:szCs w:val="22"/>
          <w:color w:val="auto"/>
        </w:rPr>
        <w:t>Name: Camilo Rincon</w:t>
      </w:r>
    </w:p>
    <w:p>
      <w:pPr>
        <w:ind w:left="3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586740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440" w:top="1404" w:right="10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Investment Corporation, certify that:</w:t>
      </w:r>
    </w:p>
    <w:p>
      <w:pPr>
        <w:spacing w:after="0" w:line="136" w:lineRule="exact"/>
        <w:rPr>
          <w:sz w:val="20"/>
          <w:szCs w:val="20"/>
          <w:color w:val="auto"/>
        </w:rPr>
      </w:pPr>
    </w:p>
    <w:p>
      <w:pPr>
        <w:ind w:left="620" w:hanging="143"/>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right="40" w:firstLine="477"/>
        <w:spacing w:after="0" w:line="261" w:lineRule="auto"/>
        <w:tabs>
          <w:tab w:leader="none" w:pos="6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4"/>
          <w:szCs w:val="14"/>
          <w:color w:val="auto"/>
        </w:rPr>
      </w:pPr>
    </w:p>
    <w:p>
      <w:pPr>
        <w:ind w:left="920" w:hanging="163"/>
        <w:spacing w:after="0"/>
        <w:tabs>
          <w:tab w:leader="none" w:pos="9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w:t>
      </w:r>
    </w:p>
    <w:p>
      <w:pPr>
        <w:spacing w:after="0" w:line="4" w:lineRule="exact"/>
        <w:rPr>
          <w:sz w:val="20"/>
          <w:szCs w:val="20"/>
          <w:color w:val="auto"/>
        </w:rPr>
      </w:pPr>
    </w:p>
    <w:p>
      <w:pPr>
        <w:ind w:right="740"/>
        <w:spacing w:after="0" w:line="239" w:lineRule="auto"/>
        <w:rPr>
          <w:sz w:val="20"/>
          <w:szCs w:val="20"/>
          <w:color w:val="auto"/>
        </w:rPr>
      </w:pPr>
      <w:r>
        <w:rPr>
          <w:rFonts w:ascii="Times New Roman" w:cs="Times New Roman" w:eastAsia="Times New Roman" w:hAnsi="Times New Roman"/>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09" w:lineRule="exact"/>
        <w:rPr>
          <w:sz w:val="20"/>
          <w:szCs w:val="20"/>
          <w:color w:val="auto"/>
        </w:rPr>
      </w:pPr>
    </w:p>
    <w:p>
      <w:pPr>
        <w:ind w:right="240" w:firstLine="757"/>
        <w:spacing w:after="0" w:line="261" w:lineRule="auto"/>
        <w:tabs>
          <w:tab w:leader="none" w:pos="897"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360" w:firstLine="757"/>
        <w:spacing w:after="0" w:line="261" w:lineRule="auto"/>
        <w:tabs>
          <w:tab w:leader="none" w:pos="90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520" w:firstLine="477"/>
        <w:spacing w:after="0" w:line="261" w:lineRule="auto"/>
        <w:tabs>
          <w:tab w:leader="none" w:pos="61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right="620" w:firstLine="757"/>
        <w:spacing w:after="0" w:line="442" w:lineRule="auto"/>
        <w:tabs>
          <w:tab w:leader="none" w:pos="904"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Arthur H. Penn</w:t>
            </w:r>
          </w:p>
        </w:tc>
        <w:tc>
          <w:tcPr>
            <w:tcW w:w="6760" w:type="dxa"/>
            <w:vAlign w:val="bottom"/>
          </w:tcPr>
          <w:p>
            <w:pPr>
              <w:spacing w:after="0"/>
              <w:rPr>
                <w:sz w:val="10"/>
                <w:szCs w:val="10"/>
                <w:color w:val="auto"/>
              </w:rPr>
            </w:pP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326"/>
        </w:trPr>
        <w:tc>
          <w:tcPr>
            <w:tcW w:w="4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T. Allorto, Jr., Chief Financial Officer of PennantPark Investment Corporation, certify that:</w:t>
      </w:r>
    </w:p>
    <w:p>
      <w:pPr>
        <w:spacing w:after="0" w:line="136" w:lineRule="exact"/>
        <w:rPr>
          <w:sz w:val="20"/>
          <w:szCs w:val="20"/>
          <w:color w:val="auto"/>
        </w:rPr>
      </w:pPr>
    </w:p>
    <w:p>
      <w:pPr>
        <w:ind w:left="620" w:hanging="143"/>
        <w:spacing w:after="0"/>
        <w:tabs>
          <w:tab w:leader="none" w:pos="6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Investment Corporation;</w:t>
      </w:r>
    </w:p>
    <w:p>
      <w:pPr>
        <w:spacing w:after="0" w:line="136"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right="580" w:firstLine="476"/>
        <w:spacing w:after="0" w:line="261" w:lineRule="auto"/>
        <w:tabs>
          <w:tab w:leader="none" w:pos="6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9" w:lineRule="exact"/>
        <w:rPr>
          <w:rFonts w:ascii="Times New Roman" w:cs="Times New Roman" w:eastAsia="Times New Roman" w:hAnsi="Times New Roman"/>
          <w:sz w:val="14"/>
          <w:szCs w:val="14"/>
          <w:color w:val="auto"/>
        </w:rPr>
      </w:pPr>
    </w:p>
    <w:p>
      <w:pPr>
        <w:ind w:right="740" w:firstLine="757"/>
        <w:spacing w:after="0" w:line="242" w:lineRule="auto"/>
        <w:tabs>
          <w:tab w:leader="none" w:pos="90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9" w:lineRule="exact"/>
        <w:rPr>
          <w:rFonts w:ascii="Times New Roman" w:cs="Times New Roman" w:eastAsia="Times New Roman" w:hAnsi="Times New Roman"/>
          <w:sz w:val="14"/>
          <w:szCs w:val="14"/>
          <w:color w:val="auto"/>
        </w:rPr>
      </w:pPr>
    </w:p>
    <w:p>
      <w:pPr>
        <w:ind w:right="240" w:firstLine="757"/>
        <w:spacing w:after="0" w:line="261" w:lineRule="auto"/>
        <w:tabs>
          <w:tab w:leader="none" w:pos="8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right="360" w:firstLine="757"/>
        <w:spacing w:after="0" w:line="261" w:lineRule="auto"/>
        <w:tabs>
          <w:tab w:leader="none" w:pos="90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4"/>
          <w:szCs w:val="14"/>
          <w:color w:val="auto"/>
        </w:rPr>
      </w:pPr>
    </w:p>
    <w:p>
      <w:pPr>
        <w:ind w:right="520" w:firstLine="477"/>
        <w:spacing w:after="0" w:line="261" w:lineRule="auto"/>
        <w:tabs>
          <w:tab w:leader="none" w:pos="61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right="620" w:firstLine="757"/>
        <w:spacing w:after="0" w:line="442" w:lineRule="auto"/>
        <w:tabs>
          <w:tab w:leader="none" w:pos="904"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9,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Richard T. Allorto, Jr.</w:t>
            </w:r>
          </w:p>
        </w:tc>
        <w:tc>
          <w:tcPr>
            <w:tcW w:w="6760" w:type="dxa"/>
            <w:vAlign w:val="bottom"/>
          </w:tcPr>
          <w:p>
            <w:pPr>
              <w:spacing w:after="0"/>
              <w:rPr>
                <w:sz w:val="10"/>
                <w:szCs w:val="10"/>
                <w:color w:val="auto"/>
              </w:rPr>
            </w:pP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110"/>
        </w:trPr>
        <w:tc>
          <w:tcPr>
            <w:tcW w:w="4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2025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Arthur H. Penn, Chief Executive Officer of the Registrant, hereby certify, to the best of my knowledge, that:</w:t>
      </w:r>
    </w:p>
    <w:p>
      <w:pPr>
        <w:spacing w:after="0" w:line="120" w:lineRule="exact"/>
        <w:rPr>
          <w:sz w:val="20"/>
          <w:szCs w:val="20"/>
          <w:color w:val="auto"/>
        </w:rPr>
      </w:pPr>
    </w:p>
    <w:p>
      <w:pPr>
        <w:ind w:left="780" w:hanging="284"/>
        <w:spacing w:after="0"/>
        <w:tabs>
          <w:tab w:leader="none" w:pos="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9, 2026</w:t>
            </w:r>
          </w:p>
        </w:tc>
      </w:tr>
      <w:tr>
        <w:trPr>
          <w:trHeight w:val="1138"/>
        </w:trPr>
        <w:tc>
          <w:tcPr>
            <w:tcW w:w="440" w:type="dxa"/>
            <w:vAlign w:val="bottom"/>
            <w:tcBorders>
              <w:bottom w:val="single" w:sz="8" w:color="9A9A9A"/>
            </w:tcBorders>
          </w:tcPr>
          <w:p>
            <w:pPr>
              <w:spacing w:after="0"/>
              <w:rPr>
                <w:sz w:val="24"/>
                <w:szCs w:val="24"/>
                <w:color w:val="auto"/>
              </w:rPr>
            </w:pPr>
          </w:p>
        </w:tc>
        <w:tc>
          <w:tcPr>
            <w:tcW w:w="10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2025 (the “Report”) of PennantPark Investment Corporation (the “Registrant”), as filed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I, Richard T. Allorto, Jr., Chief Financial Officer of the Registrant, hereby certify, to the best of my knowledge, that:</w:t>
      </w:r>
    </w:p>
    <w:p>
      <w:pPr>
        <w:spacing w:after="0" w:line="120" w:lineRule="exact"/>
        <w:rPr>
          <w:sz w:val="20"/>
          <w:szCs w:val="20"/>
          <w:color w:val="auto"/>
        </w:rPr>
      </w:pPr>
    </w:p>
    <w:p>
      <w:pPr>
        <w:ind w:left="780" w:hanging="284"/>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36"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Richard T. Allorto, Jr.</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10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9, 2026</w:t>
            </w:r>
          </w:p>
        </w:tc>
      </w:tr>
      <w:tr>
        <w:trPr>
          <w:trHeight w:val="1138"/>
        </w:trPr>
        <w:tc>
          <w:tcPr>
            <w:tcW w:w="440" w:type="dxa"/>
            <w:vAlign w:val="bottom"/>
            <w:tcBorders>
              <w:bottom w:val="single" w:sz="8" w:color="9A9A9A"/>
            </w:tcBorders>
          </w:tcPr>
          <w:p>
            <w:pPr>
              <w:spacing w:after="0"/>
              <w:rPr>
                <w:sz w:val="24"/>
                <w:szCs w:val="24"/>
                <w:color w:val="auto"/>
              </w:rPr>
            </w:pPr>
          </w:p>
        </w:tc>
        <w:tc>
          <w:tcPr>
            <w:tcW w:w="10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1)"/>
      <w:numFmt w:val="lowerLetter"/>
      <w:start w:val="4"/>
    </w:lvl>
  </w:abstractNum>
  <w:abstractNum w:abstractNumId="9">
    <w:nsid w:val="836C40E"/>
    <w:multiLevelType w:val="hybridMultilevel"/>
    <w:lvl w:ilvl="0">
      <w:lvlJc w:val="left"/>
      <w:lvlText w:val="(%1)"/>
      <w:numFmt w:val="lowerLetter"/>
      <w:start w:val="5"/>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lowerLetter"/>
      <w:start w:val="6"/>
    </w:lvl>
  </w:abstractNum>
  <w:abstractNum w:abstractNumId="12">
    <w:nsid w:val="8138641"/>
    <w:multiLevelType w:val="hybridMultilevel"/>
    <w:lvl w:ilvl="0">
      <w:lvlJc w:val="left"/>
      <w:lvlText w:val="(%1)"/>
      <w:numFmt w:val="lowerLetter"/>
      <w:start w:val="7"/>
    </w:lvl>
  </w:abstractNum>
  <w:abstractNum w:abstractNumId="13">
    <w:nsid w:val="1E7FF521"/>
    <w:multiLevelType w:val="hybridMultilevel"/>
    <w:lvl w:ilvl="0">
      <w:lvlJc w:val="left"/>
      <w:lvlText w:val="(%1)"/>
      <w:numFmt w:val="lowerLetter"/>
      <w:start w:val="8"/>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04"/>
    </w:lvl>
  </w:abstractNum>
  <w:abstractNum w:abstractNumId="37">
    <w:nsid w:val="6A2342EC"/>
    <w:multiLevelType w:val="hybridMultilevel"/>
    <w:lvl w:ilvl="0">
      <w:lvlJc w:val="left"/>
      <w:lvlText w:val="\endash "/>
      <w:numFmt w:val="bullet"/>
      <w:start w:val="1"/>
    </w:lvl>
    <w:lvl w:ilvl="1">
      <w:lvlJc w:val="left"/>
      <w:lvlText w:val="(%2)"/>
      <w:numFmt w:val="lowerLetter"/>
      <w:start w:val="1"/>
    </w:lvl>
  </w:abstractNum>
  <w:abstractNum w:abstractNumId="38">
    <w:nsid w:val="2A487CB0"/>
    <w:multiLevelType w:val="hybridMultilevel"/>
    <w:lvl w:ilvl="0">
      <w:lvlJc w:val="left"/>
      <w:lvlText w:val="(%1)"/>
      <w:numFmt w:val="lowerLetter"/>
      <w:start w:val="2"/>
    </w:lvl>
  </w:abstractNum>
  <w:abstractNum w:abstractNumId="39">
    <w:nsid w:val="1D4ED43B"/>
    <w:multiLevelType w:val="hybridMultilevel"/>
    <w:lvl w:ilvl="0">
      <w:lvlJc w:val="left"/>
      <w:lvlText w:val="(%1)"/>
      <w:numFmt w:val="lowerLetter"/>
      <w:start w:val="4"/>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3"/>
    </w:lvl>
  </w:abstractNum>
  <w:abstractNum w:abstractNumId="43">
    <w:nsid w:val="7A6D8D3C"/>
    <w:multiLevelType w:val="hybridMultilevel"/>
    <w:lvl w:ilvl="0">
      <w:lvlJc w:val="left"/>
      <w:lvlText w:val="%1."/>
      <w:numFmt w:val="decimal"/>
      <w:start w:val="5"/>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457" Type="http://schemas.openxmlformats.org/officeDocument/2006/relationships/hyperlink" Target="https://www.sec.gov/Archives/edgar/data/1383414/000119312507075646/dex99a.htm" TargetMode="External"/><Relationship Id="rId458" Type="http://schemas.openxmlformats.org/officeDocument/2006/relationships/hyperlink" Target="https://www.sec.gov/Archives/edgar/data/1383414/000095017024092751/pnnt-ex3_2.htm" TargetMode="External"/><Relationship Id="rId459" Type="http://schemas.openxmlformats.org/officeDocument/2006/relationships/hyperlink" Target="https://www.sec.gov/Archives/edgar/data/1383414/000156459020024172/pnnt-ex32_163.htm" TargetMode="External"/><Relationship Id="rId460" Type="http://schemas.openxmlformats.org/officeDocument/2006/relationships/hyperlink" Target="https://www.sec.gov/Archives/edgar/data/1383414/000119312525318545/pnnt-ex10_1.htm" TargetMode="External"/><Relationship Id="rId461"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2026-02-09T15:34:54Z</dcterms:created>
  <dcterms:modified xsi:type="dcterms:W3CDTF">2026-02-09T15:34:54Z</dcterms:modified>
</cp:coreProperties>
</file>