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146050</wp:posOffset>
            </wp:positionV>
            <wp:extent cx="13074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7465" cy="209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158750</wp:posOffset>
            </wp:positionV>
            <wp:extent cx="13074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7465" cy="209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ind w:left="2580"/>
        <w:spacing w:after="0"/>
        <w:rPr>
          <w:sz w:val="20"/>
          <w:szCs w:val="20"/>
          <w:color w:val="auto"/>
        </w:rPr>
      </w:pPr>
      <w:r>
        <w:rPr>
          <w:rFonts w:ascii="Arial" w:cs="Arial" w:eastAsia="Arial" w:hAnsi="Arial"/>
          <w:sz w:val="21"/>
          <w:szCs w:val="21"/>
          <w:color w:val="auto"/>
        </w:rPr>
        <w:t xml:space="preserve">Date of Report (Date of earliest event reported) </w:t>
      </w:r>
      <w:r>
        <w:rPr>
          <w:rFonts w:ascii="Arial" w:cs="Arial" w:eastAsia="Arial" w:hAnsi="Arial"/>
          <w:sz w:val="21"/>
          <w:szCs w:val="21"/>
          <w:b w:val="1"/>
          <w:bCs w:val="1"/>
          <w:color w:val="auto"/>
        </w:rPr>
        <w:t>November 18,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153670</wp:posOffset>
            </wp:positionV>
            <wp:extent cx="130746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7465"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06" w:right="339" w:bottom="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Maryland</w:t>
      </w:r>
    </w:p>
    <w:p>
      <w:pPr>
        <w:spacing w:after="0" w:line="21"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814-00736</w:t>
      </w:r>
    </w:p>
    <w:p>
      <w:pPr>
        <w:spacing w:after="0" w:line="21"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20-8250744</w:t>
      </w:r>
    </w:p>
    <w:p>
      <w:pPr>
        <w:spacing w:after="0" w:line="21"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4060" w:space="720"/>
            <w:col w:w="2840" w:space="720"/>
            <w:col w:w="2900"/>
          </w:cols>
          <w:pgMar w:left="320" w:top="206" w:right="339" w:bottom="0" w:gutter="0" w:footer="0" w:header="0"/>
          <w:type w:val="continuous"/>
        </w:sectPr>
      </w:pPr>
    </w:p>
    <w:p>
      <w:pPr>
        <w:ind w:left="1220"/>
        <w:spacing w:after="0"/>
        <w:rPr>
          <w:sz w:val="20"/>
          <w:szCs w:val="20"/>
          <w:color w:val="auto"/>
        </w:rPr>
      </w:pPr>
      <w:r>
        <w:rPr>
          <w:rFonts w:ascii="Arial" w:cs="Arial" w:eastAsia="Arial" w:hAnsi="Arial"/>
          <w:sz w:val="16"/>
          <w:szCs w:val="16"/>
          <w:color w:val="auto"/>
        </w:rPr>
        <w:t>of incorporation)</w:t>
      </w:r>
    </w:p>
    <w:p>
      <w:pPr>
        <w:sectPr>
          <w:pgSz w:w="11900" w:h="16838" w:orient="portrait"/>
          <w:cols w:equalWidth="0" w:num="1">
            <w:col w:w="11240"/>
          </w:cols>
          <w:pgMar w:left="320" w:top="206"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left="2300"/>
        <w:spacing w:after="0"/>
        <w:rPr>
          <w:sz w:val="20"/>
          <w:szCs w:val="20"/>
          <w:color w:val="auto"/>
        </w:rPr>
      </w:pPr>
      <w:r>
        <w:rPr>
          <w:rFonts w:ascii="Arial" w:cs="Arial" w:eastAsia="Arial" w:hAnsi="Arial"/>
          <w:sz w:val="16"/>
          <w:szCs w:val="16"/>
          <w:b w:val="1"/>
          <w:bCs w:val="1"/>
          <w:color w:val="auto"/>
        </w:rPr>
        <w:t>590 Madison Avenue, 15th Floor, New York, NY</w:t>
      </w:r>
    </w:p>
    <w:p>
      <w:pPr>
        <w:spacing w:after="0" w:line="44" w:lineRule="exact"/>
        <w:rPr>
          <w:sz w:val="24"/>
          <w:szCs w:val="24"/>
          <w:color w:val="auto"/>
        </w:rPr>
      </w:pPr>
    </w:p>
    <w:p>
      <w:pPr>
        <w:jc w:val="center"/>
        <w:ind w:left="2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2480"/>
        <w:spacing w:after="0"/>
        <w:rPr>
          <w:sz w:val="20"/>
          <w:szCs w:val="20"/>
          <w:color w:val="auto"/>
        </w:rPr>
      </w:pPr>
      <w:r>
        <w:rPr>
          <w:rFonts w:ascii="Arial" w:cs="Arial" w:eastAsia="Arial" w:hAnsi="Arial"/>
          <w:sz w:val="18"/>
          <w:szCs w:val="18"/>
          <w:b w:val="1"/>
          <w:bCs w:val="1"/>
          <w:color w:val="auto"/>
        </w:rPr>
        <w:t>10022</w:t>
      </w:r>
    </w:p>
    <w:p>
      <w:pPr>
        <w:spacing w:after="0" w:line="21" w:lineRule="exact"/>
        <w:rPr>
          <w:sz w:val="24"/>
          <w:szCs w:val="24"/>
          <w:color w:val="auto"/>
        </w:rPr>
      </w:pPr>
    </w:p>
    <w:p>
      <w:pPr>
        <w:jc w:val="center"/>
        <w:ind w:right="24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280" w:space="720"/>
            <w:col w:w="3240"/>
          </w:cols>
          <w:pgMar w:left="320" w:top="206" w:right="339" w:bottom="0" w:gutter="0" w:footer="0" w:header="0"/>
          <w:type w:val="continuous"/>
        </w:sectPr>
      </w:pP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212-905-1000</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220"/>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9"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On November 18, 2009, PennantPark Investment Corporation issued a press release announcing an increase of its first fiscal quarter 2010 distribution. A copy of the press release is furnished as Exhibit 99.1 to this Form 8-K.</w:t>
      </w:r>
    </w:p>
    <w:p>
      <w:pPr>
        <w:spacing w:after="0" w:line="186" w:lineRule="exact"/>
        <w:rPr>
          <w:sz w:val="24"/>
          <w:szCs w:val="24"/>
          <w:color w:val="auto"/>
        </w:rPr>
      </w:pPr>
    </w:p>
    <w:p>
      <w:pPr>
        <w:jc w:val="both"/>
        <w:spacing w:after="0" w:line="298" w:lineRule="auto"/>
        <w:rPr>
          <w:sz w:val="20"/>
          <w:szCs w:val="20"/>
          <w:color w:val="auto"/>
        </w:rPr>
      </w:pPr>
      <w:r>
        <w:rPr>
          <w:rFonts w:ascii="Arial" w:cs="Arial" w:eastAsia="Arial" w:hAnsi="Arial"/>
          <w:sz w:val="16"/>
          <w:szCs w:val="16"/>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14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9" w:lineRule="exact"/>
        <w:rPr>
          <w:sz w:val="24"/>
          <w:szCs w:val="24"/>
          <w:color w:val="auto"/>
        </w:rPr>
      </w:pPr>
    </w:p>
    <w:p>
      <w:pPr>
        <w:ind w:left="360" w:right="9380" w:hanging="352"/>
        <w:spacing w:after="0" w:line="275" w:lineRule="auto"/>
        <w:tabs>
          <w:tab w:leader="none" w:pos="25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73" w:lineRule="exact"/>
        <w:rPr>
          <w:rFonts w:ascii="Arial" w:cs="Arial" w:eastAsia="Arial" w:hAnsi="Arial"/>
          <w:sz w:val="18"/>
          <w:szCs w:val="18"/>
          <w:b w:val="1"/>
          <w:bCs w:val="1"/>
          <w:color w:val="auto"/>
        </w:rPr>
      </w:pPr>
    </w:p>
    <w:p>
      <w:pPr>
        <w:ind w:left="360" w:right="8500" w:hanging="352"/>
        <w:spacing w:after="0" w:line="275" w:lineRule="auto"/>
        <w:tabs>
          <w:tab w:leader="none" w:pos="26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73" w:lineRule="exact"/>
        <w:rPr>
          <w:rFonts w:ascii="Arial" w:cs="Arial" w:eastAsia="Arial" w:hAnsi="Arial"/>
          <w:sz w:val="18"/>
          <w:szCs w:val="18"/>
          <w:b w:val="1"/>
          <w:bCs w:val="1"/>
          <w:color w:val="auto"/>
        </w:rPr>
      </w:pPr>
    </w:p>
    <w:p>
      <w:pPr>
        <w:ind w:left="360" w:right="8880" w:hanging="352"/>
        <w:spacing w:after="0" w:line="275" w:lineRule="auto"/>
        <w:tabs>
          <w:tab w:leader="none" w:pos="24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33" w:lineRule="exact"/>
        <w:rPr>
          <w:rFonts w:ascii="Arial" w:cs="Arial" w:eastAsia="Arial" w:hAnsi="Arial"/>
          <w:sz w:val="18"/>
          <w:szCs w:val="18"/>
          <w:b w:val="1"/>
          <w:bCs w:val="1"/>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 w:lineRule="exact"/>
        <w:rPr>
          <w:sz w:val="24"/>
          <w:szCs w:val="24"/>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Investment Corporation dated November 18,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206" w:right="3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SIGNATURE</w:t>
      </w:r>
    </w:p>
    <w:p>
      <w:pPr>
        <w:spacing w:after="0" w:line="226" w:lineRule="exact"/>
        <w:rPr>
          <w:sz w:val="20"/>
          <w:szCs w:val="20"/>
          <w:color w:val="auto"/>
        </w:rPr>
      </w:pPr>
    </w:p>
    <w:p>
      <w:pPr>
        <w:ind w:right="60" w:firstLine="175"/>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89"/>
              </w:rPr>
              <w:t>PennantPark Investment Corporation</w:t>
            </w:r>
          </w:p>
        </w:tc>
      </w:tr>
      <w:tr>
        <w:trPr>
          <w:trHeight w:val="120"/>
        </w:trPr>
        <w:tc>
          <w:tcPr>
            <w:tcW w:w="5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9"/>
        </w:trPr>
        <w:tc>
          <w:tcPr>
            <w:tcW w:w="5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432"/>
        </w:trPr>
        <w:tc>
          <w:tcPr>
            <w:tcW w:w="59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November 18, 2009</w:t>
            </w: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7"/>
              </w:rPr>
              <w:t>/s/  AVIV EFRAT</w:t>
            </w:r>
          </w:p>
        </w:tc>
      </w:tr>
      <w:tr>
        <w:trPr>
          <w:trHeight w:val="120"/>
        </w:trPr>
        <w:tc>
          <w:tcPr>
            <w:tcW w:w="534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2"/>
        </w:trPr>
        <w:tc>
          <w:tcPr>
            <w:tcW w:w="590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(Date)</w:t>
            </w:r>
          </w:p>
        </w:tc>
        <w:tc>
          <w:tcPr>
            <w:tcW w:w="5340" w:type="dxa"/>
            <w:vAlign w:val="bottom"/>
          </w:tcPr>
          <w:p>
            <w:pPr>
              <w:jc w:val="center"/>
              <w:spacing w:after="0"/>
              <w:rPr>
                <w:sz w:val="20"/>
                <w:szCs w:val="20"/>
                <w:color w:val="auto"/>
              </w:rPr>
            </w:pPr>
            <w:r>
              <w:rPr>
                <w:rFonts w:ascii="Arial" w:cs="Arial" w:eastAsia="Arial" w:hAnsi="Arial"/>
                <w:sz w:val="18"/>
                <w:szCs w:val="18"/>
                <w:color w:val="auto"/>
                <w:w w:val="96"/>
              </w:rPr>
              <w:t>Aviv Efrat</w:t>
            </w:r>
          </w:p>
        </w:tc>
      </w:tr>
      <w:tr>
        <w:trPr>
          <w:trHeight w:val="222"/>
        </w:trPr>
        <w:tc>
          <w:tcPr>
            <w:tcW w:w="5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1"/>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-919480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-919480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-353695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-353695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-353695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3613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0" w:type="dxa"/>
            <w:vAlign w:val="bottom"/>
          </w:tcPr>
          <w:p>
            <w:pPr>
              <w:ind w:left="2860"/>
              <w:spacing w:after="0"/>
              <w:rPr>
                <w:sz w:val="20"/>
                <w:szCs w:val="20"/>
                <w:color w:val="auto"/>
              </w:rPr>
            </w:pPr>
            <w:r>
              <w:rPr>
                <w:rFonts w:ascii="Arial" w:cs="Arial" w:eastAsia="Arial" w:hAnsi="Arial"/>
                <w:sz w:val="22"/>
                <w:szCs w:val="22"/>
                <w:b w:val="1"/>
                <w:bCs w:val="1"/>
                <w:color w:val="auto"/>
              </w:rPr>
              <w:t>Exhibit Index</w:t>
            </w:r>
          </w:p>
        </w:tc>
      </w:tr>
      <w:tr>
        <w:trPr>
          <w:trHeight w:val="382"/>
        </w:trPr>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Exhibit No.</w:t>
            </w: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478"/>
        </w:trPr>
        <w:tc>
          <w:tcPr>
            <w:tcW w:w="860" w:type="dxa"/>
            <w:vAlign w:val="bottom"/>
          </w:tcPr>
          <w:p>
            <w:pPr>
              <w:jc w:val="right"/>
              <w:ind w:right="172"/>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w w:val="86"/>
              </w:rPr>
              <w:t>Press Release of PennantPark Investment Corporation dated November 18, 2009</w:t>
            </w:r>
          </w:p>
        </w:tc>
      </w:tr>
    </w:tbl>
    <w:p>
      <w:pPr>
        <w:sectPr>
          <w:pgSz w:w="11900" w:h="16838" w:orient="portrait"/>
          <w:cols w:equalWidth="0" w:num="1">
            <w:col w:w="11240"/>
          </w:cols>
          <w:pgMar w:left="320" w:top="111" w:right="339" w:bottom="1440" w:gutter="0" w:footer="0" w:header="0"/>
        </w:sectPr>
      </w:pPr>
    </w:p>
    <w:bookmarkStart w:id="2" w:name="page3"/>
    <w:bookmarkEnd w:id="2"/>
    <w:p>
      <w:pPr>
        <w:ind w:left="9940"/>
        <w:spacing w:after="0"/>
        <w:rPr>
          <w:sz w:val="20"/>
          <w:szCs w:val="20"/>
          <w:color w:val="auto"/>
        </w:rPr>
      </w:pPr>
      <w:r>
        <w:rPr>
          <w:rFonts w:ascii="Arial" w:cs="Arial" w:eastAsia="Arial" w:hAnsi="Arial"/>
          <w:sz w:val="21"/>
          <w:szCs w:val="21"/>
          <w:color w:val="auto"/>
        </w:rPr>
        <w:t>EXHIBIT 99.1</w:t>
      </w:r>
    </w:p>
    <w:p>
      <w:pPr>
        <w:spacing w:after="0" w:line="256"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PennantPark Investment Corporation Announces an Increase of Its Quarterly Distribution to $0.25 Per Share</w:t>
      </w:r>
    </w:p>
    <w:p>
      <w:pPr>
        <w:spacing w:after="0" w:line="164"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NEW YORK, Nov. 18, 2009 (GLOBE NEWSWIRE) -- PennantPark Investment Corporation (the "Company") (Nasdaq:PNNT) declares an increase of its first fiscal quarter 2010 distribution to $0.25 per share, payable on January 4, 2010 to stockholders of record as of December 24, 2009. Distributions are paid from taxable earnings and may include Return of Capital and/or Capital Gains. The specific tax characteristics of the distribution will be reported to stockholders on Form 1099 after the end of the calendar year. The Company is a business development company that invests primarily in U.S. middle-market companies in the form of mezzanine loans, senior secured loans and equity.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Statements included herein may constitute "forward-looking statements" within the meaning of the Private Securities Litigation Reform Act of 1995. These statements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w:t>
      </w:r>
    </w:p>
    <w:p>
      <w:pPr>
        <w:spacing w:after="0" w:line="19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tab/>
        <w:t>PennantPark Investment Corporation</w:t>
      </w:r>
    </w:p>
    <w:p>
      <w:pPr>
        <w:ind w:left="1060"/>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left="1060" w:right="8180" w:firstLine="1"/>
        <w:spacing w:after="0" w:line="290" w:lineRule="auto"/>
        <w:tabs>
          <w:tab w:leader="none" w:pos="169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2020-05-05T15:07:20Z</dcterms:created>
  <dcterms:modified xsi:type="dcterms:W3CDTF">2020-05-05T15:07:20Z</dcterms:modified>
</cp:coreProperties>
</file>