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169545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February 28, 2017</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158750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20" w:type="dxa"/>
        <w:tblCellMar>
          <w:top w:w="0" w:type="dxa"/>
          <w:left w:w="0" w:type="dxa"/>
          <w:bottom w:w="0" w:type="dxa"/>
          <w:right w:w="0" w:type="dxa"/>
        </w:tblCellMar>
      </w:tblPr>
      <w:tr>
        <w:trPr>
          <w:trHeight w:val="212"/>
        </w:trPr>
        <w:tc>
          <w:tcPr>
            <w:tcW w:w="2360" w:type="dxa"/>
            <w:vAlign w:val="bottom"/>
          </w:tcPr>
          <w:p>
            <w:pPr>
              <w:jc w:val="center"/>
              <w:ind w:right="639"/>
              <w:spacing w:after="0"/>
              <w:rPr>
                <w:sz w:val="20"/>
                <w:szCs w:val="20"/>
                <w:color w:val="auto"/>
              </w:rPr>
            </w:pPr>
            <w:r>
              <w:rPr>
                <w:rFonts w:ascii="Arial" w:cs="Arial" w:eastAsia="Arial" w:hAnsi="Arial"/>
                <w:sz w:val="18"/>
                <w:szCs w:val="18"/>
                <w:b w:val="1"/>
                <w:bCs w:val="1"/>
                <w:color w:val="auto"/>
                <w:w w:val="96"/>
              </w:rPr>
              <w:t>Maryland</w:t>
            </w:r>
          </w:p>
        </w:tc>
        <w:tc>
          <w:tcPr>
            <w:tcW w:w="3420" w:type="dxa"/>
            <w:vAlign w:val="bottom"/>
          </w:tcPr>
          <w:p>
            <w:pPr>
              <w:ind w:left="960"/>
              <w:spacing w:after="0"/>
              <w:rPr>
                <w:sz w:val="20"/>
                <w:szCs w:val="20"/>
                <w:color w:val="auto"/>
              </w:rPr>
            </w:pPr>
            <w:r>
              <w:rPr>
                <w:rFonts w:ascii="Arial" w:cs="Arial" w:eastAsia="Arial" w:hAnsi="Arial"/>
                <w:sz w:val="18"/>
                <w:szCs w:val="18"/>
                <w:b w:val="1"/>
                <w:bCs w:val="1"/>
                <w:color w:val="auto"/>
              </w:rPr>
              <w:t>814-00736</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60" w:type="dxa"/>
            <w:vAlign w:val="bottom"/>
          </w:tcPr>
          <w:p>
            <w:pPr>
              <w:jc w:val="center"/>
              <w:ind w:right="6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20" w:type="dxa"/>
            <w:vAlign w:val="bottom"/>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26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360" w:type="dxa"/>
            <w:vAlign w:val="bottom"/>
          </w:tcPr>
          <w:p>
            <w:pPr>
              <w:jc w:val="center"/>
              <w:ind w:right="639"/>
              <w:spacing w:after="0"/>
              <w:rPr>
                <w:sz w:val="20"/>
                <w:szCs w:val="20"/>
                <w:color w:val="auto"/>
              </w:rPr>
            </w:pPr>
            <w:r>
              <w:rPr>
                <w:rFonts w:ascii="Arial" w:cs="Arial" w:eastAsia="Arial" w:hAnsi="Arial"/>
                <w:sz w:val="14"/>
                <w:szCs w:val="14"/>
                <w:b w:val="1"/>
                <w:bCs w:val="1"/>
                <w:color w:val="auto"/>
                <w:w w:val="92"/>
              </w:rPr>
              <w:t>of incorporation)</w:t>
            </w:r>
          </w:p>
        </w:tc>
        <w:tc>
          <w:tcPr>
            <w:tcW w:w="342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1259"/>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5780" w:type="dxa"/>
            <w:vAlign w:val="bottom"/>
            <w:gridSpan w:val="2"/>
          </w:tcPr>
          <w:p>
            <w:pPr>
              <w:jc w:val="center"/>
              <w:ind w:right="125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2360" w:type="dxa"/>
            <w:vAlign w:val="bottom"/>
          </w:tcPr>
          <w:p>
            <w:pPr>
              <w:spacing w:after="0"/>
              <w:rPr>
                <w:sz w:val="24"/>
                <w:szCs w:val="24"/>
                <w:color w:val="auto"/>
              </w:rPr>
            </w:pPr>
          </w:p>
        </w:tc>
        <w:tc>
          <w:tcPr>
            <w:tcW w:w="3420" w:type="dxa"/>
            <w:vAlign w:val="bottom"/>
          </w:tcPr>
          <w:p>
            <w:pPr>
              <w:jc w:val="right"/>
              <w:ind w:right="1579"/>
              <w:spacing w:after="0"/>
              <w:rPr>
                <w:sz w:val="20"/>
                <w:szCs w:val="20"/>
                <w:color w:val="auto"/>
              </w:rPr>
            </w:pPr>
            <w:r>
              <w:rPr>
                <w:rFonts w:ascii="Arial" w:cs="Arial" w:eastAsia="Arial" w:hAnsi="Arial"/>
                <w:sz w:val="18"/>
                <w:szCs w:val="18"/>
                <w:b w:val="1"/>
                <w:bCs w:val="1"/>
                <w:color w:val="auto"/>
              </w:rPr>
              <w:t>212-905-1000</w:t>
            </w:r>
          </w:p>
        </w:tc>
        <w:tc>
          <w:tcPr>
            <w:tcW w:w="1260" w:type="dxa"/>
            <w:vAlign w:val="bottom"/>
          </w:tcPr>
          <w:p>
            <w:pPr>
              <w:spacing w:after="0"/>
              <w:rPr>
                <w:sz w:val="24"/>
                <w:szCs w:val="24"/>
                <w:color w:val="auto"/>
              </w:rPr>
            </w:pPr>
          </w:p>
        </w:tc>
      </w:tr>
      <w:tr>
        <w:trPr>
          <w:trHeight w:val="234"/>
        </w:trPr>
        <w:tc>
          <w:tcPr>
            <w:tcW w:w="5780" w:type="dxa"/>
            <w:vAlign w:val="bottom"/>
            <w:gridSpan w:val="2"/>
          </w:tcPr>
          <w:p>
            <w:pPr>
              <w:jc w:val="center"/>
              <w:ind w:left="1359"/>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19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28, 2017, PennantPark Investment Corporation (the “Company”) held a reconvened annual meeting of stockholders (the “Annual Meeting”) and submitted one matter to the vote of stockholders. The proposal is described in detail in the Company’s definitive proxy statement filed with the Securities and Exchange Commission on December 8, 2016. As of November 30, 2016, the record date, 71,060,836 shares of common stock were eligible to vote. A summary of the matter voted upon by the stockholders is set forth below.</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two Class I directors of the Company, who will each serve until the 2020 Annual Meeting and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as of February 28, 2017, as certified by the inspector of election, are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060" w:type="dxa"/>
            <w:vAlign w:val="bottom"/>
            <w:vMerge w:val="restart"/>
          </w:tcPr>
          <w:p>
            <w:pPr>
              <w:spacing w:after="0"/>
              <w:rPr>
                <w:sz w:val="14"/>
                <w:szCs w:val="14"/>
                <w:color w:val="auto"/>
              </w:rPr>
            </w:pPr>
          </w:p>
        </w:tc>
        <w:tc>
          <w:tcPr>
            <w:tcW w:w="148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For</w:t>
            </w:r>
          </w:p>
        </w:tc>
        <w:tc>
          <w:tcPr>
            <w:tcW w:w="14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Withheld</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9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Non Vote</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Marshall Brozost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36,055,544</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3,605,359</w:t>
            </w: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31,399,933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90.91%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9.09%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37,775,111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1,885,792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31,399,933</w:t>
            </w: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95.25%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4.75%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Date: March 3, 2017</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2020-05-05T15:08:27Z</dcterms:created>
  <dcterms:modified xsi:type="dcterms:W3CDTF">2020-05-05T15:08:27Z</dcterms:modified>
</cp:coreProperties>
</file>