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6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9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69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6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699"/>
        <w:spacing w:after="0"/>
        <w:rPr>
          <w:sz w:val="20"/>
          <w:szCs w:val="20"/>
          <w:color w:val="auto"/>
        </w:rPr>
      </w:pPr>
      <w:r>
        <w:rPr>
          <w:rFonts w:ascii="Arial" w:cs="Arial" w:eastAsia="Arial" w:hAnsi="Arial"/>
          <w:sz w:val="22"/>
          <w:szCs w:val="22"/>
          <w:b w:val="1"/>
          <w:bCs w:val="1"/>
          <w:color w:val="auto"/>
        </w:rPr>
        <w:t>Pursuant to Section 13 or 15(d)</w:t>
      </w:r>
    </w:p>
    <w:p>
      <w:pPr>
        <w:jc w:val="center"/>
        <w:ind w:right="-6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699"/>
        <w:spacing w:after="0"/>
        <w:rPr>
          <w:sz w:val="20"/>
          <w:szCs w:val="20"/>
          <w:color w:val="auto"/>
        </w:rPr>
      </w:pPr>
      <w:r>
        <w:rPr>
          <w:rFonts w:ascii="Arial" w:cs="Arial" w:eastAsia="Arial" w:hAnsi="Arial"/>
          <w:sz w:val="22"/>
          <w:szCs w:val="22"/>
          <w:b w:val="1"/>
          <w:bCs w:val="1"/>
          <w:color w:val="auto"/>
        </w:rPr>
        <w:t>June 25, 2014</w:t>
      </w:r>
    </w:p>
    <w:p>
      <w:pPr>
        <w:spacing w:after="0" w:line="206" w:lineRule="exact"/>
        <w:rPr>
          <w:sz w:val="24"/>
          <w:szCs w:val="24"/>
          <w:color w:val="auto"/>
        </w:rPr>
      </w:pPr>
    </w:p>
    <w:p>
      <w:pPr>
        <w:jc w:val="center"/>
        <w:ind w:right="-69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90" w:lineRule="exact"/>
        <w:rPr>
          <w:sz w:val="24"/>
          <w:szCs w:val="24"/>
          <w:color w:val="auto"/>
        </w:rPr>
      </w:pPr>
    </w:p>
    <w:p>
      <w:pPr>
        <w:jc w:val="center"/>
        <w:ind w:right="-699"/>
        <w:spacing w:after="0"/>
        <w:rPr>
          <w:sz w:val="20"/>
          <w:szCs w:val="20"/>
          <w:color w:val="auto"/>
        </w:rPr>
      </w:pPr>
      <w:r>
        <w:rPr>
          <w:rFonts w:ascii="Arial" w:cs="Arial" w:eastAsia="Arial" w:hAnsi="Arial"/>
          <w:sz w:val="43"/>
          <w:szCs w:val="43"/>
          <w:b w:val="1"/>
          <w:bCs w:val="1"/>
          <w:color w:val="auto"/>
        </w:rPr>
        <w:t>PennantPark Investment Corporation</w:t>
      </w:r>
    </w:p>
    <w:p>
      <w:pPr>
        <w:spacing w:after="0" w:line="50"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32" w:lineRule="exact"/>
        <w:rPr>
          <w:sz w:val="24"/>
          <w:szCs w:val="24"/>
          <w:color w:val="auto"/>
        </w:rPr>
      </w:pPr>
    </w:p>
    <w:tbl>
      <w:tblPr>
        <w:tblLayout w:type="fixed"/>
        <w:tblInd w:w="1100" w:type="dxa"/>
        <w:tblCellMar>
          <w:top w:w="0" w:type="dxa"/>
          <w:left w:w="0" w:type="dxa"/>
          <w:bottom w:w="0" w:type="dxa"/>
          <w:right w:w="0" w:type="dxa"/>
        </w:tblCellMar>
      </w:tblPr>
      <w:tr>
        <w:trPr>
          <w:trHeight w:val="212"/>
        </w:trPr>
        <w:tc>
          <w:tcPr>
            <w:tcW w:w="4080" w:type="dxa"/>
            <w:vAlign w:val="bottom"/>
          </w:tcPr>
          <w:p>
            <w:pPr>
              <w:jc w:val="center"/>
              <w:ind w:right="2379"/>
              <w:spacing w:after="0"/>
              <w:rPr>
                <w:sz w:val="20"/>
                <w:szCs w:val="20"/>
                <w:color w:val="auto"/>
              </w:rPr>
            </w:pPr>
            <w:r>
              <w:rPr>
                <w:rFonts w:ascii="Arial" w:cs="Arial" w:eastAsia="Arial" w:hAnsi="Arial"/>
                <w:sz w:val="18"/>
                <w:szCs w:val="18"/>
                <w:b w:val="1"/>
                <w:bCs w:val="1"/>
                <w:color w:val="auto"/>
                <w:w w:val="98"/>
              </w:rPr>
              <w:t>Maryland</w:t>
            </w:r>
          </w:p>
        </w:tc>
        <w:tc>
          <w:tcPr>
            <w:tcW w:w="2340" w:type="dxa"/>
            <w:vAlign w:val="bottom"/>
          </w:tcPr>
          <w:p>
            <w:pPr>
              <w:ind w:left="180"/>
              <w:spacing w:after="0"/>
              <w:rPr>
                <w:sz w:val="20"/>
                <w:szCs w:val="20"/>
                <w:color w:val="auto"/>
              </w:rPr>
            </w:pPr>
            <w:r>
              <w:rPr>
                <w:rFonts w:ascii="Arial" w:cs="Arial" w:eastAsia="Arial" w:hAnsi="Arial"/>
                <w:sz w:val="18"/>
                <w:szCs w:val="18"/>
                <w:b w:val="1"/>
                <w:bCs w:val="1"/>
                <w:color w:val="auto"/>
              </w:rPr>
              <w:t>814-00736</w:t>
            </w:r>
          </w:p>
        </w:tc>
        <w:tc>
          <w:tcPr>
            <w:tcW w:w="2480" w:type="dxa"/>
            <w:vAlign w:val="bottom"/>
          </w:tcPr>
          <w:p>
            <w:pPr>
              <w:jc w:val="right"/>
              <w:ind w:right="41"/>
              <w:spacing w:after="0"/>
              <w:rPr>
                <w:sz w:val="20"/>
                <w:szCs w:val="20"/>
                <w:color w:val="auto"/>
              </w:rPr>
            </w:pPr>
            <w:r>
              <w:rPr>
                <w:rFonts w:ascii="Arial" w:cs="Arial" w:eastAsia="Arial" w:hAnsi="Arial"/>
                <w:sz w:val="18"/>
                <w:szCs w:val="18"/>
                <w:b w:val="1"/>
                <w:bCs w:val="1"/>
                <w:color w:val="auto"/>
              </w:rPr>
              <w:t>20-8250744</w:t>
            </w:r>
          </w:p>
        </w:tc>
      </w:tr>
      <w:tr>
        <w:trPr>
          <w:trHeight w:val="148"/>
        </w:trPr>
        <w:tc>
          <w:tcPr>
            <w:tcW w:w="4080" w:type="dxa"/>
            <w:vAlign w:val="bottom"/>
          </w:tcPr>
          <w:p>
            <w:pPr>
              <w:jc w:val="center"/>
              <w:ind w:right="235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4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30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4080" w:type="dxa"/>
            <w:vAlign w:val="bottom"/>
          </w:tcPr>
          <w:p>
            <w:pPr>
              <w:jc w:val="center"/>
              <w:ind w:right="2379"/>
              <w:spacing w:after="0"/>
              <w:rPr>
                <w:sz w:val="20"/>
                <w:szCs w:val="20"/>
                <w:color w:val="auto"/>
              </w:rPr>
            </w:pPr>
            <w:r>
              <w:rPr>
                <w:rFonts w:ascii="Arial" w:cs="Arial" w:eastAsia="Arial" w:hAnsi="Arial"/>
                <w:sz w:val="14"/>
                <w:szCs w:val="14"/>
                <w:b w:val="1"/>
                <w:bCs w:val="1"/>
                <w:color w:val="auto"/>
                <w:w w:val="94"/>
              </w:rPr>
              <w:t>of incorporation)</w:t>
            </w:r>
          </w:p>
        </w:tc>
        <w:tc>
          <w:tcPr>
            <w:tcW w:w="2340" w:type="dxa"/>
            <w:vAlign w:val="bottom"/>
          </w:tcPr>
          <w:p>
            <w:pPr>
              <w:ind w:left="16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28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080" w:type="dxa"/>
            <w:vAlign w:val="bottom"/>
          </w:tcPr>
          <w:p>
            <w:pPr>
              <w:jc w:val="center"/>
              <w:ind w:left="1199"/>
              <w:spacing w:after="0"/>
              <w:rPr>
                <w:sz w:val="20"/>
                <w:szCs w:val="20"/>
                <w:color w:val="auto"/>
              </w:rPr>
            </w:pPr>
            <w:r>
              <w:rPr>
                <w:rFonts w:ascii="Arial" w:cs="Arial" w:eastAsia="Arial" w:hAnsi="Arial"/>
                <w:sz w:val="18"/>
                <w:szCs w:val="18"/>
                <w:b w:val="1"/>
                <w:bCs w:val="1"/>
                <w:color w:val="auto"/>
                <w:w w:val="89"/>
              </w:rPr>
              <w:t>590 Madison Avenue, 15th Floor,</w:t>
            </w:r>
          </w:p>
        </w:tc>
        <w:tc>
          <w:tcPr>
            <w:tcW w:w="234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25"/>
        </w:trPr>
        <w:tc>
          <w:tcPr>
            <w:tcW w:w="4080" w:type="dxa"/>
            <w:vAlign w:val="bottom"/>
          </w:tcPr>
          <w:p>
            <w:pPr>
              <w:jc w:val="center"/>
              <w:ind w:left="1199"/>
              <w:spacing w:after="0"/>
              <w:rPr>
                <w:sz w:val="20"/>
                <w:szCs w:val="20"/>
                <w:color w:val="auto"/>
              </w:rPr>
            </w:pPr>
            <w:r>
              <w:rPr>
                <w:rFonts w:ascii="Arial" w:cs="Arial" w:eastAsia="Arial" w:hAnsi="Arial"/>
                <w:sz w:val="18"/>
                <w:szCs w:val="18"/>
                <w:b w:val="1"/>
                <w:bCs w:val="1"/>
                <w:color w:val="auto"/>
                <w:w w:val="95"/>
              </w:rPr>
              <w:t>New York, NY</w:t>
            </w:r>
          </w:p>
        </w:tc>
        <w:tc>
          <w:tcPr>
            <w:tcW w:w="2340" w:type="dxa"/>
            <w:vAlign w:val="bottom"/>
          </w:tcPr>
          <w:p>
            <w:pPr>
              <w:spacing w:after="0"/>
              <w:rPr>
                <w:sz w:val="19"/>
                <w:szCs w:val="19"/>
                <w:color w:val="auto"/>
              </w:rPr>
            </w:pPr>
          </w:p>
        </w:tc>
        <w:tc>
          <w:tcPr>
            <w:tcW w:w="2480" w:type="dxa"/>
            <w:vAlign w:val="bottom"/>
          </w:tcPr>
          <w:p>
            <w:pPr>
              <w:jc w:val="right"/>
              <w:ind w:right="261"/>
              <w:spacing w:after="0"/>
              <w:rPr>
                <w:sz w:val="20"/>
                <w:szCs w:val="20"/>
                <w:color w:val="auto"/>
              </w:rPr>
            </w:pPr>
            <w:r>
              <w:rPr>
                <w:rFonts w:ascii="Arial" w:cs="Arial" w:eastAsia="Arial" w:hAnsi="Arial"/>
                <w:sz w:val="18"/>
                <w:szCs w:val="18"/>
                <w:b w:val="1"/>
                <w:bCs w:val="1"/>
                <w:color w:val="auto"/>
              </w:rPr>
              <w:t>10022</w:t>
            </w:r>
          </w:p>
        </w:tc>
      </w:tr>
      <w:tr>
        <w:trPr>
          <w:trHeight w:val="186"/>
        </w:trPr>
        <w:tc>
          <w:tcPr>
            <w:tcW w:w="4080" w:type="dxa"/>
            <w:vAlign w:val="bottom"/>
          </w:tcPr>
          <w:p>
            <w:pPr>
              <w:jc w:val="center"/>
              <w:ind w:left="11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40" w:type="dxa"/>
            <w:vAlign w:val="bottom"/>
          </w:tcPr>
          <w:p>
            <w:pPr>
              <w:spacing w:after="0"/>
              <w:rPr>
                <w:sz w:val="16"/>
                <w:szCs w:val="16"/>
                <w:color w:val="auto"/>
              </w:rPr>
            </w:pPr>
          </w:p>
        </w:tc>
        <w:tc>
          <w:tcPr>
            <w:tcW w:w="2480" w:type="dxa"/>
            <w:vAlign w:val="bottom"/>
          </w:tcPr>
          <w:p>
            <w:pPr>
              <w:jc w:val="center"/>
              <w:ind w:left="130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699"/>
        <w:spacing w:after="0"/>
        <w:rPr>
          <w:sz w:val="20"/>
          <w:szCs w:val="20"/>
          <w:color w:val="auto"/>
        </w:rPr>
      </w:pPr>
      <w:r>
        <w:rPr>
          <w:rFonts w:ascii="Arial" w:cs="Arial" w:eastAsia="Arial" w:hAnsi="Arial"/>
          <w:sz w:val="18"/>
          <w:szCs w:val="18"/>
          <w:b w:val="1"/>
          <w:bCs w:val="1"/>
          <w:color w:val="auto"/>
        </w:rPr>
        <w:t>212-905-1000</w:t>
      </w:r>
    </w:p>
    <w:p>
      <w:pPr>
        <w:spacing w:after="0" w:line="21" w:lineRule="exact"/>
        <w:rPr>
          <w:sz w:val="24"/>
          <w:szCs w:val="24"/>
          <w:color w:val="auto"/>
        </w:rPr>
      </w:pPr>
    </w:p>
    <w:p>
      <w:pPr>
        <w:jc w:val="center"/>
        <w:ind w:right="-6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6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7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19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0560"/>
          </w:cols>
          <w:pgMar w:left="320" w:top="206" w:right="10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On June 25, 2014, PennantPark Investment Corporation (the “Company”) entered into an amended and restated, multi-currency, senior secured revolving credit facility (the “Credit Facility”) with certain lenders, which increased the size of the Credit Facility from $445 million to $545 million and reduced the cost to LIBOR plus 225, from LIBOR plus 275. SunTrust Robinson Humphrey, Inc. and J.P. Morgan Securities LLC acted as joint lead arrangers and joint book runners, SunTrust Bank will serve as administrative agent for each of the lenders and JPMorgan Chase Bank, N.A. acted as syndication agent of the Credit Facility. The Credit Facility contains an accordion feature whereby it can be expanded to $700 million if certain conditions are satisfied.</w:t>
      </w:r>
    </w:p>
    <w:p>
      <w:pPr>
        <w:spacing w:after="0" w:line="16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Pricing is set at LIBOR, plus 225 basis points with a 37.5 basis point unused commitment fee. The Credit Facility has a five-year maturity, with a one-year term out period following its fourth year. The Credit Facility is secured by substantially all of the assets of the Company excluding assets held by either PennantPark SBIC LP or PennantPark SBIC II LP, which are our small business investment company subsidiaries. Consistent with our prior credit facility, the Credit Facility includes customary covenants, including minimum asset coverage and minimum equity.</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documents governing the Credit Facility contain affirmative and restrictive covenants, including: (a) periodic financial reporting requirements,</w:t>
      </w:r>
    </w:p>
    <w:p>
      <w:pPr>
        <w:spacing w:after="0" w:line="35" w:lineRule="exact"/>
        <w:rPr>
          <w:sz w:val="20"/>
          <w:szCs w:val="20"/>
          <w:color w:val="auto"/>
        </w:rPr>
      </w:pPr>
    </w:p>
    <w:p>
      <w:pPr>
        <w:ind w:right="240" w:firstLine="8"/>
        <w:spacing w:after="0" w:line="281" w:lineRule="auto"/>
        <w:tabs>
          <w:tab w:leader="none" w:pos="255" w:val="left"/>
        </w:tabs>
        <w:numPr>
          <w:ilvl w:val="0"/>
          <w:numId w:val="2"/>
        </w:numPr>
        <w:rPr>
          <w:rFonts w:ascii="Arial" w:cs="Arial" w:eastAsia="Arial" w:hAnsi="Arial"/>
          <w:sz w:val="16"/>
          <w:szCs w:val="16"/>
          <w:color w:val="auto"/>
        </w:rPr>
      </w:pPr>
      <w:r>
        <w:rPr>
          <w:rFonts w:ascii="Arial" w:cs="Arial" w:eastAsia="Arial" w:hAnsi="Arial"/>
          <w:sz w:val="16"/>
          <w:szCs w:val="16"/>
          <w:color w:val="auto"/>
        </w:rPr>
        <w:t>maintenance of a minimum shareholders’ equity of the sum of (1) $245.2 million plus (2) 25% of the net proceeds from the sale of equity interests in the Company and its subsidiaries after the effective date (other than proceeds from the sale of equity interests by and among the Company and its subsidiaries), (c) maintenance of an asset coverage ratio of not less than 2.0:1.0, (d) maintenance of minimum liquidity standards, (e) limitations on the incurrence of additional indebtedness, (f) limitations on liens, (g) limitations on fundamental corporate changes, (h) limitations on investments,</w:t>
      </w:r>
    </w:p>
    <w:p>
      <w:pPr>
        <w:spacing w:after="0" w:line="2" w:lineRule="exact"/>
        <w:rPr>
          <w:rFonts w:ascii="Arial" w:cs="Arial" w:eastAsia="Arial" w:hAnsi="Arial"/>
          <w:sz w:val="16"/>
          <w:szCs w:val="16"/>
          <w:color w:val="auto"/>
        </w:rPr>
      </w:pPr>
    </w:p>
    <w:p>
      <w:pPr>
        <w:ind w:firstLine="8"/>
        <w:spacing w:after="0" w:line="251" w:lineRule="auto"/>
        <w:tabs>
          <w:tab w:leader="none" w:pos="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limitations on payments and distributions, (j) limitations on transactions with affiliates, (k) limitations on engaging in business not contemplated by the Company’s investment objectives, (l) limitations on the creation or existence of agreements that prohibit liens on properties of the Company and its subsidiaries and (m) limitations on the ability to modify long-term indebtedness. In addition to the asset coverage ratio described in clause (c) of the preceding sentence, borrowings under the Credit Facility (and the incurrence of certain other permitted debt) will be subject to compliance with a borrowing base that will apply different advance rates to different types of assets in the Company’s portfolio. The Credit Facility also includes certain customary events of default, including the failure to make timely payments of principal and interest, the occurrence of a change in control and the failure by the Company to materially perform under the operative agreements governing the Credit Facility, which would permit the lenders to accelerate repayment under the Credit Facility.</w:t>
      </w:r>
    </w:p>
    <w:p>
      <w:pPr>
        <w:spacing w:after="0" w:line="19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description above is only a summary of the material provisions of the Credit Facility and is qualified in its entirety by reference to the Credit Facility agreement which is filed as Exhibit 99.2.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press release announcing the entry into the Credit Facility is furnished as Exhibit 99.1 to this Form 8-K.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Item 1.01 is incorporated by reference into this Item 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17" w:lineRule="exact"/>
        <w:rPr>
          <w:sz w:val="20"/>
          <w:szCs w:val="20"/>
          <w:color w:val="auto"/>
        </w:rPr>
      </w:pPr>
    </w:p>
    <w:p>
      <w:pPr>
        <w:ind w:left="460" w:right="9340" w:hanging="452"/>
        <w:spacing w:after="0" w:line="445" w:lineRule="auto"/>
        <w:tabs>
          <w:tab w:leader="none" w:pos="266"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Financial statements: </w:t>
      </w:r>
      <w:r>
        <w:rPr>
          <w:rFonts w:ascii="Arial" w:cs="Arial" w:eastAsia="Arial" w:hAnsi="Arial"/>
          <w:sz w:val="17"/>
          <w:szCs w:val="17"/>
          <w:color w:val="auto"/>
        </w:rPr>
        <w:t>None</w:t>
      </w:r>
    </w:p>
    <w:p>
      <w:pPr>
        <w:spacing w:after="0" w:line="139" w:lineRule="exact"/>
        <w:rPr>
          <w:rFonts w:ascii="Arial" w:cs="Arial" w:eastAsia="Arial" w:hAnsi="Arial"/>
          <w:sz w:val="17"/>
          <w:szCs w:val="17"/>
          <w:b w:val="1"/>
          <w:bCs w:val="1"/>
          <w:color w:val="auto"/>
        </w:rPr>
      </w:pPr>
    </w:p>
    <w:p>
      <w:pPr>
        <w:ind w:left="460" w:right="8440" w:hanging="452"/>
        <w:spacing w:after="0" w:line="407" w:lineRule="auto"/>
        <w:tabs>
          <w:tab w:leader="none" w:pos="276"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spacing w:after="0" w:line="161" w:lineRule="exact"/>
        <w:rPr>
          <w:rFonts w:ascii="Arial" w:cs="Arial" w:eastAsia="Arial" w:hAnsi="Arial"/>
          <w:sz w:val="18"/>
          <w:szCs w:val="18"/>
          <w:b w:val="1"/>
          <w:bCs w:val="1"/>
          <w:color w:val="auto"/>
        </w:rPr>
      </w:pPr>
    </w:p>
    <w:p>
      <w:pPr>
        <w:ind w:left="460" w:right="8820" w:hanging="452"/>
        <w:spacing w:after="0" w:line="407" w:lineRule="auto"/>
        <w:tabs>
          <w:tab w:leader="none" w:pos="256"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spacing w:after="0" w:line="161" w:lineRule="exact"/>
        <w:rPr>
          <w:rFonts w:ascii="Arial" w:cs="Arial" w:eastAsia="Arial" w:hAnsi="Arial"/>
          <w:sz w:val="18"/>
          <w:szCs w:val="18"/>
          <w:b w:val="1"/>
          <w:bCs w:val="1"/>
          <w:color w:val="auto"/>
        </w:rPr>
      </w:pPr>
    </w:p>
    <w:p>
      <w:pPr>
        <w:ind w:left="280" w:hanging="272"/>
        <w:spacing w:after="0"/>
        <w:tabs>
          <w:tab w:leader="none" w:pos="2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35"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PennantPark Investment Corporation dated June 30, 2014.</w:t>
      </w:r>
    </w:p>
    <w:p>
      <w:pPr>
        <w:spacing w:after="0" w:line="117" w:lineRule="exact"/>
        <w:rPr>
          <w:sz w:val="20"/>
          <w:szCs w:val="20"/>
          <w:color w:val="auto"/>
        </w:rPr>
      </w:pPr>
    </w:p>
    <w:p>
      <w:pPr>
        <w:ind w:left="1500" w:right="980" w:hanging="580"/>
        <w:spacing w:after="0" w:line="342" w:lineRule="auto"/>
        <w:tabs>
          <w:tab w:leader="none" w:pos="148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Second Amended and Restated Senior Secured Revolving Credit Agreement, dated as of June 25, 2014, among PennantPark Investment Corporation, the lenders party thereto and SunTrust Bank, as administrative agent for the lenders</w:t>
      </w:r>
    </w:p>
    <w:p>
      <w:pPr>
        <w:sectPr>
          <w:pgSz w:w="11900" w:h="16838" w:orient="portrait"/>
          <w:cols w:equalWidth="0" w:num="1">
            <w:col w:w="11240"/>
          </w:cols>
          <w:pgMar w:left="320" w:top="270" w:right="33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9"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p>
      <w:pPr>
        <w:jc w:val="center"/>
        <w:ind w:left="5800"/>
        <w:spacing w:after="0"/>
        <w:rPr>
          <w:sz w:val="20"/>
          <w:szCs w:val="20"/>
          <w:color w:val="auto"/>
        </w:rPr>
      </w:pPr>
      <w:r>
        <w:rPr>
          <w:rFonts w:ascii="Arial" w:cs="Arial" w:eastAsia="Arial" w:hAnsi="Arial"/>
          <w:sz w:val="18"/>
          <w:szCs w:val="18"/>
          <w:b w:val="1"/>
          <w:bCs w:val="1"/>
          <w:color w:val="auto"/>
        </w:rPr>
        <w:t>PennantPark Investment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17145</wp:posOffset>
            </wp:positionV>
            <wp:extent cx="34461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20" w:lineRule="exact"/>
        <w:rPr>
          <w:sz w:val="20"/>
          <w:szCs w:val="20"/>
          <w:color w:val="auto"/>
        </w:rPr>
      </w:pPr>
    </w:p>
    <w:p>
      <w:pPr>
        <w:jc w:val="center"/>
        <w:ind w:left="580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spacing w:after="0"/>
        <w:tabs>
          <w:tab w:leader="none" w:pos="5800" w:val="left"/>
          <w:tab w:leader="none" w:pos="8220" w:val="left"/>
        </w:tabs>
        <w:rPr>
          <w:sz w:val="20"/>
          <w:szCs w:val="20"/>
          <w:color w:val="auto"/>
        </w:rPr>
      </w:pPr>
      <w:r>
        <w:rPr>
          <w:rFonts w:ascii="Arial" w:cs="Arial" w:eastAsia="Arial" w:hAnsi="Arial"/>
          <w:sz w:val="18"/>
          <w:szCs w:val="18"/>
          <w:color w:val="auto"/>
        </w:rPr>
        <w:t>Dated: June 30,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6"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Aviv Efrat</w:t>
      </w:r>
    </w:p>
    <w:p>
      <w:pPr>
        <w:spacing w:after="0" w:line="23"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Chief Financial Officer &amp; Treasurer</w:t>
      </w:r>
    </w:p>
    <w:p>
      <w:pPr>
        <w:sectPr>
          <w:pgSz w:w="11900" w:h="16838" w:orient="portrait"/>
          <w:cols w:equalWidth="0" w:num="1">
            <w:col w:w="11180"/>
          </w:cols>
          <w:pgMar w:left="320" w:top="270" w:right="3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100" w:type="dxa"/>
            <w:vAlign w:val="bottom"/>
          </w:tcPr>
          <w:p>
            <w:pPr>
              <w:ind w:left="32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540" w:type="dxa"/>
            <w:vAlign w:val="bottom"/>
          </w:tcPr>
          <w:p>
            <w:pPr>
              <w:spacing w:after="0"/>
              <w:rPr>
                <w:sz w:val="24"/>
                <w:szCs w:val="2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91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No.</w:t>
            </w:r>
          </w:p>
        </w:tc>
        <w:tc>
          <w:tcPr>
            <w:tcW w:w="54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9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4"/>
                <w:szCs w:val="24"/>
                <w:color w:val="auto"/>
              </w:rPr>
            </w:pPr>
          </w:p>
        </w:tc>
        <w:tc>
          <w:tcPr>
            <w:tcW w:w="9820" w:type="dxa"/>
            <w:vAlign w:val="bottom"/>
            <w:gridSpan w:val="2"/>
          </w:tcPr>
          <w:p>
            <w:pPr>
              <w:spacing w:after="0"/>
              <w:rPr>
                <w:sz w:val="20"/>
                <w:szCs w:val="20"/>
                <w:color w:val="auto"/>
              </w:rPr>
            </w:pPr>
            <w:r>
              <w:rPr>
                <w:rFonts w:ascii="Arial" w:cs="Arial" w:eastAsia="Arial" w:hAnsi="Arial"/>
                <w:sz w:val="18"/>
                <w:szCs w:val="18"/>
                <w:color w:val="auto"/>
              </w:rPr>
              <w:t>Press Release of PennantPark Investment Corporation dated June 30, 2014</w:t>
            </w:r>
          </w:p>
        </w:tc>
        <w:tc>
          <w:tcPr>
            <w:tcW w:w="0" w:type="dxa"/>
            <w:vAlign w:val="bottom"/>
          </w:tcPr>
          <w:p>
            <w:pPr>
              <w:spacing w:after="0"/>
              <w:rPr>
                <w:sz w:val="1"/>
                <w:szCs w:val="1"/>
                <w:color w:val="auto"/>
              </w:rPr>
            </w:pPr>
          </w:p>
        </w:tc>
      </w:tr>
      <w:tr>
        <w:trPr>
          <w:trHeight w:val="310"/>
        </w:trPr>
        <w:tc>
          <w:tcPr>
            <w:tcW w:w="460" w:type="dxa"/>
            <w:vAlign w:val="bottom"/>
          </w:tcPr>
          <w:p>
            <w:pPr>
              <w:spacing w:after="0"/>
              <w:rPr>
                <w:sz w:val="20"/>
                <w:szCs w:val="20"/>
                <w:color w:val="auto"/>
              </w:rPr>
            </w:pPr>
            <w:r>
              <w:rPr>
                <w:rFonts w:ascii="Arial" w:cs="Arial" w:eastAsia="Arial" w:hAnsi="Arial"/>
                <w:sz w:val="18"/>
                <w:szCs w:val="18"/>
                <w:color w:val="auto"/>
              </w:rPr>
              <w:t>99.2</w:t>
            </w:r>
          </w:p>
        </w:tc>
        <w:tc>
          <w:tcPr>
            <w:tcW w:w="540" w:type="dxa"/>
            <w:vAlign w:val="bottom"/>
          </w:tcPr>
          <w:p>
            <w:pPr>
              <w:spacing w:after="0"/>
              <w:rPr>
                <w:sz w:val="24"/>
                <w:szCs w:val="24"/>
                <w:color w:val="auto"/>
              </w:rPr>
            </w:pPr>
          </w:p>
        </w:tc>
        <w:tc>
          <w:tcPr>
            <w:tcW w:w="9820" w:type="dxa"/>
            <w:vAlign w:val="bottom"/>
            <w:gridSpan w:val="2"/>
          </w:tcPr>
          <w:p>
            <w:pPr>
              <w:spacing w:after="0"/>
              <w:rPr>
                <w:sz w:val="20"/>
                <w:szCs w:val="20"/>
                <w:color w:val="auto"/>
              </w:rPr>
            </w:pPr>
            <w:r>
              <w:rPr>
                <w:rFonts w:ascii="Arial" w:cs="Arial" w:eastAsia="Arial" w:hAnsi="Arial"/>
                <w:sz w:val="18"/>
                <w:szCs w:val="18"/>
                <w:color w:val="auto"/>
                <w:w w:val="89"/>
              </w:rPr>
              <w:t>Second Amended and Restated Senior Secured Revolving Credit Agreement, dated as of June 25, 2014, among PennantPark Investment</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20" w:type="dxa"/>
            <w:vAlign w:val="bottom"/>
            <w:gridSpan w:val="2"/>
          </w:tcPr>
          <w:p>
            <w:pPr>
              <w:spacing w:after="0"/>
              <w:rPr>
                <w:sz w:val="20"/>
                <w:szCs w:val="20"/>
                <w:color w:val="auto"/>
              </w:rPr>
            </w:pPr>
            <w:r>
              <w:rPr>
                <w:rFonts w:ascii="Arial" w:cs="Arial" w:eastAsia="Arial" w:hAnsi="Arial"/>
                <w:sz w:val="18"/>
                <w:szCs w:val="18"/>
                <w:color w:val="auto"/>
              </w:rPr>
              <w:t>Corporation, the lenders party thereto and SunTrust Bank, as administrative agent for the lenders</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820"/>
          </w:cols>
          <w:pgMar w:left="320" w:top="270" w:right="75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285875" cy="308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Increases Size and Reduces Cost of Credit Facility</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NEW YORK, NY — (June 30, 2014) - PennantPark Investment Corporation (the “Company”) (NASDAQ:PNNT) announced today that it has entered into an amended and restated, multi-currency, senior secured revolving credit facility (the “Credit Facility”) with certain lenders, which increased the size of the Credit Facility from $445 million to $545 million and reduced the cost to LIBOR plus 225, from LIBOR plus 275. SunTrust Robinson Humphrey, Inc. and J.P. Morgan Securities LLC acted as joint lead arrangers and joint book runners and JPMorgan Chase Bank, N.A. acted as syndication agent of the Credit Facility. SunTrust Bank acted as administrative agent for each of the lenders. The Credit Facility contains an accordion feature whereby it can be expanded to $700 million if certain conditions are satisfied.</w:t>
      </w:r>
    </w:p>
    <w:p>
      <w:pPr>
        <w:spacing w:after="0" w:line="19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Pricing is set at LIBOR plus 225 basis points with a 37.5 basis point unused commitment fee. The Credit Facility has a five-year maturity, with a one-year term out period following its fourth year. The Credit Facility has the same security as our previous credit facility and includes customary covenants, including minimum asset coverage and minimum equity.</w:t>
      </w:r>
    </w:p>
    <w:p>
      <w:pPr>
        <w:spacing w:after="0" w:line="184"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“We are pleased to have amended and restated our Credit Facility to this new size, duration and pricing. This long-term Credit Facility continues to nicely complement our permanent equity base and our long-term SBA and Notes financings. We are delighted to have received strong support from existing lenders and welcome new relationships who have joined our growing list of lending partners,” said Chairman and Chief Executive Officer, Arthur H. Penn.</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ABOUT PENNANTPARK INVESTMENT CORPORATION</w:t>
      </w:r>
    </w:p>
    <w:p>
      <w:pPr>
        <w:spacing w:after="0" w:line="117" w:lineRule="exact"/>
        <w:rPr>
          <w:sz w:val="20"/>
          <w:szCs w:val="20"/>
          <w:color w:val="auto"/>
        </w:rPr>
      </w:pPr>
    </w:p>
    <w:p>
      <w:pPr>
        <w:jc w:val="both"/>
        <w:ind w:right="40"/>
        <w:spacing w:after="0" w:line="342" w:lineRule="auto"/>
        <w:rPr>
          <w:sz w:val="20"/>
          <w:szCs w:val="20"/>
          <w:color w:val="auto"/>
        </w:rPr>
      </w:pPr>
      <w:r>
        <w:rPr>
          <w:rFonts w:ascii="Arial" w:cs="Arial" w:eastAsia="Arial" w:hAnsi="Arial"/>
          <w:sz w:val="16"/>
          <w:szCs w:val="16"/>
          <w:color w:val="auto"/>
        </w:rPr>
        <w:t>PennantPark Investment Corporation is a business development company which principally invests in U.S. middle-market private companies in the form of senior secured loans, mezzanine debt and equity investments. PennantPark Investment Corporation is managed by PennantPark Investment Advisers, LLC.</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11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88"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CONTACT:</w:t>
      </w:r>
      <w:r>
        <w:rPr>
          <w:sz w:val="20"/>
          <w:szCs w:val="20"/>
          <w:color w:val="auto"/>
        </w:rPr>
        <w:tab/>
      </w:r>
      <w:r>
        <w:rPr>
          <w:rFonts w:ascii="Arial" w:cs="Arial" w:eastAsia="Arial" w:hAnsi="Arial"/>
          <w:sz w:val="18"/>
          <w:szCs w:val="18"/>
          <w:color w:val="auto"/>
        </w:rPr>
        <w:t>Aviv Efrat</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PennantPark Investment Corporation</w:t>
      </w:r>
    </w:p>
    <w:p>
      <w:pPr>
        <w:spacing w:after="0" w:line="9" w:lineRule="exact"/>
        <w:rPr>
          <w:sz w:val="20"/>
          <w:szCs w:val="20"/>
          <w:color w:val="auto"/>
        </w:rPr>
      </w:pPr>
    </w:p>
    <w:p>
      <w:pPr>
        <w:ind w:left="1260" w:right="8320" w:hanging="10"/>
        <w:spacing w:after="0" w:line="323" w:lineRule="auto"/>
        <w:tabs>
          <w:tab w:leader="none" w:pos="1695" w:val="left"/>
        </w:tabs>
        <w:numPr>
          <w:ilvl w:val="0"/>
          <w:numId w:val="5"/>
        </w:numPr>
        <w:rPr>
          <w:rFonts w:ascii="Arial" w:cs="Arial" w:eastAsia="Arial" w:hAnsi="Arial"/>
          <w:sz w:val="16"/>
          <w:szCs w:val="16"/>
          <w:color w:val="auto"/>
        </w:rPr>
      </w:pPr>
      <w:r>
        <w:rPr>
          <w:rFonts w:ascii="Arial" w:cs="Arial" w:eastAsia="Arial" w:hAnsi="Arial"/>
          <w:sz w:val="16"/>
          <w:szCs w:val="16"/>
          <w:color w:val="auto"/>
        </w:rPr>
        <w:t>905-1000 www.pennantpark.com</w:t>
      </w:r>
    </w:p>
    <w:p>
      <w:pPr>
        <w:sectPr>
          <w:pgSz w:w="11900" w:h="16838" w:orient="portrait"/>
          <w:cols w:equalWidth="0" w:num="1">
            <w:col w:w="11240"/>
          </w:cols>
          <w:pgMar w:left="320" w:top="125"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99.2</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222885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SECOND AMENDED AND RESTATED</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SENIOR SECURED</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REVOLVING CREDIT AGREEMENT</w:t>
      </w:r>
    </w:p>
    <w:p>
      <w:pPr>
        <w:spacing w:after="0" w:line="21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dated as of</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June 25, 2014</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PENNANTPARK INVESTMENT CORPORATION</w:t>
      </w:r>
    </w:p>
    <w:p>
      <w:pPr>
        <w:spacing w:after="0" w:line="3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Borrower</w:t>
      </w:r>
    </w:p>
    <w:p>
      <w:pPr>
        <w:spacing w:after="0" w:line="21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The LENDERS Party Hereto</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SUNTRUST BANK</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Syndication Agent</w:t>
      </w:r>
    </w:p>
    <w:p>
      <w:pPr>
        <w:spacing w:after="0" w:line="211"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$545,000,000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2113915</wp:posOffset>
            </wp:positionH>
            <wp:positionV relativeFrom="paragraph">
              <wp:posOffset>237490</wp:posOffset>
            </wp:positionV>
            <wp:extent cx="14916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SUNTRUST ROBINSON HUMPHREY, INC.</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as Joint Lead Arrangers and Joint Book 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175895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219075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100" w:type="dxa"/>
            <w:vAlign w:val="bottom"/>
          </w:tcPr>
          <w:p>
            <w:pPr>
              <w:ind w:left="3040"/>
              <w:spacing w:after="0"/>
              <w:rPr>
                <w:sz w:val="20"/>
                <w:szCs w:val="20"/>
                <w:color w:val="auto"/>
              </w:rPr>
            </w:pPr>
            <w:r>
              <w:rPr>
                <w:rFonts w:ascii="Arial" w:cs="Arial" w:eastAsia="Arial" w:hAnsi="Arial"/>
                <w:sz w:val="18"/>
                <w:szCs w:val="18"/>
                <w:b w:val="1"/>
                <w:bCs w:val="1"/>
                <w:color w:val="auto"/>
              </w:rPr>
              <w:t>TABLE OF CONTENTS</w:t>
            </w:r>
          </w:p>
        </w:tc>
        <w:tc>
          <w:tcPr>
            <w:tcW w:w="2420" w:type="dxa"/>
            <w:vAlign w:val="bottom"/>
          </w:tcPr>
          <w:p>
            <w:pPr>
              <w:spacing w:after="0"/>
              <w:rPr>
                <w:sz w:val="20"/>
                <w:szCs w:val="20"/>
                <w:color w:val="auto"/>
              </w:rPr>
            </w:pPr>
          </w:p>
        </w:tc>
      </w:tr>
      <w:tr>
        <w:trPr>
          <w:trHeight w:val="406"/>
        </w:trPr>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24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1080" w:type="dxa"/>
            <w:vAlign w:val="bottom"/>
          </w:tcPr>
          <w:p>
            <w:pPr>
              <w:spacing w:after="0"/>
              <w:rPr>
                <w:sz w:val="20"/>
                <w:szCs w:val="20"/>
                <w:color w:val="auto"/>
              </w:rPr>
            </w:pPr>
            <w:r>
              <w:rPr>
                <w:rFonts w:ascii="Arial" w:cs="Arial" w:eastAsia="Arial" w:hAnsi="Arial"/>
                <w:sz w:val="18"/>
                <w:szCs w:val="18"/>
                <w:color w:val="auto"/>
              </w:rPr>
              <w:t>ARTICLE I</w:t>
            </w:r>
          </w:p>
        </w:tc>
        <w:tc>
          <w:tcPr>
            <w:tcW w:w="7640" w:type="dxa"/>
            <w:vAlign w:val="bottom"/>
            <w:gridSpan w:val="2"/>
          </w:tcPr>
          <w:p>
            <w:pPr>
              <w:ind w:left="140"/>
              <w:spacing w:after="0"/>
              <w:rPr>
                <w:sz w:val="20"/>
                <w:szCs w:val="20"/>
                <w:color w:val="auto"/>
              </w:rPr>
            </w:pPr>
            <w:r>
              <w:rPr>
                <w:rFonts w:ascii="Arial" w:cs="Arial" w:eastAsia="Arial" w:hAnsi="Arial"/>
                <w:sz w:val="18"/>
                <w:szCs w:val="18"/>
                <w:color w:val="auto"/>
              </w:rPr>
              <w:t>DEFINITIONS</w:t>
            </w:r>
          </w:p>
        </w:tc>
        <w:tc>
          <w:tcPr>
            <w:tcW w:w="2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620" w:type="dxa"/>
            <w:vAlign w:val="bottom"/>
            <w:gridSpan w:val="2"/>
          </w:tcPr>
          <w:p>
            <w:pPr>
              <w:ind w:left="360"/>
              <w:spacing w:after="0"/>
              <w:rPr>
                <w:sz w:val="20"/>
                <w:szCs w:val="20"/>
                <w:color w:val="auto"/>
              </w:rPr>
            </w:pPr>
            <w:r>
              <w:rPr>
                <w:rFonts w:ascii="Arial" w:cs="Arial" w:eastAsia="Arial" w:hAnsi="Arial"/>
                <w:sz w:val="18"/>
                <w:szCs w:val="18"/>
                <w:color w:val="auto"/>
                <w:w w:val="99"/>
              </w:rPr>
              <w:t>SECTION 1.01.</w:t>
            </w:r>
          </w:p>
        </w:tc>
        <w:tc>
          <w:tcPr>
            <w:tcW w:w="7100" w:type="dxa"/>
            <w:vAlign w:val="bottom"/>
          </w:tcPr>
          <w:p>
            <w:pPr>
              <w:ind w:left="100"/>
              <w:spacing w:after="0"/>
              <w:rPr>
                <w:sz w:val="20"/>
                <w:szCs w:val="20"/>
                <w:color w:val="auto"/>
              </w:rPr>
            </w:pPr>
            <w:r>
              <w:rPr>
                <w:rFonts w:ascii="Arial" w:cs="Arial" w:eastAsia="Arial" w:hAnsi="Arial"/>
                <w:sz w:val="18"/>
                <w:szCs w:val="18"/>
                <w:color w:val="auto"/>
              </w:rPr>
              <w:t>Defined Terms</w:t>
            </w:r>
          </w:p>
        </w:tc>
        <w:tc>
          <w:tcPr>
            <w:tcW w:w="2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620" w:type="dxa"/>
            <w:vAlign w:val="bottom"/>
            <w:gridSpan w:val="2"/>
          </w:tcPr>
          <w:p>
            <w:pPr>
              <w:ind w:left="360"/>
              <w:spacing w:after="0"/>
              <w:rPr>
                <w:sz w:val="20"/>
                <w:szCs w:val="20"/>
                <w:color w:val="auto"/>
              </w:rPr>
            </w:pPr>
            <w:r>
              <w:rPr>
                <w:rFonts w:ascii="Arial" w:cs="Arial" w:eastAsia="Arial" w:hAnsi="Arial"/>
                <w:sz w:val="18"/>
                <w:szCs w:val="18"/>
                <w:color w:val="auto"/>
                <w:w w:val="99"/>
              </w:rPr>
              <w:t>SECTION 1.02.</w:t>
            </w:r>
          </w:p>
        </w:tc>
        <w:tc>
          <w:tcPr>
            <w:tcW w:w="7100" w:type="dxa"/>
            <w:vAlign w:val="bottom"/>
          </w:tcPr>
          <w:p>
            <w:pPr>
              <w:ind w:left="100"/>
              <w:spacing w:after="0"/>
              <w:rPr>
                <w:sz w:val="20"/>
                <w:szCs w:val="20"/>
                <w:color w:val="auto"/>
              </w:rPr>
            </w:pPr>
            <w:r>
              <w:rPr>
                <w:rFonts w:ascii="Arial" w:cs="Arial" w:eastAsia="Arial" w:hAnsi="Arial"/>
                <w:sz w:val="18"/>
                <w:szCs w:val="18"/>
                <w:color w:val="auto"/>
              </w:rPr>
              <w:t>Classification of Loans and Borrowings</w:t>
            </w:r>
          </w:p>
        </w:tc>
        <w:tc>
          <w:tcPr>
            <w:tcW w:w="24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1620" w:type="dxa"/>
            <w:vAlign w:val="bottom"/>
            <w:gridSpan w:val="2"/>
          </w:tcPr>
          <w:p>
            <w:pPr>
              <w:ind w:left="360"/>
              <w:spacing w:after="0"/>
              <w:rPr>
                <w:sz w:val="20"/>
                <w:szCs w:val="20"/>
                <w:color w:val="auto"/>
              </w:rPr>
            </w:pPr>
            <w:r>
              <w:rPr>
                <w:rFonts w:ascii="Arial" w:cs="Arial" w:eastAsia="Arial" w:hAnsi="Arial"/>
                <w:sz w:val="18"/>
                <w:szCs w:val="18"/>
                <w:color w:val="auto"/>
                <w:w w:val="99"/>
              </w:rPr>
              <w:t>SECTION 1.03.</w:t>
            </w:r>
          </w:p>
        </w:tc>
        <w:tc>
          <w:tcPr>
            <w:tcW w:w="7100" w:type="dxa"/>
            <w:vAlign w:val="bottom"/>
          </w:tcPr>
          <w:p>
            <w:pPr>
              <w:ind w:left="100"/>
              <w:spacing w:after="0"/>
              <w:rPr>
                <w:sz w:val="20"/>
                <w:szCs w:val="20"/>
                <w:color w:val="auto"/>
              </w:rPr>
            </w:pPr>
            <w:r>
              <w:rPr>
                <w:rFonts w:ascii="Arial" w:cs="Arial" w:eastAsia="Arial" w:hAnsi="Arial"/>
                <w:sz w:val="18"/>
                <w:szCs w:val="18"/>
                <w:color w:val="auto"/>
              </w:rPr>
              <w:t>Terms Generally</w:t>
            </w:r>
          </w:p>
        </w:tc>
        <w:tc>
          <w:tcPr>
            <w:tcW w:w="24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1620" w:type="dxa"/>
            <w:vAlign w:val="bottom"/>
            <w:gridSpan w:val="2"/>
          </w:tcPr>
          <w:p>
            <w:pPr>
              <w:ind w:left="360"/>
              <w:spacing w:after="0"/>
              <w:rPr>
                <w:sz w:val="20"/>
                <w:szCs w:val="20"/>
                <w:color w:val="auto"/>
              </w:rPr>
            </w:pPr>
            <w:r>
              <w:rPr>
                <w:rFonts w:ascii="Arial" w:cs="Arial" w:eastAsia="Arial" w:hAnsi="Arial"/>
                <w:sz w:val="18"/>
                <w:szCs w:val="18"/>
                <w:color w:val="auto"/>
                <w:w w:val="99"/>
              </w:rPr>
              <w:t>SECTION 1.04.</w:t>
            </w:r>
          </w:p>
        </w:tc>
        <w:tc>
          <w:tcPr>
            <w:tcW w:w="7100" w:type="dxa"/>
            <w:vAlign w:val="bottom"/>
          </w:tcPr>
          <w:p>
            <w:pPr>
              <w:ind w:left="100"/>
              <w:spacing w:after="0"/>
              <w:rPr>
                <w:sz w:val="20"/>
                <w:szCs w:val="20"/>
                <w:color w:val="auto"/>
              </w:rPr>
            </w:pPr>
            <w:r>
              <w:rPr>
                <w:rFonts w:ascii="Arial" w:cs="Arial" w:eastAsia="Arial" w:hAnsi="Arial"/>
                <w:sz w:val="18"/>
                <w:szCs w:val="18"/>
                <w:color w:val="auto"/>
              </w:rPr>
              <w:t>Accounting Terms; GAAP</w:t>
            </w:r>
          </w:p>
        </w:tc>
        <w:tc>
          <w:tcPr>
            <w:tcW w:w="24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1620" w:type="dxa"/>
            <w:vAlign w:val="bottom"/>
            <w:gridSpan w:val="2"/>
          </w:tcPr>
          <w:p>
            <w:pPr>
              <w:ind w:left="360"/>
              <w:spacing w:after="0"/>
              <w:rPr>
                <w:sz w:val="20"/>
                <w:szCs w:val="20"/>
                <w:color w:val="auto"/>
              </w:rPr>
            </w:pPr>
            <w:r>
              <w:rPr>
                <w:rFonts w:ascii="Arial" w:cs="Arial" w:eastAsia="Arial" w:hAnsi="Arial"/>
                <w:sz w:val="18"/>
                <w:szCs w:val="18"/>
                <w:color w:val="auto"/>
                <w:w w:val="99"/>
              </w:rPr>
              <w:t>SECTION 1.05.</w:t>
            </w:r>
          </w:p>
        </w:tc>
        <w:tc>
          <w:tcPr>
            <w:tcW w:w="7100" w:type="dxa"/>
            <w:vAlign w:val="bottom"/>
          </w:tcPr>
          <w:p>
            <w:pPr>
              <w:ind w:left="100"/>
              <w:spacing w:after="0"/>
              <w:rPr>
                <w:sz w:val="20"/>
                <w:szCs w:val="20"/>
                <w:color w:val="auto"/>
              </w:rPr>
            </w:pPr>
            <w:r>
              <w:rPr>
                <w:rFonts w:ascii="Arial" w:cs="Arial" w:eastAsia="Arial" w:hAnsi="Arial"/>
                <w:sz w:val="18"/>
                <w:szCs w:val="18"/>
                <w:color w:val="auto"/>
              </w:rPr>
              <w:t>Currencies; Currency Equivalents</w:t>
            </w:r>
          </w:p>
        </w:tc>
        <w:tc>
          <w:tcPr>
            <w:tcW w:w="24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ARTICLE II</w:t>
            </w:r>
          </w:p>
        </w:tc>
        <w:tc>
          <w:tcPr>
            <w:tcW w:w="7640" w:type="dxa"/>
            <w:vAlign w:val="bottom"/>
            <w:gridSpan w:val="2"/>
          </w:tcPr>
          <w:p>
            <w:pPr>
              <w:ind w:left="140"/>
              <w:spacing w:after="0"/>
              <w:rPr>
                <w:sz w:val="20"/>
                <w:szCs w:val="20"/>
                <w:color w:val="auto"/>
              </w:rPr>
            </w:pPr>
            <w:r>
              <w:rPr>
                <w:rFonts w:ascii="Arial" w:cs="Arial" w:eastAsia="Arial" w:hAnsi="Arial"/>
                <w:sz w:val="18"/>
                <w:szCs w:val="18"/>
                <w:color w:val="auto"/>
              </w:rPr>
              <w:t>THE CREDITS</w:t>
            </w:r>
          </w:p>
        </w:tc>
        <w:tc>
          <w:tcPr>
            <w:tcW w:w="24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1620" w:type="dxa"/>
            <w:vAlign w:val="bottom"/>
            <w:gridSpan w:val="2"/>
          </w:tcPr>
          <w:p>
            <w:pPr>
              <w:ind w:left="360"/>
              <w:spacing w:after="0"/>
              <w:rPr>
                <w:sz w:val="20"/>
                <w:szCs w:val="20"/>
                <w:color w:val="auto"/>
              </w:rPr>
            </w:pPr>
            <w:r>
              <w:rPr>
                <w:rFonts w:ascii="Arial" w:cs="Arial" w:eastAsia="Arial" w:hAnsi="Arial"/>
                <w:sz w:val="18"/>
                <w:szCs w:val="18"/>
                <w:color w:val="auto"/>
              </w:rPr>
              <w:t>SECTION 2.01</w:t>
            </w:r>
          </w:p>
        </w:tc>
        <w:tc>
          <w:tcPr>
            <w:tcW w:w="7100" w:type="dxa"/>
            <w:vAlign w:val="bottom"/>
          </w:tcPr>
          <w:p>
            <w:pPr>
              <w:ind w:left="100"/>
              <w:spacing w:after="0"/>
              <w:rPr>
                <w:sz w:val="20"/>
                <w:szCs w:val="20"/>
                <w:color w:val="auto"/>
              </w:rPr>
            </w:pPr>
            <w:r>
              <w:rPr>
                <w:rFonts w:ascii="Arial" w:cs="Arial" w:eastAsia="Arial" w:hAnsi="Arial"/>
                <w:sz w:val="18"/>
                <w:szCs w:val="18"/>
                <w:color w:val="auto"/>
              </w:rPr>
              <w:t>The Commitments</w:t>
            </w:r>
          </w:p>
        </w:tc>
        <w:tc>
          <w:tcPr>
            <w:tcW w:w="24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1620" w:type="dxa"/>
            <w:vAlign w:val="bottom"/>
            <w:gridSpan w:val="2"/>
          </w:tcPr>
          <w:p>
            <w:pPr>
              <w:ind w:left="360"/>
              <w:spacing w:after="0"/>
              <w:rPr>
                <w:sz w:val="20"/>
                <w:szCs w:val="20"/>
                <w:color w:val="auto"/>
              </w:rPr>
            </w:pPr>
            <w:r>
              <w:rPr>
                <w:rFonts w:ascii="Arial" w:cs="Arial" w:eastAsia="Arial" w:hAnsi="Arial"/>
                <w:sz w:val="18"/>
                <w:szCs w:val="18"/>
                <w:color w:val="auto"/>
                <w:w w:val="99"/>
              </w:rPr>
              <w:t>SECTION 2.02.</w:t>
            </w:r>
          </w:p>
        </w:tc>
        <w:tc>
          <w:tcPr>
            <w:tcW w:w="7100" w:type="dxa"/>
            <w:vAlign w:val="bottom"/>
          </w:tcPr>
          <w:p>
            <w:pPr>
              <w:ind w:left="100"/>
              <w:spacing w:after="0"/>
              <w:rPr>
                <w:sz w:val="20"/>
                <w:szCs w:val="20"/>
                <w:color w:val="auto"/>
              </w:rPr>
            </w:pPr>
            <w:r>
              <w:rPr>
                <w:rFonts w:ascii="Arial" w:cs="Arial" w:eastAsia="Arial" w:hAnsi="Arial"/>
                <w:sz w:val="18"/>
                <w:szCs w:val="18"/>
                <w:color w:val="auto"/>
              </w:rPr>
              <w:t>Loans and Borrowings</w:t>
            </w:r>
          </w:p>
        </w:tc>
        <w:tc>
          <w:tcPr>
            <w:tcW w:w="24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620" w:type="dxa"/>
            <w:vAlign w:val="bottom"/>
            <w:gridSpan w:val="2"/>
          </w:tcPr>
          <w:p>
            <w:pPr>
              <w:ind w:left="360"/>
              <w:spacing w:after="0"/>
              <w:rPr>
                <w:sz w:val="20"/>
                <w:szCs w:val="20"/>
                <w:color w:val="auto"/>
              </w:rPr>
            </w:pPr>
            <w:r>
              <w:rPr>
                <w:rFonts w:ascii="Arial" w:cs="Arial" w:eastAsia="Arial" w:hAnsi="Arial"/>
                <w:sz w:val="18"/>
                <w:szCs w:val="18"/>
                <w:color w:val="auto"/>
                <w:w w:val="99"/>
              </w:rPr>
              <w:t>SECTION 2.03.</w:t>
            </w:r>
          </w:p>
        </w:tc>
        <w:tc>
          <w:tcPr>
            <w:tcW w:w="7100" w:type="dxa"/>
            <w:vAlign w:val="bottom"/>
          </w:tcPr>
          <w:p>
            <w:pPr>
              <w:ind w:left="100"/>
              <w:spacing w:after="0"/>
              <w:rPr>
                <w:sz w:val="20"/>
                <w:szCs w:val="20"/>
                <w:color w:val="auto"/>
              </w:rPr>
            </w:pPr>
            <w:r>
              <w:rPr>
                <w:rFonts w:ascii="Arial" w:cs="Arial" w:eastAsia="Arial" w:hAnsi="Arial"/>
                <w:sz w:val="18"/>
                <w:szCs w:val="18"/>
                <w:color w:val="auto"/>
              </w:rPr>
              <w:t>Requests for Syndicated Borrowings</w:t>
            </w:r>
          </w:p>
        </w:tc>
        <w:tc>
          <w:tcPr>
            <w:tcW w:w="24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1620" w:type="dxa"/>
            <w:vAlign w:val="bottom"/>
            <w:gridSpan w:val="2"/>
          </w:tcPr>
          <w:p>
            <w:pPr>
              <w:ind w:left="360"/>
              <w:spacing w:after="0"/>
              <w:rPr>
                <w:sz w:val="20"/>
                <w:szCs w:val="20"/>
                <w:color w:val="auto"/>
              </w:rPr>
            </w:pPr>
            <w:r>
              <w:rPr>
                <w:rFonts w:ascii="Arial" w:cs="Arial" w:eastAsia="Arial" w:hAnsi="Arial"/>
                <w:sz w:val="18"/>
                <w:szCs w:val="18"/>
                <w:color w:val="auto"/>
                <w:w w:val="99"/>
              </w:rPr>
              <w:t>SECTION 2.04.</w:t>
            </w:r>
          </w:p>
        </w:tc>
        <w:tc>
          <w:tcPr>
            <w:tcW w:w="7100" w:type="dxa"/>
            <w:vAlign w:val="bottom"/>
          </w:tcPr>
          <w:p>
            <w:pPr>
              <w:ind w:left="100"/>
              <w:spacing w:after="0"/>
              <w:rPr>
                <w:sz w:val="20"/>
                <w:szCs w:val="20"/>
                <w:color w:val="auto"/>
              </w:rPr>
            </w:pPr>
            <w:r>
              <w:rPr>
                <w:rFonts w:ascii="Arial" w:cs="Arial" w:eastAsia="Arial" w:hAnsi="Arial"/>
                <w:sz w:val="18"/>
                <w:szCs w:val="18"/>
                <w:color w:val="auto"/>
              </w:rPr>
              <w:t>Swingline Loans</w:t>
            </w:r>
          </w:p>
        </w:tc>
        <w:tc>
          <w:tcPr>
            <w:tcW w:w="24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1620" w:type="dxa"/>
            <w:vAlign w:val="bottom"/>
            <w:gridSpan w:val="2"/>
          </w:tcPr>
          <w:p>
            <w:pPr>
              <w:ind w:left="360"/>
              <w:spacing w:after="0"/>
              <w:rPr>
                <w:sz w:val="20"/>
                <w:szCs w:val="20"/>
                <w:color w:val="auto"/>
              </w:rPr>
            </w:pPr>
            <w:r>
              <w:rPr>
                <w:rFonts w:ascii="Arial" w:cs="Arial" w:eastAsia="Arial" w:hAnsi="Arial"/>
                <w:sz w:val="18"/>
                <w:szCs w:val="18"/>
                <w:color w:val="auto"/>
                <w:w w:val="99"/>
              </w:rPr>
              <w:t>SECTION 2.05.</w:t>
            </w:r>
          </w:p>
        </w:tc>
        <w:tc>
          <w:tcPr>
            <w:tcW w:w="7100" w:type="dxa"/>
            <w:vAlign w:val="bottom"/>
          </w:tcPr>
          <w:p>
            <w:pPr>
              <w:ind w:left="100"/>
              <w:spacing w:after="0"/>
              <w:rPr>
                <w:sz w:val="20"/>
                <w:szCs w:val="20"/>
                <w:color w:val="auto"/>
              </w:rPr>
            </w:pPr>
            <w:r>
              <w:rPr>
                <w:rFonts w:ascii="Arial" w:cs="Arial" w:eastAsia="Arial" w:hAnsi="Arial"/>
                <w:sz w:val="18"/>
                <w:szCs w:val="18"/>
                <w:color w:val="auto"/>
              </w:rPr>
              <w:t>Letters of Credit</w:t>
            </w:r>
          </w:p>
        </w:tc>
        <w:tc>
          <w:tcPr>
            <w:tcW w:w="24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1620" w:type="dxa"/>
            <w:vAlign w:val="bottom"/>
            <w:gridSpan w:val="2"/>
          </w:tcPr>
          <w:p>
            <w:pPr>
              <w:ind w:left="360"/>
              <w:spacing w:after="0"/>
              <w:rPr>
                <w:sz w:val="20"/>
                <w:szCs w:val="20"/>
                <w:color w:val="auto"/>
              </w:rPr>
            </w:pPr>
            <w:r>
              <w:rPr>
                <w:rFonts w:ascii="Arial" w:cs="Arial" w:eastAsia="Arial" w:hAnsi="Arial"/>
                <w:sz w:val="18"/>
                <w:szCs w:val="18"/>
                <w:color w:val="auto"/>
                <w:w w:val="99"/>
              </w:rPr>
              <w:t>SECTION 2.06.</w:t>
            </w:r>
          </w:p>
        </w:tc>
        <w:tc>
          <w:tcPr>
            <w:tcW w:w="7100" w:type="dxa"/>
            <w:vAlign w:val="bottom"/>
          </w:tcPr>
          <w:p>
            <w:pPr>
              <w:ind w:left="100"/>
              <w:spacing w:after="0"/>
              <w:rPr>
                <w:sz w:val="20"/>
                <w:szCs w:val="20"/>
                <w:color w:val="auto"/>
              </w:rPr>
            </w:pPr>
            <w:r>
              <w:rPr>
                <w:rFonts w:ascii="Arial" w:cs="Arial" w:eastAsia="Arial" w:hAnsi="Arial"/>
                <w:sz w:val="18"/>
                <w:szCs w:val="18"/>
                <w:color w:val="auto"/>
              </w:rPr>
              <w:t>Funding of Borrowings</w:t>
            </w:r>
          </w:p>
        </w:tc>
        <w:tc>
          <w:tcPr>
            <w:tcW w:w="24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24"/>
        </w:trPr>
        <w:tc>
          <w:tcPr>
            <w:tcW w:w="1620" w:type="dxa"/>
            <w:vAlign w:val="bottom"/>
            <w:gridSpan w:val="2"/>
          </w:tcPr>
          <w:p>
            <w:pPr>
              <w:ind w:left="360"/>
              <w:spacing w:after="0"/>
              <w:rPr>
                <w:sz w:val="20"/>
                <w:szCs w:val="20"/>
                <w:color w:val="auto"/>
              </w:rPr>
            </w:pPr>
            <w:r>
              <w:rPr>
                <w:rFonts w:ascii="Arial" w:cs="Arial" w:eastAsia="Arial" w:hAnsi="Arial"/>
                <w:sz w:val="18"/>
                <w:szCs w:val="18"/>
                <w:color w:val="auto"/>
                <w:w w:val="99"/>
              </w:rPr>
              <w:t>SECTION 2.07.</w:t>
            </w:r>
          </w:p>
        </w:tc>
        <w:tc>
          <w:tcPr>
            <w:tcW w:w="7100" w:type="dxa"/>
            <w:vAlign w:val="bottom"/>
          </w:tcPr>
          <w:p>
            <w:pPr>
              <w:ind w:left="100"/>
              <w:spacing w:after="0"/>
              <w:rPr>
                <w:sz w:val="20"/>
                <w:szCs w:val="20"/>
                <w:color w:val="auto"/>
              </w:rPr>
            </w:pPr>
            <w:r>
              <w:rPr>
                <w:rFonts w:ascii="Arial" w:cs="Arial" w:eastAsia="Arial" w:hAnsi="Arial"/>
                <w:sz w:val="18"/>
                <w:szCs w:val="18"/>
                <w:color w:val="auto"/>
              </w:rPr>
              <w:t>Interest Elections</w:t>
            </w:r>
          </w:p>
        </w:tc>
        <w:tc>
          <w:tcPr>
            <w:tcW w:w="24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1620" w:type="dxa"/>
            <w:vAlign w:val="bottom"/>
            <w:gridSpan w:val="2"/>
          </w:tcPr>
          <w:p>
            <w:pPr>
              <w:ind w:left="360"/>
              <w:spacing w:after="0"/>
              <w:rPr>
                <w:sz w:val="20"/>
                <w:szCs w:val="20"/>
                <w:color w:val="auto"/>
              </w:rPr>
            </w:pPr>
            <w:r>
              <w:rPr>
                <w:rFonts w:ascii="Arial" w:cs="Arial" w:eastAsia="Arial" w:hAnsi="Arial"/>
                <w:sz w:val="18"/>
                <w:szCs w:val="18"/>
                <w:color w:val="auto"/>
                <w:w w:val="99"/>
              </w:rPr>
              <w:t>SECTION 2.08.</w:t>
            </w:r>
          </w:p>
        </w:tc>
        <w:tc>
          <w:tcPr>
            <w:tcW w:w="7100" w:type="dxa"/>
            <w:vAlign w:val="bottom"/>
          </w:tcPr>
          <w:p>
            <w:pPr>
              <w:ind w:left="100"/>
              <w:spacing w:after="0"/>
              <w:rPr>
                <w:sz w:val="20"/>
                <w:szCs w:val="20"/>
                <w:color w:val="auto"/>
              </w:rPr>
            </w:pPr>
            <w:r>
              <w:rPr>
                <w:rFonts w:ascii="Arial" w:cs="Arial" w:eastAsia="Arial" w:hAnsi="Arial"/>
                <w:sz w:val="18"/>
                <w:szCs w:val="18"/>
                <w:color w:val="auto"/>
              </w:rPr>
              <w:t>Termination, Reduction or Increase of the Commitments</w:t>
            </w:r>
          </w:p>
        </w:tc>
        <w:tc>
          <w:tcPr>
            <w:tcW w:w="24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1620" w:type="dxa"/>
            <w:vAlign w:val="bottom"/>
            <w:gridSpan w:val="2"/>
          </w:tcPr>
          <w:p>
            <w:pPr>
              <w:ind w:left="360"/>
              <w:spacing w:after="0"/>
              <w:rPr>
                <w:sz w:val="20"/>
                <w:szCs w:val="20"/>
                <w:color w:val="auto"/>
              </w:rPr>
            </w:pPr>
            <w:r>
              <w:rPr>
                <w:rFonts w:ascii="Arial" w:cs="Arial" w:eastAsia="Arial" w:hAnsi="Arial"/>
                <w:sz w:val="18"/>
                <w:szCs w:val="18"/>
                <w:color w:val="auto"/>
                <w:w w:val="99"/>
              </w:rPr>
              <w:t>SECTION 2.09.</w:t>
            </w:r>
          </w:p>
        </w:tc>
        <w:tc>
          <w:tcPr>
            <w:tcW w:w="7100" w:type="dxa"/>
            <w:vAlign w:val="bottom"/>
          </w:tcPr>
          <w:p>
            <w:pPr>
              <w:ind w:left="100"/>
              <w:spacing w:after="0"/>
              <w:rPr>
                <w:sz w:val="20"/>
                <w:szCs w:val="20"/>
                <w:color w:val="auto"/>
              </w:rPr>
            </w:pPr>
            <w:r>
              <w:rPr>
                <w:rFonts w:ascii="Arial" w:cs="Arial" w:eastAsia="Arial" w:hAnsi="Arial"/>
                <w:sz w:val="18"/>
                <w:szCs w:val="18"/>
                <w:color w:val="auto"/>
              </w:rPr>
              <w:t>Repayment of Loans; Evidence of Debt</w:t>
            </w:r>
          </w:p>
        </w:tc>
        <w:tc>
          <w:tcPr>
            <w:tcW w:w="24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1620" w:type="dxa"/>
            <w:vAlign w:val="bottom"/>
            <w:gridSpan w:val="2"/>
          </w:tcPr>
          <w:p>
            <w:pPr>
              <w:ind w:left="360"/>
              <w:spacing w:after="0"/>
              <w:rPr>
                <w:sz w:val="20"/>
                <w:szCs w:val="20"/>
                <w:color w:val="auto"/>
              </w:rPr>
            </w:pPr>
            <w:r>
              <w:rPr>
                <w:rFonts w:ascii="Arial" w:cs="Arial" w:eastAsia="Arial" w:hAnsi="Arial"/>
                <w:sz w:val="18"/>
                <w:szCs w:val="18"/>
                <w:color w:val="auto"/>
                <w:w w:val="99"/>
              </w:rPr>
              <w:t>SECTION 2.10.</w:t>
            </w:r>
          </w:p>
        </w:tc>
        <w:tc>
          <w:tcPr>
            <w:tcW w:w="7100" w:type="dxa"/>
            <w:vAlign w:val="bottom"/>
          </w:tcPr>
          <w:p>
            <w:pPr>
              <w:ind w:left="100"/>
              <w:spacing w:after="0"/>
              <w:rPr>
                <w:sz w:val="20"/>
                <w:szCs w:val="20"/>
                <w:color w:val="auto"/>
              </w:rPr>
            </w:pPr>
            <w:r>
              <w:rPr>
                <w:rFonts w:ascii="Arial" w:cs="Arial" w:eastAsia="Arial" w:hAnsi="Arial"/>
                <w:sz w:val="18"/>
                <w:szCs w:val="18"/>
                <w:color w:val="auto"/>
              </w:rPr>
              <w:t>Prepayment of Loans</w:t>
            </w:r>
          </w:p>
        </w:tc>
        <w:tc>
          <w:tcPr>
            <w:tcW w:w="24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1620" w:type="dxa"/>
            <w:vAlign w:val="bottom"/>
            <w:gridSpan w:val="2"/>
          </w:tcPr>
          <w:p>
            <w:pPr>
              <w:ind w:left="360"/>
              <w:spacing w:after="0"/>
              <w:rPr>
                <w:sz w:val="20"/>
                <w:szCs w:val="20"/>
                <w:color w:val="auto"/>
              </w:rPr>
            </w:pPr>
            <w:r>
              <w:rPr>
                <w:rFonts w:ascii="Arial" w:cs="Arial" w:eastAsia="Arial" w:hAnsi="Arial"/>
                <w:sz w:val="18"/>
                <w:szCs w:val="18"/>
                <w:color w:val="auto"/>
                <w:w w:val="99"/>
              </w:rPr>
              <w:t>SECTION 2.11.</w:t>
            </w:r>
          </w:p>
        </w:tc>
        <w:tc>
          <w:tcPr>
            <w:tcW w:w="7100" w:type="dxa"/>
            <w:vAlign w:val="bottom"/>
          </w:tcPr>
          <w:p>
            <w:pPr>
              <w:ind w:left="100"/>
              <w:spacing w:after="0"/>
              <w:rPr>
                <w:sz w:val="20"/>
                <w:szCs w:val="20"/>
                <w:color w:val="auto"/>
              </w:rPr>
            </w:pPr>
            <w:r>
              <w:rPr>
                <w:rFonts w:ascii="Arial" w:cs="Arial" w:eastAsia="Arial" w:hAnsi="Arial"/>
                <w:sz w:val="18"/>
                <w:szCs w:val="18"/>
                <w:color w:val="auto"/>
              </w:rPr>
              <w:t>Fees</w:t>
            </w:r>
          </w:p>
        </w:tc>
        <w:tc>
          <w:tcPr>
            <w:tcW w:w="24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1620" w:type="dxa"/>
            <w:vAlign w:val="bottom"/>
            <w:gridSpan w:val="2"/>
          </w:tcPr>
          <w:p>
            <w:pPr>
              <w:ind w:left="360"/>
              <w:spacing w:after="0"/>
              <w:rPr>
                <w:sz w:val="20"/>
                <w:szCs w:val="20"/>
                <w:color w:val="auto"/>
              </w:rPr>
            </w:pPr>
            <w:r>
              <w:rPr>
                <w:rFonts w:ascii="Arial" w:cs="Arial" w:eastAsia="Arial" w:hAnsi="Arial"/>
                <w:sz w:val="18"/>
                <w:szCs w:val="18"/>
                <w:color w:val="auto"/>
                <w:w w:val="99"/>
              </w:rPr>
              <w:t>SECTION 2.12.</w:t>
            </w:r>
          </w:p>
        </w:tc>
        <w:tc>
          <w:tcPr>
            <w:tcW w:w="7100" w:type="dxa"/>
            <w:vAlign w:val="bottom"/>
          </w:tcPr>
          <w:p>
            <w:pPr>
              <w:ind w:left="100"/>
              <w:spacing w:after="0"/>
              <w:rPr>
                <w:sz w:val="20"/>
                <w:szCs w:val="20"/>
                <w:color w:val="auto"/>
              </w:rPr>
            </w:pPr>
            <w:r>
              <w:rPr>
                <w:rFonts w:ascii="Arial" w:cs="Arial" w:eastAsia="Arial" w:hAnsi="Arial"/>
                <w:sz w:val="18"/>
                <w:szCs w:val="18"/>
                <w:color w:val="auto"/>
              </w:rPr>
              <w:t>Interest</w:t>
            </w:r>
          </w:p>
        </w:tc>
        <w:tc>
          <w:tcPr>
            <w:tcW w:w="24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24"/>
        </w:trPr>
        <w:tc>
          <w:tcPr>
            <w:tcW w:w="1620" w:type="dxa"/>
            <w:vAlign w:val="bottom"/>
            <w:gridSpan w:val="2"/>
          </w:tcPr>
          <w:p>
            <w:pPr>
              <w:ind w:left="360"/>
              <w:spacing w:after="0"/>
              <w:rPr>
                <w:sz w:val="20"/>
                <w:szCs w:val="20"/>
                <w:color w:val="auto"/>
              </w:rPr>
            </w:pPr>
            <w:r>
              <w:rPr>
                <w:rFonts w:ascii="Arial" w:cs="Arial" w:eastAsia="Arial" w:hAnsi="Arial"/>
                <w:sz w:val="18"/>
                <w:szCs w:val="18"/>
                <w:color w:val="auto"/>
                <w:w w:val="99"/>
              </w:rPr>
              <w:t>SECTION 2.13.</w:t>
            </w:r>
          </w:p>
        </w:tc>
        <w:tc>
          <w:tcPr>
            <w:tcW w:w="7100" w:type="dxa"/>
            <w:vAlign w:val="bottom"/>
          </w:tcPr>
          <w:p>
            <w:pPr>
              <w:ind w:left="100"/>
              <w:spacing w:after="0"/>
              <w:rPr>
                <w:sz w:val="20"/>
                <w:szCs w:val="20"/>
                <w:color w:val="auto"/>
              </w:rPr>
            </w:pPr>
            <w:r>
              <w:rPr>
                <w:rFonts w:ascii="Arial" w:cs="Arial" w:eastAsia="Arial" w:hAnsi="Arial"/>
                <w:sz w:val="18"/>
                <w:szCs w:val="18"/>
                <w:color w:val="auto"/>
              </w:rPr>
              <w:t>Alternate Rate of Interest</w:t>
            </w:r>
          </w:p>
        </w:tc>
        <w:tc>
          <w:tcPr>
            <w:tcW w:w="24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24"/>
        </w:trPr>
        <w:tc>
          <w:tcPr>
            <w:tcW w:w="1620" w:type="dxa"/>
            <w:vAlign w:val="bottom"/>
            <w:gridSpan w:val="2"/>
          </w:tcPr>
          <w:p>
            <w:pPr>
              <w:ind w:left="360"/>
              <w:spacing w:after="0"/>
              <w:rPr>
                <w:sz w:val="20"/>
                <w:szCs w:val="20"/>
                <w:color w:val="auto"/>
              </w:rPr>
            </w:pPr>
            <w:r>
              <w:rPr>
                <w:rFonts w:ascii="Arial" w:cs="Arial" w:eastAsia="Arial" w:hAnsi="Arial"/>
                <w:sz w:val="18"/>
                <w:szCs w:val="18"/>
                <w:color w:val="auto"/>
                <w:w w:val="99"/>
              </w:rPr>
              <w:t>SECTION 2.14.</w:t>
            </w:r>
          </w:p>
        </w:tc>
        <w:tc>
          <w:tcPr>
            <w:tcW w:w="7100" w:type="dxa"/>
            <w:vAlign w:val="bottom"/>
          </w:tcPr>
          <w:p>
            <w:pPr>
              <w:ind w:left="100"/>
              <w:spacing w:after="0"/>
              <w:rPr>
                <w:sz w:val="20"/>
                <w:szCs w:val="20"/>
                <w:color w:val="auto"/>
              </w:rPr>
            </w:pPr>
            <w:r>
              <w:rPr>
                <w:rFonts w:ascii="Arial" w:cs="Arial" w:eastAsia="Arial" w:hAnsi="Arial"/>
                <w:sz w:val="18"/>
                <w:szCs w:val="18"/>
                <w:color w:val="auto"/>
              </w:rPr>
              <w:t>Increased Costs</w:t>
            </w:r>
          </w:p>
        </w:tc>
        <w:tc>
          <w:tcPr>
            <w:tcW w:w="24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24"/>
        </w:trPr>
        <w:tc>
          <w:tcPr>
            <w:tcW w:w="1620" w:type="dxa"/>
            <w:vAlign w:val="bottom"/>
            <w:gridSpan w:val="2"/>
          </w:tcPr>
          <w:p>
            <w:pPr>
              <w:ind w:left="360"/>
              <w:spacing w:after="0"/>
              <w:rPr>
                <w:sz w:val="20"/>
                <w:szCs w:val="20"/>
                <w:color w:val="auto"/>
              </w:rPr>
            </w:pPr>
            <w:r>
              <w:rPr>
                <w:rFonts w:ascii="Arial" w:cs="Arial" w:eastAsia="Arial" w:hAnsi="Arial"/>
                <w:sz w:val="18"/>
                <w:szCs w:val="18"/>
                <w:color w:val="auto"/>
                <w:w w:val="99"/>
              </w:rPr>
              <w:t>SECTION 2.15.</w:t>
            </w:r>
          </w:p>
        </w:tc>
        <w:tc>
          <w:tcPr>
            <w:tcW w:w="7100" w:type="dxa"/>
            <w:vAlign w:val="bottom"/>
          </w:tcPr>
          <w:p>
            <w:pPr>
              <w:ind w:left="100"/>
              <w:spacing w:after="0"/>
              <w:rPr>
                <w:sz w:val="20"/>
                <w:szCs w:val="20"/>
                <w:color w:val="auto"/>
              </w:rPr>
            </w:pPr>
            <w:r>
              <w:rPr>
                <w:rFonts w:ascii="Arial" w:cs="Arial" w:eastAsia="Arial" w:hAnsi="Arial"/>
                <w:sz w:val="18"/>
                <w:szCs w:val="18"/>
                <w:color w:val="auto"/>
              </w:rPr>
              <w:t>Break Funding Payments</w:t>
            </w:r>
          </w:p>
        </w:tc>
        <w:tc>
          <w:tcPr>
            <w:tcW w:w="24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1620" w:type="dxa"/>
            <w:vAlign w:val="bottom"/>
            <w:gridSpan w:val="2"/>
          </w:tcPr>
          <w:p>
            <w:pPr>
              <w:ind w:left="360"/>
              <w:spacing w:after="0"/>
              <w:rPr>
                <w:sz w:val="20"/>
                <w:szCs w:val="20"/>
                <w:color w:val="auto"/>
              </w:rPr>
            </w:pPr>
            <w:r>
              <w:rPr>
                <w:rFonts w:ascii="Arial" w:cs="Arial" w:eastAsia="Arial" w:hAnsi="Arial"/>
                <w:sz w:val="18"/>
                <w:szCs w:val="18"/>
                <w:color w:val="auto"/>
                <w:w w:val="99"/>
              </w:rPr>
              <w:t>SECTION 2.16.</w:t>
            </w:r>
          </w:p>
        </w:tc>
        <w:tc>
          <w:tcPr>
            <w:tcW w:w="7100" w:type="dxa"/>
            <w:vAlign w:val="bottom"/>
          </w:tcPr>
          <w:p>
            <w:pPr>
              <w:ind w:left="100"/>
              <w:spacing w:after="0"/>
              <w:rPr>
                <w:sz w:val="20"/>
                <w:szCs w:val="20"/>
                <w:color w:val="auto"/>
              </w:rPr>
            </w:pPr>
            <w:r>
              <w:rPr>
                <w:rFonts w:ascii="Arial" w:cs="Arial" w:eastAsia="Arial" w:hAnsi="Arial"/>
                <w:sz w:val="18"/>
                <w:szCs w:val="18"/>
                <w:color w:val="auto"/>
              </w:rPr>
              <w:t>Taxes</w:t>
            </w:r>
          </w:p>
        </w:tc>
        <w:tc>
          <w:tcPr>
            <w:tcW w:w="24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1620" w:type="dxa"/>
            <w:vAlign w:val="bottom"/>
            <w:gridSpan w:val="2"/>
          </w:tcPr>
          <w:p>
            <w:pPr>
              <w:ind w:left="360"/>
              <w:spacing w:after="0"/>
              <w:rPr>
                <w:sz w:val="20"/>
                <w:szCs w:val="20"/>
                <w:color w:val="auto"/>
              </w:rPr>
            </w:pPr>
            <w:r>
              <w:rPr>
                <w:rFonts w:ascii="Arial" w:cs="Arial" w:eastAsia="Arial" w:hAnsi="Arial"/>
                <w:sz w:val="18"/>
                <w:szCs w:val="18"/>
                <w:color w:val="auto"/>
                <w:w w:val="99"/>
              </w:rPr>
              <w:t>SECTION 2.17.</w:t>
            </w:r>
          </w:p>
        </w:tc>
        <w:tc>
          <w:tcPr>
            <w:tcW w:w="7100" w:type="dxa"/>
            <w:vAlign w:val="bottom"/>
          </w:tcPr>
          <w:p>
            <w:pPr>
              <w:ind w:left="100"/>
              <w:spacing w:after="0"/>
              <w:rPr>
                <w:sz w:val="20"/>
                <w:szCs w:val="20"/>
                <w:color w:val="auto"/>
              </w:rPr>
            </w:pPr>
            <w:r>
              <w:rPr>
                <w:rFonts w:ascii="Arial" w:cs="Arial" w:eastAsia="Arial" w:hAnsi="Arial"/>
                <w:sz w:val="18"/>
                <w:szCs w:val="18"/>
                <w:color w:val="auto"/>
              </w:rPr>
              <w:t>Payments Generally; Pro Rata Treatment: Sharing of Set-offs</w:t>
            </w:r>
          </w:p>
        </w:tc>
        <w:tc>
          <w:tcPr>
            <w:tcW w:w="24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24"/>
        </w:trPr>
        <w:tc>
          <w:tcPr>
            <w:tcW w:w="1620" w:type="dxa"/>
            <w:vAlign w:val="bottom"/>
            <w:gridSpan w:val="2"/>
          </w:tcPr>
          <w:p>
            <w:pPr>
              <w:ind w:left="360"/>
              <w:spacing w:after="0"/>
              <w:rPr>
                <w:sz w:val="20"/>
                <w:szCs w:val="20"/>
                <w:color w:val="auto"/>
              </w:rPr>
            </w:pPr>
            <w:r>
              <w:rPr>
                <w:rFonts w:ascii="Arial" w:cs="Arial" w:eastAsia="Arial" w:hAnsi="Arial"/>
                <w:sz w:val="18"/>
                <w:szCs w:val="18"/>
                <w:color w:val="auto"/>
                <w:w w:val="99"/>
              </w:rPr>
              <w:t>SECTION 2.18.</w:t>
            </w:r>
          </w:p>
        </w:tc>
        <w:tc>
          <w:tcPr>
            <w:tcW w:w="7100" w:type="dxa"/>
            <w:vAlign w:val="bottom"/>
          </w:tcPr>
          <w:p>
            <w:pPr>
              <w:ind w:left="100"/>
              <w:spacing w:after="0"/>
              <w:rPr>
                <w:sz w:val="20"/>
                <w:szCs w:val="20"/>
                <w:color w:val="auto"/>
              </w:rPr>
            </w:pPr>
            <w:r>
              <w:rPr>
                <w:rFonts w:ascii="Arial" w:cs="Arial" w:eastAsia="Arial" w:hAnsi="Arial"/>
                <w:sz w:val="18"/>
                <w:szCs w:val="18"/>
                <w:color w:val="auto"/>
              </w:rPr>
              <w:t>Mitigation Obligations; Replacement of Lenders</w:t>
            </w:r>
          </w:p>
        </w:tc>
        <w:tc>
          <w:tcPr>
            <w:tcW w:w="24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24"/>
        </w:trPr>
        <w:tc>
          <w:tcPr>
            <w:tcW w:w="1620" w:type="dxa"/>
            <w:vAlign w:val="bottom"/>
            <w:gridSpan w:val="2"/>
          </w:tcPr>
          <w:p>
            <w:pPr>
              <w:ind w:left="360"/>
              <w:spacing w:after="0"/>
              <w:rPr>
                <w:sz w:val="20"/>
                <w:szCs w:val="20"/>
                <w:color w:val="auto"/>
              </w:rPr>
            </w:pPr>
            <w:r>
              <w:rPr>
                <w:rFonts w:ascii="Arial" w:cs="Arial" w:eastAsia="Arial" w:hAnsi="Arial"/>
                <w:sz w:val="18"/>
                <w:szCs w:val="18"/>
                <w:color w:val="auto"/>
                <w:w w:val="99"/>
              </w:rPr>
              <w:t>SECTION 2.19.</w:t>
            </w:r>
          </w:p>
        </w:tc>
        <w:tc>
          <w:tcPr>
            <w:tcW w:w="7100" w:type="dxa"/>
            <w:vAlign w:val="bottom"/>
          </w:tcPr>
          <w:p>
            <w:pPr>
              <w:ind w:left="100"/>
              <w:spacing w:after="0"/>
              <w:rPr>
                <w:sz w:val="20"/>
                <w:szCs w:val="20"/>
                <w:color w:val="auto"/>
              </w:rPr>
            </w:pPr>
            <w:r>
              <w:rPr>
                <w:rFonts w:ascii="Arial" w:cs="Arial" w:eastAsia="Arial" w:hAnsi="Arial"/>
                <w:sz w:val="18"/>
                <w:szCs w:val="18"/>
                <w:color w:val="auto"/>
              </w:rPr>
              <w:t>Defaulting Lenders</w:t>
            </w:r>
          </w:p>
        </w:tc>
        <w:tc>
          <w:tcPr>
            <w:tcW w:w="24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8720" w:type="dxa"/>
            <w:vAlign w:val="bottom"/>
            <w:gridSpan w:val="3"/>
          </w:tcPr>
          <w:p>
            <w:pPr>
              <w:spacing w:after="0"/>
              <w:rPr>
                <w:sz w:val="20"/>
                <w:szCs w:val="20"/>
                <w:color w:val="auto"/>
              </w:rPr>
            </w:pPr>
            <w:r>
              <w:rPr>
                <w:rFonts w:ascii="Arial" w:cs="Arial" w:eastAsia="Arial" w:hAnsi="Arial"/>
                <w:sz w:val="18"/>
                <w:szCs w:val="18"/>
                <w:color w:val="auto"/>
              </w:rPr>
              <w:t>ARTICLE III   REPRESENTATIONS AND WARRANTIES</w:t>
            </w:r>
          </w:p>
        </w:tc>
        <w:tc>
          <w:tcPr>
            <w:tcW w:w="24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24"/>
        </w:trPr>
        <w:tc>
          <w:tcPr>
            <w:tcW w:w="1620" w:type="dxa"/>
            <w:vAlign w:val="bottom"/>
            <w:gridSpan w:val="2"/>
          </w:tcPr>
          <w:p>
            <w:pPr>
              <w:ind w:left="360"/>
              <w:spacing w:after="0"/>
              <w:rPr>
                <w:sz w:val="20"/>
                <w:szCs w:val="20"/>
                <w:color w:val="auto"/>
              </w:rPr>
            </w:pPr>
            <w:r>
              <w:rPr>
                <w:rFonts w:ascii="Arial" w:cs="Arial" w:eastAsia="Arial" w:hAnsi="Arial"/>
                <w:sz w:val="18"/>
                <w:szCs w:val="18"/>
                <w:color w:val="auto"/>
                <w:w w:val="99"/>
              </w:rPr>
              <w:t>SECTION 3.01.</w:t>
            </w:r>
          </w:p>
        </w:tc>
        <w:tc>
          <w:tcPr>
            <w:tcW w:w="7100" w:type="dxa"/>
            <w:vAlign w:val="bottom"/>
          </w:tcPr>
          <w:p>
            <w:pPr>
              <w:ind w:left="100"/>
              <w:spacing w:after="0"/>
              <w:rPr>
                <w:sz w:val="20"/>
                <w:szCs w:val="20"/>
                <w:color w:val="auto"/>
              </w:rPr>
            </w:pPr>
            <w:r>
              <w:rPr>
                <w:rFonts w:ascii="Arial" w:cs="Arial" w:eastAsia="Arial" w:hAnsi="Arial"/>
                <w:sz w:val="18"/>
                <w:szCs w:val="18"/>
                <w:color w:val="auto"/>
              </w:rPr>
              <w:t>Organization; Powers</w:t>
            </w:r>
          </w:p>
        </w:tc>
        <w:tc>
          <w:tcPr>
            <w:tcW w:w="24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24"/>
        </w:trPr>
        <w:tc>
          <w:tcPr>
            <w:tcW w:w="1620" w:type="dxa"/>
            <w:vAlign w:val="bottom"/>
            <w:gridSpan w:val="2"/>
          </w:tcPr>
          <w:p>
            <w:pPr>
              <w:ind w:left="360"/>
              <w:spacing w:after="0"/>
              <w:rPr>
                <w:sz w:val="20"/>
                <w:szCs w:val="20"/>
                <w:color w:val="auto"/>
              </w:rPr>
            </w:pPr>
            <w:r>
              <w:rPr>
                <w:rFonts w:ascii="Arial" w:cs="Arial" w:eastAsia="Arial" w:hAnsi="Arial"/>
                <w:sz w:val="18"/>
                <w:szCs w:val="18"/>
                <w:color w:val="auto"/>
                <w:w w:val="99"/>
              </w:rPr>
              <w:t>SECTION 3.02.</w:t>
            </w:r>
          </w:p>
        </w:tc>
        <w:tc>
          <w:tcPr>
            <w:tcW w:w="7100" w:type="dxa"/>
            <w:vAlign w:val="bottom"/>
          </w:tcPr>
          <w:p>
            <w:pPr>
              <w:ind w:left="100"/>
              <w:spacing w:after="0"/>
              <w:rPr>
                <w:sz w:val="20"/>
                <w:szCs w:val="20"/>
                <w:color w:val="auto"/>
              </w:rPr>
            </w:pPr>
            <w:r>
              <w:rPr>
                <w:rFonts w:ascii="Arial" w:cs="Arial" w:eastAsia="Arial" w:hAnsi="Arial"/>
                <w:sz w:val="18"/>
                <w:szCs w:val="18"/>
                <w:color w:val="auto"/>
              </w:rPr>
              <w:t>Authorization; Enforceability</w:t>
            </w:r>
          </w:p>
        </w:tc>
        <w:tc>
          <w:tcPr>
            <w:tcW w:w="24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65"/>
        </w:trPr>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100" w:type="dxa"/>
            <w:vAlign w:val="bottom"/>
          </w:tcPr>
          <w:p>
            <w:pPr>
              <w:ind w:left="3920"/>
              <w:spacing w:after="0"/>
              <w:rPr>
                <w:sz w:val="20"/>
                <w:szCs w:val="20"/>
                <w:color w:val="auto"/>
              </w:rPr>
            </w:pPr>
            <w:r>
              <w:rPr>
                <w:rFonts w:ascii="Arial" w:cs="Arial" w:eastAsia="Arial" w:hAnsi="Arial"/>
                <w:sz w:val="18"/>
                <w:szCs w:val="18"/>
                <w:color w:val="auto"/>
              </w:rPr>
              <w:t>-i-</w:t>
            </w:r>
          </w:p>
        </w:tc>
        <w:tc>
          <w:tcPr>
            <w:tcW w:w="24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140"/>
          </w:cols>
          <w:pgMar w:left="32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7" w:name="page8"/>
    <w:bookmarkEnd w:id="7"/>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TABLE OF CONTENTS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(continued)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0" w:type="dxa"/>
            <w:vAlign w:val="bottom"/>
          </w:tcPr>
          <w:p>
            <w:pPr>
              <w:spacing w:after="0"/>
              <w:rPr>
                <w:sz w:val="16"/>
                <w:szCs w:val="16"/>
                <w:color w:val="auto"/>
              </w:rPr>
            </w:pPr>
          </w:p>
        </w:tc>
        <w:tc>
          <w:tcPr>
            <w:tcW w:w="25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1620" w:type="dxa"/>
            <w:vAlign w:val="bottom"/>
            <w:gridSpan w:val="2"/>
          </w:tcPr>
          <w:p>
            <w:pPr>
              <w:ind w:left="360"/>
              <w:spacing w:after="0"/>
              <w:rPr>
                <w:sz w:val="20"/>
                <w:szCs w:val="20"/>
                <w:color w:val="auto"/>
              </w:rPr>
            </w:pPr>
            <w:r>
              <w:rPr>
                <w:rFonts w:ascii="Arial" w:cs="Arial" w:eastAsia="Arial" w:hAnsi="Arial"/>
                <w:sz w:val="18"/>
                <w:szCs w:val="18"/>
                <w:color w:val="auto"/>
              </w:rPr>
              <w:t>SECTION 3.03</w:t>
            </w:r>
          </w:p>
        </w:tc>
        <w:tc>
          <w:tcPr>
            <w:tcW w:w="7000" w:type="dxa"/>
            <w:vAlign w:val="bottom"/>
          </w:tcPr>
          <w:p>
            <w:pPr>
              <w:ind w:left="100"/>
              <w:spacing w:after="0"/>
              <w:rPr>
                <w:sz w:val="20"/>
                <w:szCs w:val="20"/>
                <w:color w:val="auto"/>
              </w:rPr>
            </w:pPr>
            <w:r>
              <w:rPr>
                <w:rFonts w:ascii="Arial" w:cs="Arial" w:eastAsia="Arial" w:hAnsi="Arial"/>
                <w:sz w:val="18"/>
                <w:szCs w:val="18"/>
                <w:color w:val="auto"/>
              </w:rPr>
              <w:t>Governmental Approvals; No Conflicts</w:t>
            </w:r>
          </w:p>
        </w:tc>
        <w:tc>
          <w:tcPr>
            <w:tcW w:w="25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24"/>
        </w:trPr>
        <w:tc>
          <w:tcPr>
            <w:tcW w:w="1620" w:type="dxa"/>
            <w:vAlign w:val="bottom"/>
            <w:gridSpan w:val="2"/>
          </w:tcPr>
          <w:p>
            <w:pPr>
              <w:ind w:left="360"/>
              <w:spacing w:after="0"/>
              <w:rPr>
                <w:sz w:val="20"/>
                <w:szCs w:val="20"/>
                <w:color w:val="auto"/>
              </w:rPr>
            </w:pPr>
            <w:r>
              <w:rPr>
                <w:rFonts w:ascii="Arial" w:cs="Arial" w:eastAsia="Arial" w:hAnsi="Arial"/>
                <w:sz w:val="18"/>
                <w:szCs w:val="18"/>
                <w:color w:val="auto"/>
                <w:w w:val="99"/>
              </w:rPr>
              <w:t>SECTION 3.04.</w:t>
            </w:r>
          </w:p>
        </w:tc>
        <w:tc>
          <w:tcPr>
            <w:tcW w:w="7000" w:type="dxa"/>
            <w:vAlign w:val="bottom"/>
          </w:tcPr>
          <w:p>
            <w:pPr>
              <w:ind w:left="100"/>
              <w:spacing w:after="0"/>
              <w:rPr>
                <w:sz w:val="20"/>
                <w:szCs w:val="20"/>
                <w:color w:val="auto"/>
              </w:rPr>
            </w:pPr>
            <w:r>
              <w:rPr>
                <w:rFonts w:ascii="Arial" w:cs="Arial" w:eastAsia="Arial" w:hAnsi="Arial"/>
                <w:sz w:val="18"/>
                <w:szCs w:val="18"/>
                <w:color w:val="auto"/>
              </w:rPr>
              <w:t>Financial Condition; No Material Adverse Change</w:t>
            </w:r>
          </w:p>
        </w:tc>
        <w:tc>
          <w:tcPr>
            <w:tcW w:w="25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24"/>
        </w:trPr>
        <w:tc>
          <w:tcPr>
            <w:tcW w:w="1620" w:type="dxa"/>
            <w:vAlign w:val="bottom"/>
            <w:gridSpan w:val="2"/>
          </w:tcPr>
          <w:p>
            <w:pPr>
              <w:ind w:left="360"/>
              <w:spacing w:after="0"/>
              <w:rPr>
                <w:sz w:val="20"/>
                <w:szCs w:val="20"/>
                <w:color w:val="auto"/>
              </w:rPr>
            </w:pPr>
            <w:r>
              <w:rPr>
                <w:rFonts w:ascii="Arial" w:cs="Arial" w:eastAsia="Arial" w:hAnsi="Arial"/>
                <w:sz w:val="18"/>
                <w:szCs w:val="18"/>
                <w:color w:val="auto"/>
                <w:w w:val="99"/>
              </w:rPr>
              <w:t>SECTION 3.05.</w:t>
            </w:r>
          </w:p>
        </w:tc>
        <w:tc>
          <w:tcPr>
            <w:tcW w:w="7000" w:type="dxa"/>
            <w:vAlign w:val="bottom"/>
          </w:tcPr>
          <w:p>
            <w:pPr>
              <w:ind w:left="100"/>
              <w:spacing w:after="0"/>
              <w:rPr>
                <w:sz w:val="20"/>
                <w:szCs w:val="20"/>
                <w:color w:val="auto"/>
              </w:rPr>
            </w:pPr>
            <w:r>
              <w:rPr>
                <w:rFonts w:ascii="Arial" w:cs="Arial" w:eastAsia="Arial" w:hAnsi="Arial"/>
                <w:sz w:val="18"/>
                <w:szCs w:val="18"/>
                <w:color w:val="auto"/>
              </w:rPr>
              <w:t>Litigation</w:t>
            </w:r>
          </w:p>
        </w:tc>
        <w:tc>
          <w:tcPr>
            <w:tcW w:w="25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24"/>
        </w:trPr>
        <w:tc>
          <w:tcPr>
            <w:tcW w:w="1620" w:type="dxa"/>
            <w:vAlign w:val="bottom"/>
            <w:gridSpan w:val="2"/>
          </w:tcPr>
          <w:p>
            <w:pPr>
              <w:ind w:left="360"/>
              <w:spacing w:after="0"/>
              <w:rPr>
                <w:sz w:val="20"/>
                <w:szCs w:val="20"/>
                <w:color w:val="auto"/>
              </w:rPr>
            </w:pPr>
            <w:r>
              <w:rPr>
                <w:rFonts w:ascii="Arial" w:cs="Arial" w:eastAsia="Arial" w:hAnsi="Arial"/>
                <w:sz w:val="18"/>
                <w:szCs w:val="18"/>
                <w:color w:val="auto"/>
                <w:w w:val="99"/>
              </w:rPr>
              <w:t>SECTION 3.06.</w:t>
            </w:r>
          </w:p>
        </w:tc>
        <w:tc>
          <w:tcPr>
            <w:tcW w:w="7000" w:type="dxa"/>
            <w:vAlign w:val="bottom"/>
          </w:tcPr>
          <w:p>
            <w:pPr>
              <w:ind w:left="100"/>
              <w:spacing w:after="0"/>
              <w:rPr>
                <w:sz w:val="20"/>
                <w:szCs w:val="20"/>
                <w:color w:val="auto"/>
              </w:rPr>
            </w:pPr>
            <w:r>
              <w:rPr>
                <w:rFonts w:ascii="Arial" w:cs="Arial" w:eastAsia="Arial" w:hAnsi="Arial"/>
                <w:sz w:val="18"/>
                <w:szCs w:val="18"/>
                <w:color w:val="auto"/>
              </w:rPr>
              <w:t>Compliance with Laws and Agreements</w:t>
            </w:r>
          </w:p>
        </w:tc>
        <w:tc>
          <w:tcPr>
            <w:tcW w:w="25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24"/>
        </w:trPr>
        <w:tc>
          <w:tcPr>
            <w:tcW w:w="1620" w:type="dxa"/>
            <w:vAlign w:val="bottom"/>
            <w:gridSpan w:val="2"/>
          </w:tcPr>
          <w:p>
            <w:pPr>
              <w:ind w:left="360"/>
              <w:spacing w:after="0"/>
              <w:rPr>
                <w:sz w:val="20"/>
                <w:szCs w:val="20"/>
                <w:color w:val="auto"/>
              </w:rPr>
            </w:pPr>
            <w:r>
              <w:rPr>
                <w:rFonts w:ascii="Arial" w:cs="Arial" w:eastAsia="Arial" w:hAnsi="Arial"/>
                <w:sz w:val="18"/>
                <w:szCs w:val="18"/>
                <w:color w:val="auto"/>
                <w:w w:val="99"/>
              </w:rPr>
              <w:t>SECTION 3.07.</w:t>
            </w:r>
          </w:p>
        </w:tc>
        <w:tc>
          <w:tcPr>
            <w:tcW w:w="7000" w:type="dxa"/>
            <w:vAlign w:val="bottom"/>
          </w:tcPr>
          <w:p>
            <w:pPr>
              <w:ind w:left="100"/>
              <w:spacing w:after="0"/>
              <w:rPr>
                <w:sz w:val="20"/>
                <w:szCs w:val="20"/>
                <w:color w:val="auto"/>
              </w:rPr>
            </w:pPr>
            <w:r>
              <w:rPr>
                <w:rFonts w:ascii="Arial" w:cs="Arial" w:eastAsia="Arial" w:hAnsi="Arial"/>
                <w:sz w:val="18"/>
                <w:szCs w:val="18"/>
                <w:color w:val="auto"/>
              </w:rPr>
              <w:t>Taxes</w:t>
            </w:r>
          </w:p>
        </w:tc>
        <w:tc>
          <w:tcPr>
            <w:tcW w:w="25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24"/>
        </w:trPr>
        <w:tc>
          <w:tcPr>
            <w:tcW w:w="1620" w:type="dxa"/>
            <w:vAlign w:val="bottom"/>
            <w:gridSpan w:val="2"/>
          </w:tcPr>
          <w:p>
            <w:pPr>
              <w:ind w:left="360"/>
              <w:spacing w:after="0"/>
              <w:rPr>
                <w:sz w:val="20"/>
                <w:szCs w:val="20"/>
                <w:color w:val="auto"/>
              </w:rPr>
            </w:pPr>
            <w:r>
              <w:rPr>
                <w:rFonts w:ascii="Arial" w:cs="Arial" w:eastAsia="Arial" w:hAnsi="Arial"/>
                <w:sz w:val="18"/>
                <w:szCs w:val="18"/>
                <w:color w:val="auto"/>
                <w:w w:val="99"/>
              </w:rPr>
              <w:t>SECTION 3.08.</w:t>
            </w:r>
          </w:p>
        </w:tc>
        <w:tc>
          <w:tcPr>
            <w:tcW w:w="7000" w:type="dxa"/>
            <w:vAlign w:val="bottom"/>
          </w:tcPr>
          <w:p>
            <w:pPr>
              <w:ind w:left="100"/>
              <w:spacing w:after="0"/>
              <w:rPr>
                <w:sz w:val="20"/>
                <w:szCs w:val="20"/>
                <w:color w:val="auto"/>
              </w:rPr>
            </w:pPr>
            <w:r>
              <w:rPr>
                <w:rFonts w:ascii="Arial" w:cs="Arial" w:eastAsia="Arial" w:hAnsi="Arial"/>
                <w:sz w:val="18"/>
                <w:szCs w:val="18"/>
                <w:color w:val="auto"/>
              </w:rPr>
              <w:t>ERISA</w:t>
            </w:r>
          </w:p>
        </w:tc>
        <w:tc>
          <w:tcPr>
            <w:tcW w:w="25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24"/>
        </w:trPr>
        <w:tc>
          <w:tcPr>
            <w:tcW w:w="1620" w:type="dxa"/>
            <w:vAlign w:val="bottom"/>
            <w:gridSpan w:val="2"/>
          </w:tcPr>
          <w:p>
            <w:pPr>
              <w:ind w:left="360"/>
              <w:spacing w:after="0"/>
              <w:rPr>
                <w:sz w:val="20"/>
                <w:szCs w:val="20"/>
                <w:color w:val="auto"/>
              </w:rPr>
            </w:pPr>
            <w:r>
              <w:rPr>
                <w:rFonts w:ascii="Arial" w:cs="Arial" w:eastAsia="Arial" w:hAnsi="Arial"/>
                <w:sz w:val="18"/>
                <w:szCs w:val="18"/>
                <w:color w:val="auto"/>
                <w:w w:val="99"/>
              </w:rPr>
              <w:t>SECTION 3.09.</w:t>
            </w:r>
          </w:p>
        </w:tc>
        <w:tc>
          <w:tcPr>
            <w:tcW w:w="7000" w:type="dxa"/>
            <w:vAlign w:val="bottom"/>
          </w:tcPr>
          <w:p>
            <w:pPr>
              <w:ind w:left="100"/>
              <w:spacing w:after="0"/>
              <w:rPr>
                <w:sz w:val="20"/>
                <w:szCs w:val="20"/>
                <w:color w:val="auto"/>
              </w:rPr>
            </w:pPr>
            <w:r>
              <w:rPr>
                <w:rFonts w:ascii="Arial" w:cs="Arial" w:eastAsia="Arial" w:hAnsi="Arial"/>
                <w:sz w:val="18"/>
                <w:szCs w:val="18"/>
                <w:color w:val="auto"/>
              </w:rPr>
              <w:t>Disclosure</w:t>
            </w:r>
          </w:p>
        </w:tc>
        <w:tc>
          <w:tcPr>
            <w:tcW w:w="25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24"/>
        </w:trPr>
        <w:tc>
          <w:tcPr>
            <w:tcW w:w="1620" w:type="dxa"/>
            <w:vAlign w:val="bottom"/>
            <w:gridSpan w:val="2"/>
          </w:tcPr>
          <w:p>
            <w:pPr>
              <w:ind w:left="360"/>
              <w:spacing w:after="0"/>
              <w:rPr>
                <w:sz w:val="20"/>
                <w:szCs w:val="20"/>
                <w:color w:val="auto"/>
              </w:rPr>
            </w:pPr>
            <w:r>
              <w:rPr>
                <w:rFonts w:ascii="Arial" w:cs="Arial" w:eastAsia="Arial" w:hAnsi="Arial"/>
                <w:sz w:val="18"/>
                <w:szCs w:val="18"/>
                <w:color w:val="auto"/>
                <w:w w:val="99"/>
              </w:rPr>
              <w:t>SECTION 3.10.</w:t>
            </w:r>
          </w:p>
        </w:tc>
        <w:tc>
          <w:tcPr>
            <w:tcW w:w="7000" w:type="dxa"/>
            <w:vAlign w:val="bottom"/>
          </w:tcPr>
          <w:p>
            <w:pPr>
              <w:ind w:left="100"/>
              <w:spacing w:after="0"/>
              <w:rPr>
                <w:sz w:val="20"/>
                <w:szCs w:val="20"/>
                <w:color w:val="auto"/>
              </w:rPr>
            </w:pPr>
            <w:r>
              <w:rPr>
                <w:rFonts w:ascii="Arial" w:cs="Arial" w:eastAsia="Arial" w:hAnsi="Arial"/>
                <w:sz w:val="18"/>
                <w:szCs w:val="18"/>
                <w:color w:val="auto"/>
              </w:rPr>
              <w:t>Investment Company Act; Margin Regulations</w:t>
            </w:r>
          </w:p>
        </w:tc>
        <w:tc>
          <w:tcPr>
            <w:tcW w:w="25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24"/>
        </w:trPr>
        <w:tc>
          <w:tcPr>
            <w:tcW w:w="1620" w:type="dxa"/>
            <w:vAlign w:val="bottom"/>
            <w:gridSpan w:val="2"/>
          </w:tcPr>
          <w:p>
            <w:pPr>
              <w:ind w:left="360"/>
              <w:spacing w:after="0"/>
              <w:rPr>
                <w:sz w:val="20"/>
                <w:szCs w:val="20"/>
                <w:color w:val="auto"/>
              </w:rPr>
            </w:pPr>
            <w:r>
              <w:rPr>
                <w:rFonts w:ascii="Arial" w:cs="Arial" w:eastAsia="Arial" w:hAnsi="Arial"/>
                <w:sz w:val="18"/>
                <w:szCs w:val="18"/>
                <w:color w:val="auto"/>
                <w:w w:val="99"/>
              </w:rPr>
              <w:t>SECTION 3.11.</w:t>
            </w:r>
          </w:p>
        </w:tc>
        <w:tc>
          <w:tcPr>
            <w:tcW w:w="7000" w:type="dxa"/>
            <w:vAlign w:val="bottom"/>
          </w:tcPr>
          <w:p>
            <w:pPr>
              <w:ind w:left="100"/>
              <w:spacing w:after="0"/>
              <w:rPr>
                <w:sz w:val="20"/>
                <w:szCs w:val="20"/>
                <w:color w:val="auto"/>
              </w:rPr>
            </w:pPr>
            <w:r>
              <w:rPr>
                <w:rFonts w:ascii="Arial" w:cs="Arial" w:eastAsia="Arial" w:hAnsi="Arial"/>
                <w:sz w:val="18"/>
                <w:szCs w:val="18"/>
                <w:color w:val="auto"/>
              </w:rPr>
              <w:t>Material Agreements and Liens</w:t>
            </w:r>
          </w:p>
        </w:tc>
        <w:tc>
          <w:tcPr>
            <w:tcW w:w="25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24"/>
        </w:trPr>
        <w:tc>
          <w:tcPr>
            <w:tcW w:w="1620" w:type="dxa"/>
            <w:vAlign w:val="bottom"/>
            <w:gridSpan w:val="2"/>
          </w:tcPr>
          <w:p>
            <w:pPr>
              <w:ind w:left="360"/>
              <w:spacing w:after="0"/>
              <w:rPr>
                <w:sz w:val="20"/>
                <w:szCs w:val="20"/>
                <w:color w:val="auto"/>
              </w:rPr>
            </w:pPr>
            <w:r>
              <w:rPr>
                <w:rFonts w:ascii="Arial" w:cs="Arial" w:eastAsia="Arial" w:hAnsi="Arial"/>
                <w:sz w:val="18"/>
                <w:szCs w:val="18"/>
                <w:color w:val="auto"/>
                <w:w w:val="99"/>
              </w:rPr>
              <w:t>SECTION 3.12.</w:t>
            </w:r>
          </w:p>
        </w:tc>
        <w:tc>
          <w:tcPr>
            <w:tcW w:w="7000" w:type="dxa"/>
            <w:vAlign w:val="bottom"/>
          </w:tcPr>
          <w:p>
            <w:pPr>
              <w:ind w:left="100"/>
              <w:spacing w:after="0"/>
              <w:rPr>
                <w:sz w:val="20"/>
                <w:szCs w:val="20"/>
                <w:color w:val="auto"/>
              </w:rPr>
            </w:pPr>
            <w:r>
              <w:rPr>
                <w:rFonts w:ascii="Arial" w:cs="Arial" w:eastAsia="Arial" w:hAnsi="Arial"/>
                <w:sz w:val="18"/>
                <w:szCs w:val="18"/>
                <w:color w:val="auto"/>
              </w:rPr>
              <w:t>Subsidiaries and Investments</w:t>
            </w:r>
          </w:p>
        </w:tc>
        <w:tc>
          <w:tcPr>
            <w:tcW w:w="25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24"/>
        </w:trPr>
        <w:tc>
          <w:tcPr>
            <w:tcW w:w="1620" w:type="dxa"/>
            <w:vAlign w:val="bottom"/>
            <w:gridSpan w:val="2"/>
          </w:tcPr>
          <w:p>
            <w:pPr>
              <w:ind w:left="360"/>
              <w:spacing w:after="0"/>
              <w:rPr>
                <w:sz w:val="20"/>
                <w:szCs w:val="20"/>
                <w:color w:val="auto"/>
              </w:rPr>
            </w:pPr>
            <w:r>
              <w:rPr>
                <w:rFonts w:ascii="Arial" w:cs="Arial" w:eastAsia="Arial" w:hAnsi="Arial"/>
                <w:sz w:val="18"/>
                <w:szCs w:val="18"/>
                <w:color w:val="auto"/>
                <w:w w:val="99"/>
              </w:rPr>
              <w:t>SECTION 3.13.</w:t>
            </w:r>
          </w:p>
        </w:tc>
        <w:tc>
          <w:tcPr>
            <w:tcW w:w="7000" w:type="dxa"/>
            <w:vAlign w:val="bottom"/>
          </w:tcPr>
          <w:p>
            <w:pPr>
              <w:ind w:left="100"/>
              <w:spacing w:after="0"/>
              <w:rPr>
                <w:sz w:val="20"/>
                <w:szCs w:val="20"/>
                <w:color w:val="auto"/>
              </w:rPr>
            </w:pPr>
            <w:r>
              <w:rPr>
                <w:rFonts w:ascii="Arial" w:cs="Arial" w:eastAsia="Arial" w:hAnsi="Arial"/>
                <w:sz w:val="18"/>
                <w:szCs w:val="18"/>
                <w:color w:val="auto"/>
              </w:rPr>
              <w:t>Properties</w:t>
            </w:r>
          </w:p>
        </w:tc>
        <w:tc>
          <w:tcPr>
            <w:tcW w:w="25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24"/>
        </w:trPr>
        <w:tc>
          <w:tcPr>
            <w:tcW w:w="1620" w:type="dxa"/>
            <w:vAlign w:val="bottom"/>
            <w:gridSpan w:val="2"/>
          </w:tcPr>
          <w:p>
            <w:pPr>
              <w:ind w:left="360"/>
              <w:spacing w:after="0"/>
              <w:rPr>
                <w:sz w:val="20"/>
                <w:szCs w:val="20"/>
                <w:color w:val="auto"/>
              </w:rPr>
            </w:pPr>
            <w:r>
              <w:rPr>
                <w:rFonts w:ascii="Arial" w:cs="Arial" w:eastAsia="Arial" w:hAnsi="Arial"/>
                <w:sz w:val="18"/>
                <w:szCs w:val="18"/>
                <w:color w:val="auto"/>
                <w:w w:val="99"/>
              </w:rPr>
              <w:t>SECTION 3.14.</w:t>
            </w:r>
          </w:p>
        </w:tc>
        <w:tc>
          <w:tcPr>
            <w:tcW w:w="7000" w:type="dxa"/>
            <w:vAlign w:val="bottom"/>
          </w:tcPr>
          <w:p>
            <w:pPr>
              <w:ind w:left="100"/>
              <w:spacing w:after="0"/>
              <w:rPr>
                <w:sz w:val="20"/>
                <w:szCs w:val="20"/>
                <w:color w:val="auto"/>
              </w:rPr>
            </w:pPr>
            <w:r>
              <w:rPr>
                <w:rFonts w:ascii="Arial" w:cs="Arial" w:eastAsia="Arial" w:hAnsi="Arial"/>
                <w:sz w:val="18"/>
                <w:szCs w:val="18"/>
                <w:color w:val="auto"/>
              </w:rPr>
              <w:t>Affiliate Agreements</w:t>
            </w:r>
          </w:p>
        </w:tc>
        <w:tc>
          <w:tcPr>
            <w:tcW w:w="25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24"/>
        </w:trPr>
        <w:tc>
          <w:tcPr>
            <w:tcW w:w="1620" w:type="dxa"/>
            <w:vAlign w:val="bottom"/>
            <w:gridSpan w:val="2"/>
          </w:tcPr>
          <w:p>
            <w:pPr>
              <w:ind w:left="360"/>
              <w:spacing w:after="0"/>
              <w:rPr>
                <w:sz w:val="20"/>
                <w:szCs w:val="20"/>
                <w:color w:val="auto"/>
              </w:rPr>
            </w:pPr>
            <w:r>
              <w:rPr>
                <w:rFonts w:ascii="Arial" w:cs="Arial" w:eastAsia="Arial" w:hAnsi="Arial"/>
                <w:sz w:val="18"/>
                <w:szCs w:val="18"/>
                <w:color w:val="auto"/>
                <w:w w:val="99"/>
              </w:rPr>
              <w:t>SECTION 3.15.</w:t>
            </w:r>
          </w:p>
        </w:tc>
        <w:tc>
          <w:tcPr>
            <w:tcW w:w="7000" w:type="dxa"/>
            <w:vAlign w:val="bottom"/>
          </w:tcPr>
          <w:p>
            <w:pPr>
              <w:ind w:left="100"/>
              <w:spacing w:after="0"/>
              <w:rPr>
                <w:sz w:val="20"/>
                <w:szCs w:val="20"/>
                <w:color w:val="auto"/>
              </w:rPr>
            </w:pPr>
            <w:r>
              <w:rPr>
                <w:rFonts w:ascii="Arial" w:cs="Arial" w:eastAsia="Arial" w:hAnsi="Arial"/>
                <w:sz w:val="18"/>
                <w:szCs w:val="18"/>
                <w:color w:val="auto"/>
              </w:rPr>
              <w:t>Sanctions</w:t>
            </w:r>
          </w:p>
        </w:tc>
        <w:tc>
          <w:tcPr>
            <w:tcW w:w="25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24"/>
        </w:trPr>
        <w:tc>
          <w:tcPr>
            <w:tcW w:w="1620" w:type="dxa"/>
            <w:vAlign w:val="bottom"/>
            <w:gridSpan w:val="2"/>
          </w:tcPr>
          <w:p>
            <w:pPr>
              <w:ind w:left="360"/>
              <w:spacing w:after="0"/>
              <w:rPr>
                <w:sz w:val="20"/>
                <w:szCs w:val="20"/>
                <w:color w:val="auto"/>
              </w:rPr>
            </w:pPr>
            <w:r>
              <w:rPr>
                <w:rFonts w:ascii="Arial" w:cs="Arial" w:eastAsia="Arial" w:hAnsi="Arial"/>
                <w:sz w:val="18"/>
                <w:szCs w:val="18"/>
                <w:color w:val="auto"/>
                <w:w w:val="99"/>
              </w:rPr>
              <w:t>SECTION 3.16.</w:t>
            </w:r>
          </w:p>
        </w:tc>
        <w:tc>
          <w:tcPr>
            <w:tcW w:w="7000" w:type="dxa"/>
            <w:vAlign w:val="bottom"/>
          </w:tcPr>
          <w:p>
            <w:pPr>
              <w:ind w:left="100"/>
              <w:spacing w:after="0"/>
              <w:rPr>
                <w:sz w:val="20"/>
                <w:szCs w:val="20"/>
                <w:color w:val="auto"/>
              </w:rPr>
            </w:pPr>
            <w:r>
              <w:rPr>
                <w:rFonts w:ascii="Arial" w:cs="Arial" w:eastAsia="Arial" w:hAnsi="Arial"/>
                <w:sz w:val="18"/>
                <w:szCs w:val="18"/>
                <w:color w:val="auto"/>
              </w:rPr>
              <w:t>Patriot Act</w:t>
            </w:r>
          </w:p>
        </w:tc>
        <w:tc>
          <w:tcPr>
            <w:tcW w:w="25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24"/>
        </w:trPr>
        <w:tc>
          <w:tcPr>
            <w:tcW w:w="1620" w:type="dxa"/>
            <w:vAlign w:val="bottom"/>
            <w:gridSpan w:val="2"/>
          </w:tcPr>
          <w:p>
            <w:pPr>
              <w:ind w:left="360"/>
              <w:spacing w:after="0"/>
              <w:rPr>
                <w:sz w:val="20"/>
                <w:szCs w:val="20"/>
                <w:color w:val="auto"/>
              </w:rPr>
            </w:pPr>
            <w:r>
              <w:rPr>
                <w:rFonts w:ascii="Arial" w:cs="Arial" w:eastAsia="Arial" w:hAnsi="Arial"/>
                <w:sz w:val="18"/>
                <w:szCs w:val="18"/>
                <w:color w:val="auto"/>
                <w:w w:val="99"/>
              </w:rPr>
              <w:t>SECTION 3.17.</w:t>
            </w:r>
          </w:p>
        </w:tc>
        <w:tc>
          <w:tcPr>
            <w:tcW w:w="7000" w:type="dxa"/>
            <w:vAlign w:val="bottom"/>
          </w:tcPr>
          <w:p>
            <w:pPr>
              <w:ind w:left="100"/>
              <w:spacing w:after="0"/>
              <w:rPr>
                <w:sz w:val="20"/>
                <w:szCs w:val="20"/>
                <w:color w:val="auto"/>
              </w:rPr>
            </w:pPr>
            <w:r>
              <w:rPr>
                <w:rFonts w:ascii="Arial" w:cs="Arial" w:eastAsia="Arial" w:hAnsi="Arial"/>
                <w:sz w:val="18"/>
                <w:szCs w:val="18"/>
                <w:color w:val="auto"/>
              </w:rPr>
              <w:t>Collateral Documents</w:t>
            </w:r>
          </w:p>
        </w:tc>
        <w:tc>
          <w:tcPr>
            <w:tcW w:w="25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ARTICLE IV</w:t>
            </w:r>
          </w:p>
        </w:tc>
        <w:tc>
          <w:tcPr>
            <w:tcW w:w="7520" w:type="dxa"/>
            <w:vAlign w:val="bottom"/>
            <w:gridSpan w:val="2"/>
          </w:tcPr>
          <w:p>
            <w:pPr>
              <w:ind w:left="120"/>
              <w:spacing w:after="0"/>
              <w:rPr>
                <w:sz w:val="20"/>
                <w:szCs w:val="20"/>
                <w:color w:val="auto"/>
              </w:rPr>
            </w:pPr>
            <w:r>
              <w:rPr>
                <w:rFonts w:ascii="Arial" w:cs="Arial" w:eastAsia="Arial" w:hAnsi="Arial"/>
                <w:sz w:val="18"/>
                <w:szCs w:val="18"/>
                <w:color w:val="auto"/>
              </w:rPr>
              <w:t>CONDITIONS</w:t>
            </w:r>
          </w:p>
        </w:tc>
        <w:tc>
          <w:tcPr>
            <w:tcW w:w="25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24"/>
        </w:trPr>
        <w:tc>
          <w:tcPr>
            <w:tcW w:w="1620" w:type="dxa"/>
            <w:vAlign w:val="bottom"/>
            <w:gridSpan w:val="2"/>
          </w:tcPr>
          <w:p>
            <w:pPr>
              <w:ind w:left="360"/>
              <w:spacing w:after="0"/>
              <w:rPr>
                <w:sz w:val="20"/>
                <w:szCs w:val="20"/>
                <w:color w:val="auto"/>
              </w:rPr>
            </w:pPr>
            <w:r>
              <w:rPr>
                <w:rFonts w:ascii="Arial" w:cs="Arial" w:eastAsia="Arial" w:hAnsi="Arial"/>
                <w:sz w:val="18"/>
                <w:szCs w:val="18"/>
                <w:color w:val="auto"/>
                <w:w w:val="99"/>
              </w:rPr>
              <w:t>SECTION 4.01.</w:t>
            </w:r>
          </w:p>
        </w:tc>
        <w:tc>
          <w:tcPr>
            <w:tcW w:w="7000" w:type="dxa"/>
            <w:vAlign w:val="bottom"/>
          </w:tcPr>
          <w:p>
            <w:pPr>
              <w:ind w:left="100"/>
              <w:spacing w:after="0"/>
              <w:rPr>
                <w:sz w:val="20"/>
                <w:szCs w:val="20"/>
                <w:color w:val="auto"/>
              </w:rPr>
            </w:pPr>
            <w:r>
              <w:rPr>
                <w:rFonts w:ascii="Arial" w:cs="Arial" w:eastAsia="Arial" w:hAnsi="Arial"/>
                <w:sz w:val="18"/>
                <w:szCs w:val="18"/>
                <w:color w:val="auto"/>
              </w:rPr>
              <w:t>Effective Date</w:t>
            </w:r>
          </w:p>
        </w:tc>
        <w:tc>
          <w:tcPr>
            <w:tcW w:w="25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24"/>
        </w:trPr>
        <w:tc>
          <w:tcPr>
            <w:tcW w:w="1620" w:type="dxa"/>
            <w:vAlign w:val="bottom"/>
            <w:gridSpan w:val="2"/>
          </w:tcPr>
          <w:p>
            <w:pPr>
              <w:ind w:left="360"/>
              <w:spacing w:after="0"/>
              <w:rPr>
                <w:sz w:val="20"/>
                <w:szCs w:val="20"/>
                <w:color w:val="auto"/>
              </w:rPr>
            </w:pPr>
            <w:r>
              <w:rPr>
                <w:rFonts w:ascii="Arial" w:cs="Arial" w:eastAsia="Arial" w:hAnsi="Arial"/>
                <w:sz w:val="18"/>
                <w:szCs w:val="18"/>
                <w:color w:val="auto"/>
                <w:w w:val="99"/>
              </w:rPr>
              <w:t>SECTION 4.02.</w:t>
            </w:r>
          </w:p>
        </w:tc>
        <w:tc>
          <w:tcPr>
            <w:tcW w:w="7000" w:type="dxa"/>
            <w:vAlign w:val="bottom"/>
          </w:tcPr>
          <w:p>
            <w:pPr>
              <w:ind w:left="100"/>
              <w:spacing w:after="0"/>
              <w:rPr>
                <w:sz w:val="20"/>
                <w:szCs w:val="20"/>
                <w:color w:val="auto"/>
              </w:rPr>
            </w:pPr>
            <w:r>
              <w:rPr>
                <w:rFonts w:ascii="Arial" w:cs="Arial" w:eastAsia="Arial" w:hAnsi="Arial"/>
                <w:sz w:val="18"/>
                <w:szCs w:val="18"/>
                <w:color w:val="auto"/>
              </w:rPr>
              <w:t>Each Credit Event</w:t>
            </w:r>
          </w:p>
        </w:tc>
        <w:tc>
          <w:tcPr>
            <w:tcW w:w="25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ARTICLE V</w:t>
            </w:r>
          </w:p>
        </w:tc>
        <w:tc>
          <w:tcPr>
            <w:tcW w:w="7520" w:type="dxa"/>
            <w:vAlign w:val="bottom"/>
            <w:gridSpan w:val="2"/>
          </w:tcPr>
          <w:p>
            <w:pPr>
              <w:ind w:left="120"/>
              <w:spacing w:after="0"/>
              <w:rPr>
                <w:sz w:val="20"/>
                <w:szCs w:val="20"/>
                <w:color w:val="auto"/>
              </w:rPr>
            </w:pPr>
            <w:r>
              <w:rPr>
                <w:rFonts w:ascii="Arial" w:cs="Arial" w:eastAsia="Arial" w:hAnsi="Arial"/>
                <w:sz w:val="18"/>
                <w:szCs w:val="18"/>
                <w:color w:val="auto"/>
              </w:rPr>
              <w:t>AFFIRMATIVE COVENANTS</w:t>
            </w:r>
          </w:p>
        </w:tc>
        <w:tc>
          <w:tcPr>
            <w:tcW w:w="25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24"/>
        </w:trPr>
        <w:tc>
          <w:tcPr>
            <w:tcW w:w="1620" w:type="dxa"/>
            <w:vAlign w:val="bottom"/>
            <w:gridSpan w:val="2"/>
          </w:tcPr>
          <w:p>
            <w:pPr>
              <w:ind w:left="360"/>
              <w:spacing w:after="0"/>
              <w:rPr>
                <w:sz w:val="20"/>
                <w:szCs w:val="20"/>
                <w:color w:val="auto"/>
              </w:rPr>
            </w:pPr>
            <w:r>
              <w:rPr>
                <w:rFonts w:ascii="Arial" w:cs="Arial" w:eastAsia="Arial" w:hAnsi="Arial"/>
                <w:sz w:val="18"/>
                <w:szCs w:val="18"/>
                <w:color w:val="auto"/>
                <w:w w:val="99"/>
              </w:rPr>
              <w:t>SECTION 5.01.</w:t>
            </w:r>
          </w:p>
        </w:tc>
        <w:tc>
          <w:tcPr>
            <w:tcW w:w="7000" w:type="dxa"/>
            <w:vAlign w:val="bottom"/>
          </w:tcPr>
          <w:p>
            <w:pPr>
              <w:ind w:left="100"/>
              <w:spacing w:after="0"/>
              <w:rPr>
                <w:sz w:val="20"/>
                <w:szCs w:val="20"/>
                <w:color w:val="auto"/>
              </w:rPr>
            </w:pPr>
            <w:r>
              <w:rPr>
                <w:rFonts w:ascii="Arial" w:cs="Arial" w:eastAsia="Arial" w:hAnsi="Arial"/>
                <w:sz w:val="18"/>
                <w:szCs w:val="18"/>
                <w:color w:val="auto"/>
              </w:rPr>
              <w:t>Financial Statements and Other Information</w:t>
            </w:r>
          </w:p>
        </w:tc>
        <w:tc>
          <w:tcPr>
            <w:tcW w:w="25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24"/>
        </w:trPr>
        <w:tc>
          <w:tcPr>
            <w:tcW w:w="1620" w:type="dxa"/>
            <w:vAlign w:val="bottom"/>
            <w:gridSpan w:val="2"/>
          </w:tcPr>
          <w:p>
            <w:pPr>
              <w:ind w:left="360"/>
              <w:spacing w:after="0"/>
              <w:rPr>
                <w:sz w:val="20"/>
                <w:szCs w:val="20"/>
                <w:color w:val="auto"/>
              </w:rPr>
            </w:pPr>
            <w:r>
              <w:rPr>
                <w:rFonts w:ascii="Arial" w:cs="Arial" w:eastAsia="Arial" w:hAnsi="Arial"/>
                <w:sz w:val="18"/>
                <w:szCs w:val="18"/>
                <w:color w:val="auto"/>
                <w:w w:val="99"/>
              </w:rPr>
              <w:t>SECTION 5.02.</w:t>
            </w:r>
          </w:p>
        </w:tc>
        <w:tc>
          <w:tcPr>
            <w:tcW w:w="7000" w:type="dxa"/>
            <w:vAlign w:val="bottom"/>
          </w:tcPr>
          <w:p>
            <w:pPr>
              <w:ind w:left="100"/>
              <w:spacing w:after="0"/>
              <w:rPr>
                <w:sz w:val="20"/>
                <w:szCs w:val="20"/>
                <w:color w:val="auto"/>
              </w:rPr>
            </w:pPr>
            <w:r>
              <w:rPr>
                <w:rFonts w:ascii="Arial" w:cs="Arial" w:eastAsia="Arial" w:hAnsi="Arial"/>
                <w:sz w:val="18"/>
                <w:szCs w:val="18"/>
                <w:color w:val="auto"/>
              </w:rPr>
              <w:t>Notices of Material Events</w:t>
            </w:r>
          </w:p>
        </w:tc>
        <w:tc>
          <w:tcPr>
            <w:tcW w:w="25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24"/>
        </w:trPr>
        <w:tc>
          <w:tcPr>
            <w:tcW w:w="1620" w:type="dxa"/>
            <w:vAlign w:val="bottom"/>
            <w:gridSpan w:val="2"/>
          </w:tcPr>
          <w:p>
            <w:pPr>
              <w:ind w:left="360"/>
              <w:spacing w:after="0"/>
              <w:rPr>
                <w:sz w:val="20"/>
                <w:szCs w:val="20"/>
                <w:color w:val="auto"/>
              </w:rPr>
            </w:pPr>
            <w:r>
              <w:rPr>
                <w:rFonts w:ascii="Arial" w:cs="Arial" w:eastAsia="Arial" w:hAnsi="Arial"/>
                <w:sz w:val="18"/>
                <w:szCs w:val="18"/>
                <w:color w:val="auto"/>
                <w:w w:val="99"/>
              </w:rPr>
              <w:t>SECTION 5.03.</w:t>
            </w:r>
          </w:p>
        </w:tc>
        <w:tc>
          <w:tcPr>
            <w:tcW w:w="7000" w:type="dxa"/>
            <w:vAlign w:val="bottom"/>
          </w:tcPr>
          <w:p>
            <w:pPr>
              <w:ind w:left="100"/>
              <w:spacing w:after="0"/>
              <w:rPr>
                <w:sz w:val="20"/>
                <w:szCs w:val="20"/>
                <w:color w:val="auto"/>
              </w:rPr>
            </w:pPr>
            <w:r>
              <w:rPr>
                <w:rFonts w:ascii="Arial" w:cs="Arial" w:eastAsia="Arial" w:hAnsi="Arial"/>
                <w:sz w:val="18"/>
                <w:szCs w:val="18"/>
                <w:color w:val="auto"/>
              </w:rPr>
              <w:t>Existence; Conduct of Business</w:t>
            </w:r>
          </w:p>
        </w:tc>
        <w:tc>
          <w:tcPr>
            <w:tcW w:w="25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24"/>
        </w:trPr>
        <w:tc>
          <w:tcPr>
            <w:tcW w:w="1620" w:type="dxa"/>
            <w:vAlign w:val="bottom"/>
            <w:gridSpan w:val="2"/>
          </w:tcPr>
          <w:p>
            <w:pPr>
              <w:ind w:left="360"/>
              <w:spacing w:after="0"/>
              <w:rPr>
                <w:sz w:val="20"/>
                <w:szCs w:val="20"/>
                <w:color w:val="auto"/>
              </w:rPr>
            </w:pPr>
            <w:r>
              <w:rPr>
                <w:rFonts w:ascii="Arial" w:cs="Arial" w:eastAsia="Arial" w:hAnsi="Arial"/>
                <w:sz w:val="18"/>
                <w:szCs w:val="18"/>
                <w:color w:val="auto"/>
                <w:w w:val="99"/>
              </w:rPr>
              <w:t>SECTION 5.04.</w:t>
            </w:r>
          </w:p>
        </w:tc>
        <w:tc>
          <w:tcPr>
            <w:tcW w:w="7000" w:type="dxa"/>
            <w:vAlign w:val="bottom"/>
          </w:tcPr>
          <w:p>
            <w:pPr>
              <w:ind w:left="100"/>
              <w:spacing w:after="0"/>
              <w:rPr>
                <w:sz w:val="20"/>
                <w:szCs w:val="20"/>
                <w:color w:val="auto"/>
              </w:rPr>
            </w:pPr>
            <w:r>
              <w:rPr>
                <w:rFonts w:ascii="Arial" w:cs="Arial" w:eastAsia="Arial" w:hAnsi="Arial"/>
                <w:sz w:val="18"/>
                <w:szCs w:val="18"/>
                <w:color w:val="auto"/>
              </w:rPr>
              <w:t>Payment of Obligations</w:t>
            </w:r>
          </w:p>
        </w:tc>
        <w:tc>
          <w:tcPr>
            <w:tcW w:w="25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24"/>
        </w:trPr>
        <w:tc>
          <w:tcPr>
            <w:tcW w:w="1620" w:type="dxa"/>
            <w:vAlign w:val="bottom"/>
            <w:gridSpan w:val="2"/>
          </w:tcPr>
          <w:p>
            <w:pPr>
              <w:ind w:left="360"/>
              <w:spacing w:after="0"/>
              <w:rPr>
                <w:sz w:val="20"/>
                <w:szCs w:val="20"/>
                <w:color w:val="auto"/>
              </w:rPr>
            </w:pPr>
            <w:r>
              <w:rPr>
                <w:rFonts w:ascii="Arial" w:cs="Arial" w:eastAsia="Arial" w:hAnsi="Arial"/>
                <w:sz w:val="18"/>
                <w:szCs w:val="18"/>
                <w:color w:val="auto"/>
                <w:w w:val="99"/>
              </w:rPr>
              <w:t>SECTION 5.05.</w:t>
            </w:r>
          </w:p>
        </w:tc>
        <w:tc>
          <w:tcPr>
            <w:tcW w:w="7000" w:type="dxa"/>
            <w:vAlign w:val="bottom"/>
          </w:tcPr>
          <w:p>
            <w:pPr>
              <w:ind w:left="100"/>
              <w:spacing w:after="0"/>
              <w:rPr>
                <w:sz w:val="20"/>
                <w:szCs w:val="20"/>
                <w:color w:val="auto"/>
              </w:rPr>
            </w:pPr>
            <w:r>
              <w:rPr>
                <w:rFonts w:ascii="Arial" w:cs="Arial" w:eastAsia="Arial" w:hAnsi="Arial"/>
                <w:sz w:val="18"/>
                <w:szCs w:val="18"/>
                <w:color w:val="auto"/>
              </w:rPr>
              <w:t>Maintenance of Properties; Insurance</w:t>
            </w:r>
          </w:p>
        </w:tc>
        <w:tc>
          <w:tcPr>
            <w:tcW w:w="25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24"/>
        </w:trPr>
        <w:tc>
          <w:tcPr>
            <w:tcW w:w="1620" w:type="dxa"/>
            <w:vAlign w:val="bottom"/>
            <w:gridSpan w:val="2"/>
          </w:tcPr>
          <w:p>
            <w:pPr>
              <w:ind w:left="360"/>
              <w:spacing w:after="0"/>
              <w:rPr>
                <w:sz w:val="20"/>
                <w:szCs w:val="20"/>
                <w:color w:val="auto"/>
              </w:rPr>
            </w:pPr>
            <w:r>
              <w:rPr>
                <w:rFonts w:ascii="Arial" w:cs="Arial" w:eastAsia="Arial" w:hAnsi="Arial"/>
                <w:sz w:val="18"/>
                <w:szCs w:val="18"/>
                <w:color w:val="auto"/>
                <w:w w:val="99"/>
              </w:rPr>
              <w:t>SECTION 5.06.</w:t>
            </w:r>
          </w:p>
        </w:tc>
        <w:tc>
          <w:tcPr>
            <w:tcW w:w="7000" w:type="dxa"/>
            <w:vAlign w:val="bottom"/>
          </w:tcPr>
          <w:p>
            <w:pPr>
              <w:ind w:left="100"/>
              <w:spacing w:after="0"/>
              <w:rPr>
                <w:sz w:val="20"/>
                <w:szCs w:val="20"/>
                <w:color w:val="auto"/>
              </w:rPr>
            </w:pPr>
            <w:r>
              <w:rPr>
                <w:rFonts w:ascii="Arial" w:cs="Arial" w:eastAsia="Arial" w:hAnsi="Arial"/>
                <w:sz w:val="18"/>
                <w:szCs w:val="18"/>
                <w:color w:val="auto"/>
              </w:rPr>
              <w:t>Books and Records; Inspection and Audit Rights</w:t>
            </w:r>
          </w:p>
        </w:tc>
        <w:tc>
          <w:tcPr>
            <w:tcW w:w="25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324"/>
        </w:trPr>
        <w:tc>
          <w:tcPr>
            <w:tcW w:w="1620" w:type="dxa"/>
            <w:vAlign w:val="bottom"/>
            <w:gridSpan w:val="2"/>
          </w:tcPr>
          <w:p>
            <w:pPr>
              <w:ind w:left="360"/>
              <w:spacing w:after="0"/>
              <w:rPr>
                <w:sz w:val="20"/>
                <w:szCs w:val="20"/>
                <w:color w:val="auto"/>
              </w:rPr>
            </w:pPr>
            <w:r>
              <w:rPr>
                <w:rFonts w:ascii="Arial" w:cs="Arial" w:eastAsia="Arial" w:hAnsi="Arial"/>
                <w:sz w:val="18"/>
                <w:szCs w:val="18"/>
                <w:color w:val="auto"/>
                <w:w w:val="99"/>
              </w:rPr>
              <w:t>SECTION 5.07.</w:t>
            </w:r>
          </w:p>
        </w:tc>
        <w:tc>
          <w:tcPr>
            <w:tcW w:w="7000" w:type="dxa"/>
            <w:vAlign w:val="bottom"/>
          </w:tcPr>
          <w:p>
            <w:pPr>
              <w:ind w:left="100"/>
              <w:spacing w:after="0"/>
              <w:rPr>
                <w:sz w:val="20"/>
                <w:szCs w:val="20"/>
                <w:color w:val="auto"/>
              </w:rPr>
            </w:pPr>
            <w:r>
              <w:rPr>
                <w:rFonts w:ascii="Arial" w:cs="Arial" w:eastAsia="Arial" w:hAnsi="Arial"/>
                <w:sz w:val="18"/>
                <w:szCs w:val="18"/>
                <w:color w:val="auto"/>
              </w:rPr>
              <w:t>Compliance with Laws</w:t>
            </w:r>
          </w:p>
        </w:tc>
        <w:tc>
          <w:tcPr>
            <w:tcW w:w="25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324"/>
        </w:trPr>
        <w:tc>
          <w:tcPr>
            <w:tcW w:w="1620" w:type="dxa"/>
            <w:vAlign w:val="bottom"/>
            <w:gridSpan w:val="2"/>
          </w:tcPr>
          <w:p>
            <w:pPr>
              <w:ind w:left="360"/>
              <w:spacing w:after="0"/>
              <w:rPr>
                <w:sz w:val="20"/>
                <w:szCs w:val="20"/>
                <w:color w:val="auto"/>
              </w:rPr>
            </w:pPr>
            <w:r>
              <w:rPr>
                <w:rFonts w:ascii="Arial" w:cs="Arial" w:eastAsia="Arial" w:hAnsi="Arial"/>
                <w:sz w:val="18"/>
                <w:szCs w:val="18"/>
                <w:color w:val="auto"/>
                <w:w w:val="99"/>
              </w:rPr>
              <w:t>SECTION 5.08.</w:t>
            </w:r>
          </w:p>
        </w:tc>
        <w:tc>
          <w:tcPr>
            <w:tcW w:w="7000" w:type="dxa"/>
            <w:vAlign w:val="bottom"/>
          </w:tcPr>
          <w:p>
            <w:pPr>
              <w:ind w:left="100"/>
              <w:spacing w:after="0"/>
              <w:rPr>
                <w:sz w:val="20"/>
                <w:szCs w:val="20"/>
                <w:color w:val="auto"/>
              </w:rPr>
            </w:pPr>
            <w:r>
              <w:rPr>
                <w:rFonts w:ascii="Arial" w:cs="Arial" w:eastAsia="Arial" w:hAnsi="Arial"/>
                <w:sz w:val="18"/>
                <w:szCs w:val="18"/>
                <w:color w:val="auto"/>
              </w:rPr>
              <w:t>Certain Obligations Respecting Subsidiaries; Further Assurances</w:t>
            </w:r>
          </w:p>
        </w:tc>
        <w:tc>
          <w:tcPr>
            <w:tcW w:w="25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324"/>
        </w:trPr>
        <w:tc>
          <w:tcPr>
            <w:tcW w:w="1620" w:type="dxa"/>
            <w:vAlign w:val="bottom"/>
            <w:gridSpan w:val="2"/>
          </w:tcPr>
          <w:p>
            <w:pPr>
              <w:ind w:left="360"/>
              <w:spacing w:after="0"/>
              <w:rPr>
                <w:sz w:val="20"/>
                <w:szCs w:val="20"/>
                <w:color w:val="auto"/>
              </w:rPr>
            </w:pPr>
            <w:r>
              <w:rPr>
                <w:rFonts w:ascii="Arial" w:cs="Arial" w:eastAsia="Arial" w:hAnsi="Arial"/>
                <w:sz w:val="18"/>
                <w:szCs w:val="18"/>
                <w:color w:val="auto"/>
                <w:w w:val="99"/>
              </w:rPr>
              <w:t>SECTION 5.09.</w:t>
            </w:r>
          </w:p>
        </w:tc>
        <w:tc>
          <w:tcPr>
            <w:tcW w:w="7000" w:type="dxa"/>
            <w:vAlign w:val="bottom"/>
          </w:tcPr>
          <w:p>
            <w:pPr>
              <w:ind w:left="100"/>
              <w:spacing w:after="0"/>
              <w:rPr>
                <w:sz w:val="20"/>
                <w:szCs w:val="20"/>
                <w:color w:val="auto"/>
              </w:rPr>
            </w:pPr>
            <w:r>
              <w:rPr>
                <w:rFonts w:ascii="Arial" w:cs="Arial" w:eastAsia="Arial" w:hAnsi="Arial"/>
                <w:sz w:val="18"/>
                <w:szCs w:val="18"/>
                <w:color w:val="auto"/>
              </w:rPr>
              <w:t>Use of Proceeds</w:t>
            </w:r>
          </w:p>
        </w:tc>
        <w:tc>
          <w:tcPr>
            <w:tcW w:w="25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324"/>
        </w:trPr>
        <w:tc>
          <w:tcPr>
            <w:tcW w:w="1620" w:type="dxa"/>
            <w:vAlign w:val="bottom"/>
            <w:gridSpan w:val="2"/>
          </w:tcPr>
          <w:p>
            <w:pPr>
              <w:ind w:left="360"/>
              <w:spacing w:after="0"/>
              <w:rPr>
                <w:sz w:val="20"/>
                <w:szCs w:val="20"/>
                <w:color w:val="auto"/>
              </w:rPr>
            </w:pPr>
            <w:r>
              <w:rPr>
                <w:rFonts w:ascii="Arial" w:cs="Arial" w:eastAsia="Arial" w:hAnsi="Arial"/>
                <w:sz w:val="18"/>
                <w:szCs w:val="18"/>
                <w:color w:val="auto"/>
                <w:w w:val="99"/>
              </w:rPr>
              <w:t>SECTION 5.10.</w:t>
            </w:r>
          </w:p>
        </w:tc>
        <w:tc>
          <w:tcPr>
            <w:tcW w:w="7000" w:type="dxa"/>
            <w:vAlign w:val="bottom"/>
          </w:tcPr>
          <w:p>
            <w:pPr>
              <w:ind w:left="100"/>
              <w:spacing w:after="0"/>
              <w:rPr>
                <w:sz w:val="20"/>
                <w:szCs w:val="20"/>
                <w:color w:val="auto"/>
              </w:rPr>
            </w:pPr>
            <w:r>
              <w:rPr>
                <w:rFonts w:ascii="Arial" w:cs="Arial" w:eastAsia="Arial" w:hAnsi="Arial"/>
                <w:sz w:val="18"/>
                <w:szCs w:val="18"/>
                <w:color w:val="auto"/>
              </w:rPr>
              <w:t>Status of RIC and BDC</w:t>
            </w:r>
          </w:p>
        </w:tc>
        <w:tc>
          <w:tcPr>
            <w:tcW w:w="25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365"/>
        </w:trPr>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0" w:type="dxa"/>
            <w:vAlign w:val="bottom"/>
          </w:tcPr>
          <w:p>
            <w:pPr>
              <w:ind w:left="3900"/>
              <w:spacing w:after="0"/>
              <w:rPr>
                <w:sz w:val="20"/>
                <w:szCs w:val="20"/>
                <w:color w:val="auto"/>
              </w:rPr>
            </w:pPr>
            <w:r>
              <w:rPr>
                <w:rFonts w:ascii="Arial" w:cs="Arial" w:eastAsia="Arial" w:hAnsi="Arial"/>
                <w:sz w:val="18"/>
                <w:szCs w:val="18"/>
                <w:color w:val="auto"/>
              </w:rPr>
              <w:t>-ii-</w:t>
            </w:r>
          </w:p>
        </w:tc>
        <w:tc>
          <w:tcPr>
            <w:tcW w:w="2520" w:type="dxa"/>
            <w:vAlign w:val="bottom"/>
          </w:tcPr>
          <w:p>
            <w:pPr>
              <w:spacing w:after="0"/>
              <w:rPr>
                <w:sz w:val="24"/>
                <w:szCs w:val="24"/>
                <w:color w:val="auto"/>
              </w:rPr>
            </w:pPr>
          </w:p>
        </w:tc>
      </w:tr>
    </w:tbl>
    <w:p>
      <w:pPr>
        <w:sectPr>
          <w:pgSz w:w="11900" w:h="16838" w:orient="portrait"/>
          <w:cols w:equalWidth="0" w:num="1">
            <w:col w:w="11140"/>
          </w:cols>
          <w:pgMar w:left="320" w:top="270" w:right="439" w:bottom="1440" w:gutter="0" w:footer="0" w:header="0"/>
        </w:sectPr>
      </w:pPr>
    </w:p>
    <w:bookmarkStart w:id="8" w:name="page9"/>
    <w:bookmarkEnd w:id="8"/>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TABLE OF CONTENTS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(continued)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80" w:type="dxa"/>
            <w:vAlign w:val="bottom"/>
          </w:tcPr>
          <w:p>
            <w:pPr>
              <w:spacing w:after="0"/>
              <w:rPr>
                <w:sz w:val="16"/>
                <w:szCs w:val="16"/>
                <w:color w:val="auto"/>
              </w:rPr>
            </w:pPr>
          </w:p>
        </w:tc>
        <w:tc>
          <w:tcPr>
            <w:tcW w:w="28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1640" w:type="dxa"/>
            <w:vAlign w:val="bottom"/>
            <w:gridSpan w:val="2"/>
          </w:tcPr>
          <w:p>
            <w:pPr>
              <w:ind w:left="360"/>
              <w:spacing w:after="0"/>
              <w:rPr>
                <w:sz w:val="20"/>
                <w:szCs w:val="20"/>
                <w:color w:val="auto"/>
              </w:rPr>
            </w:pPr>
            <w:r>
              <w:rPr>
                <w:rFonts w:ascii="Arial" w:cs="Arial" w:eastAsia="Arial" w:hAnsi="Arial"/>
                <w:sz w:val="18"/>
                <w:szCs w:val="18"/>
                <w:color w:val="auto"/>
              </w:rPr>
              <w:t>SECTION 5.11.</w:t>
            </w:r>
          </w:p>
        </w:tc>
        <w:tc>
          <w:tcPr>
            <w:tcW w:w="6680" w:type="dxa"/>
            <w:vAlign w:val="bottom"/>
          </w:tcPr>
          <w:p>
            <w:pPr>
              <w:ind w:left="120"/>
              <w:spacing w:after="0"/>
              <w:rPr>
                <w:sz w:val="20"/>
                <w:szCs w:val="20"/>
                <w:color w:val="auto"/>
              </w:rPr>
            </w:pPr>
            <w:r>
              <w:rPr>
                <w:rFonts w:ascii="Arial" w:cs="Arial" w:eastAsia="Arial" w:hAnsi="Arial"/>
                <w:sz w:val="18"/>
                <w:szCs w:val="18"/>
                <w:color w:val="auto"/>
              </w:rPr>
              <w:t>Investment Policies</w:t>
            </w:r>
          </w:p>
        </w:tc>
        <w:tc>
          <w:tcPr>
            <w:tcW w:w="28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324"/>
        </w:trPr>
        <w:tc>
          <w:tcPr>
            <w:tcW w:w="8320" w:type="dxa"/>
            <w:vAlign w:val="bottom"/>
            <w:gridSpan w:val="3"/>
          </w:tcPr>
          <w:p>
            <w:pPr>
              <w:ind w:left="360"/>
              <w:spacing w:after="0"/>
              <w:rPr>
                <w:sz w:val="20"/>
                <w:szCs w:val="20"/>
                <w:color w:val="auto"/>
              </w:rPr>
            </w:pPr>
            <w:r>
              <w:rPr>
                <w:rFonts w:ascii="Arial" w:cs="Arial" w:eastAsia="Arial" w:hAnsi="Arial"/>
                <w:sz w:val="18"/>
                <w:szCs w:val="18"/>
                <w:color w:val="auto"/>
              </w:rPr>
              <w:t>SECTION 5.12.   Portfolio Valuation and Diversification Etc</w:t>
            </w:r>
          </w:p>
        </w:tc>
        <w:tc>
          <w:tcPr>
            <w:tcW w:w="28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324"/>
        </w:trPr>
        <w:tc>
          <w:tcPr>
            <w:tcW w:w="8320" w:type="dxa"/>
            <w:vAlign w:val="bottom"/>
            <w:gridSpan w:val="3"/>
          </w:tcPr>
          <w:p>
            <w:pPr>
              <w:ind w:left="360"/>
              <w:spacing w:after="0"/>
              <w:rPr>
                <w:sz w:val="20"/>
                <w:szCs w:val="20"/>
                <w:color w:val="auto"/>
              </w:rPr>
            </w:pPr>
            <w:r>
              <w:rPr>
                <w:rFonts w:ascii="Arial" w:cs="Arial" w:eastAsia="Arial" w:hAnsi="Arial"/>
                <w:sz w:val="18"/>
                <w:szCs w:val="18"/>
                <w:color w:val="auto"/>
              </w:rPr>
              <w:t>SECTION 5.13.   Calculation of Borrowing Base</w:t>
            </w:r>
          </w:p>
        </w:tc>
        <w:tc>
          <w:tcPr>
            <w:tcW w:w="28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324"/>
        </w:trPr>
        <w:tc>
          <w:tcPr>
            <w:tcW w:w="1180" w:type="dxa"/>
            <w:vAlign w:val="bottom"/>
          </w:tcPr>
          <w:p>
            <w:pPr>
              <w:spacing w:after="0"/>
              <w:rPr>
                <w:sz w:val="20"/>
                <w:szCs w:val="20"/>
                <w:color w:val="auto"/>
              </w:rPr>
            </w:pPr>
            <w:r>
              <w:rPr>
                <w:rFonts w:ascii="Arial" w:cs="Arial" w:eastAsia="Arial" w:hAnsi="Arial"/>
                <w:sz w:val="18"/>
                <w:szCs w:val="18"/>
                <w:color w:val="auto"/>
              </w:rPr>
              <w:t>ARTICLE VI</w:t>
            </w:r>
          </w:p>
        </w:tc>
        <w:tc>
          <w:tcPr>
            <w:tcW w:w="7140" w:type="dxa"/>
            <w:vAlign w:val="bottom"/>
            <w:gridSpan w:val="2"/>
          </w:tcPr>
          <w:p>
            <w:pPr>
              <w:ind w:left="80"/>
              <w:spacing w:after="0"/>
              <w:rPr>
                <w:sz w:val="20"/>
                <w:szCs w:val="20"/>
                <w:color w:val="auto"/>
              </w:rPr>
            </w:pPr>
            <w:r>
              <w:rPr>
                <w:rFonts w:ascii="Arial" w:cs="Arial" w:eastAsia="Arial" w:hAnsi="Arial"/>
                <w:sz w:val="18"/>
                <w:szCs w:val="18"/>
                <w:color w:val="auto"/>
              </w:rPr>
              <w:t>NEGATIVE COVENANTS</w:t>
            </w:r>
          </w:p>
        </w:tc>
        <w:tc>
          <w:tcPr>
            <w:tcW w:w="28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324"/>
        </w:trPr>
        <w:tc>
          <w:tcPr>
            <w:tcW w:w="1640" w:type="dxa"/>
            <w:vAlign w:val="bottom"/>
            <w:gridSpan w:val="2"/>
          </w:tcPr>
          <w:p>
            <w:pPr>
              <w:ind w:left="360"/>
              <w:spacing w:after="0"/>
              <w:rPr>
                <w:sz w:val="20"/>
                <w:szCs w:val="20"/>
                <w:color w:val="auto"/>
              </w:rPr>
            </w:pPr>
            <w:r>
              <w:rPr>
                <w:rFonts w:ascii="Arial" w:cs="Arial" w:eastAsia="Arial" w:hAnsi="Arial"/>
                <w:sz w:val="18"/>
                <w:szCs w:val="18"/>
                <w:color w:val="auto"/>
              </w:rPr>
              <w:t>SECTION 6.01.</w:t>
            </w:r>
          </w:p>
        </w:tc>
        <w:tc>
          <w:tcPr>
            <w:tcW w:w="6680" w:type="dxa"/>
            <w:vAlign w:val="bottom"/>
          </w:tcPr>
          <w:p>
            <w:pPr>
              <w:ind w:left="120"/>
              <w:spacing w:after="0"/>
              <w:rPr>
                <w:sz w:val="20"/>
                <w:szCs w:val="20"/>
                <w:color w:val="auto"/>
              </w:rPr>
            </w:pPr>
            <w:r>
              <w:rPr>
                <w:rFonts w:ascii="Arial" w:cs="Arial" w:eastAsia="Arial" w:hAnsi="Arial"/>
                <w:sz w:val="18"/>
                <w:szCs w:val="18"/>
                <w:color w:val="auto"/>
              </w:rPr>
              <w:t>Indebtedness</w:t>
            </w:r>
          </w:p>
        </w:tc>
        <w:tc>
          <w:tcPr>
            <w:tcW w:w="28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324"/>
        </w:trPr>
        <w:tc>
          <w:tcPr>
            <w:tcW w:w="1640" w:type="dxa"/>
            <w:vAlign w:val="bottom"/>
            <w:gridSpan w:val="2"/>
          </w:tcPr>
          <w:p>
            <w:pPr>
              <w:ind w:left="360"/>
              <w:spacing w:after="0"/>
              <w:rPr>
                <w:sz w:val="20"/>
                <w:szCs w:val="20"/>
                <w:color w:val="auto"/>
              </w:rPr>
            </w:pPr>
            <w:r>
              <w:rPr>
                <w:rFonts w:ascii="Arial" w:cs="Arial" w:eastAsia="Arial" w:hAnsi="Arial"/>
                <w:sz w:val="18"/>
                <w:szCs w:val="18"/>
                <w:color w:val="auto"/>
              </w:rPr>
              <w:t>SECTION 6.02.</w:t>
            </w:r>
          </w:p>
        </w:tc>
        <w:tc>
          <w:tcPr>
            <w:tcW w:w="6680" w:type="dxa"/>
            <w:vAlign w:val="bottom"/>
          </w:tcPr>
          <w:p>
            <w:pPr>
              <w:ind w:left="120"/>
              <w:spacing w:after="0"/>
              <w:rPr>
                <w:sz w:val="20"/>
                <w:szCs w:val="20"/>
                <w:color w:val="auto"/>
              </w:rPr>
            </w:pPr>
            <w:r>
              <w:rPr>
                <w:rFonts w:ascii="Arial" w:cs="Arial" w:eastAsia="Arial" w:hAnsi="Arial"/>
                <w:sz w:val="18"/>
                <w:szCs w:val="18"/>
                <w:color w:val="auto"/>
              </w:rPr>
              <w:t>Liens</w:t>
            </w:r>
          </w:p>
        </w:tc>
        <w:tc>
          <w:tcPr>
            <w:tcW w:w="28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324"/>
        </w:trPr>
        <w:tc>
          <w:tcPr>
            <w:tcW w:w="1640" w:type="dxa"/>
            <w:vAlign w:val="bottom"/>
            <w:gridSpan w:val="2"/>
          </w:tcPr>
          <w:p>
            <w:pPr>
              <w:ind w:left="360"/>
              <w:spacing w:after="0"/>
              <w:rPr>
                <w:sz w:val="20"/>
                <w:szCs w:val="20"/>
                <w:color w:val="auto"/>
              </w:rPr>
            </w:pPr>
            <w:r>
              <w:rPr>
                <w:rFonts w:ascii="Arial" w:cs="Arial" w:eastAsia="Arial" w:hAnsi="Arial"/>
                <w:sz w:val="18"/>
                <w:szCs w:val="18"/>
                <w:color w:val="auto"/>
              </w:rPr>
              <w:t>SECTION 6.03.</w:t>
            </w:r>
          </w:p>
        </w:tc>
        <w:tc>
          <w:tcPr>
            <w:tcW w:w="6680" w:type="dxa"/>
            <w:vAlign w:val="bottom"/>
          </w:tcPr>
          <w:p>
            <w:pPr>
              <w:ind w:left="120"/>
              <w:spacing w:after="0"/>
              <w:rPr>
                <w:sz w:val="20"/>
                <w:szCs w:val="20"/>
                <w:color w:val="auto"/>
              </w:rPr>
            </w:pPr>
            <w:r>
              <w:rPr>
                <w:rFonts w:ascii="Arial" w:cs="Arial" w:eastAsia="Arial" w:hAnsi="Arial"/>
                <w:sz w:val="18"/>
                <w:szCs w:val="18"/>
                <w:color w:val="auto"/>
              </w:rPr>
              <w:t>Fundamental Changes</w:t>
            </w:r>
          </w:p>
        </w:tc>
        <w:tc>
          <w:tcPr>
            <w:tcW w:w="28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324"/>
        </w:trPr>
        <w:tc>
          <w:tcPr>
            <w:tcW w:w="1640" w:type="dxa"/>
            <w:vAlign w:val="bottom"/>
            <w:gridSpan w:val="2"/>
          </w:tcPr>
          <w:p>
            <w:pPr>
              <w:ind w:left="360"/>
              <w:spacing w:after="0"/>
              <w:rPr>
                <w:sz w:val="20"/>
                <w:szCs w:val="20"/>
                <w:color w:val="auto"/>
              </w:rPr>
            </w:pPr>
            <w:r>
              <w:rPr>
                <w:rFonts w:ascii="Arial" w:cs="Arial" w:eastAsia="Arial" w:hAnsi="Arial"/>
                <w:sz w:val="18"/>
                <w:szCs w:val="18"/>
                <w:color w:val="auto"/>
              </w:rPr>
              <w:t>SECTION 6.04.</w:t>
            </w:r>
          </w:p>
        </w:tc>
        <w:tc>
          <w:tcPr>
            <w:tcW w:w="6680" w:type="dxa"/>
            <w:vAlign w:val="bottom"/>
          </w:tcPr>
          <w:p>
            <w:pPr>
              <w:ind w:left="120"/>
              <w:spacing w:after="0"/>
              <w:rPr>
                <w:sz w:val="20"/>
                <w:szCs w:val="20"/>
                <w:color w:val="auto"/>
              </w:rPr>
            </w:pPr>
            <w:r>
              <w:rPr>
                <w:rFonts w:ascii="Arial" w:cs="Arial" w:eastAsia="Arial" w:hAnsi="Arial"/>
                <w:sz w:val="18"/>
                <w:szCs w:val="18"/>
                <w:color w:val="auto"/>
              </w:rPr>
              <w:t>Investments</w:t>
            </w:r>
          </w:p>
        </w:tc>
        <w:tc>
          <w:tcPr>
            <w:tcW w:w="28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324"/>
        </w:trPr>
        <w:tc>
          <w:tcPr>
            <w:tcW w:w="1640" w:type="dxa"/>
            <w:vAlign w:val="bottom"/>
            <w:gridSpan w:val="2"/>
          </w:tcPr>
          <w:p>
            <w:pPr>
              <w:ind w:left="360"/>
              <w:spacing w:after="0"/>
              <w:rPr>
                <w:sz w:val="20"/>
                <w:szCs w:val="20"/>
                <w:color w:val="auto"/>
              </w:rPr>
            </w:pPr>
            <w:r>
              <w:rPr>
                <w:rFonts w:ascii="Arial" w:cs="Arial" w:eastAsia="Arial" w:hAnsi="Arial"/>
                <w:sz w:val="18"/>
                <w:szCs w:val="18"/>
                <w:color w:val="auto"/>
              </w:rPr>
              <w:t>SECTION 6.05.</w:t>
            </w:r>
          </w:p>
        </w:tc>
        <w:tc>
          <w:tcPr>
            <w:tcW w:w="6680" w:type="dxa"/>
            <w:vAlign w:val="bottom"/>
          </w:tcPr>
          <w:p>
            <w:pPr>
              <w:ind w:left="120"/>
              <w:spacing w:after="0"/>
              <w:rPr>
                <w:sz w:val="20"/>
                <w:szCs w:val="20"/>
                <w:color w:val="auto"/>
              </w:rPr>
            </w:pPr>
            <w:r>
              <w:rPr>
                <w:rFonts w:ascii="Arial" w:cs="Arial" w:eastAsia="Arial" w:hAnsi="Arial"/>
                <w:sz w:val="18"/>
                <w:szCs w:val="18"/>
                <w:color w:val="auto"/>
              </w:rPr>
              <w:t>Restricted Payments</w:t>
            </w:r>
          </w:p>
        </w:tc>
        <w:tc>
          <w:tcPr>
            <w:tcW w:w="28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324"/>
        </w:trPr>
        <w:tc>
          <w:tcPr>
            <w:tcW w:w="8320" w:type="dxa"/>
            <w:vAlign w:val="bottom"/>
            <w:gridSpan w:val="3"/>
          </w:tcPr>
          <w:p>
            <w:pPr>
              <w:ind w:left="360"/>
              <w:spacing w:after="0"/>
              <w:rPr>
                <w:sz w:val="20"/>
                <w:szCs w:val="20"/>
                <w:color w:val="auto"/>
              </w:rPr>
            </w:pPr>
            <w:r>
              <w:rPr>
                <w:rFonts w:ascii="Arial" w:cs="Arial" w:eastAsia="Arial" w:hAnsi="Arial"/>
                <w:sz w:val="18"/>
                <w:szCs w:val="18"/>
                <w:color w:val="auto"/>
              </w:rPr>
              <w:t>SECTION 6.06.   Certain Restrictions on Subsidiaries</w:t>
            </w:r>
          </w:p>
        </w:tc>
        <w:tc>
          <w:tcPr>
            <w:tcW w:w="28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324"/>
        </w:trPr>
        <w:tc>
          <w:tcPr>
            <w:tcW w:w="8320" w:type="dxa"/>
            <w:vAlign w:val="bottom"/>
            <w:gridSpan w:val="3"/>
          </w:tcPr>
          <w:p>
            <w:pPr>
              <w:ind w:left="360"/>
              <w:spacing w:after="0"/>
              <w:rPr>
                <w:sz w:val="20"/>
                <w:szCs w:val="20"/>
                <w:color w:val="auto"/>
              </w:rPr>
            </w:pPr>
            <w:r>
              <w:rPr>
                <w:rFonts w:ascii="Arial" w:cs="Arial" w:eastAsia="Arial" w:hAnsi="Arial"/>
                <w:sz w:val="18"/>
                <w:szCs w:val="18"/>
                <w:color w:val="auto"/>
              </w:rPr>
              <w:t>SECTION 6.07.   Certain Financial Covenants</w:t>
            </w:r>
          </w:p>
        </w:tc>
        <w:tc>
          <w:tcPr>
            <w:tcW w:w="28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324"/>
        </w:trPr>
        <w:tc>
          <w:tcPr>
            <w:tcW w:w="8320" w:type="dxa"/>
            <w:vAlign w:val="bottom"/>
            <w:gridSpan w:val="3"/>
          </w:tcPr>
          <w:p>
            <w:pPr>
              <w:ind w:left="360"/>
              <w:spacing w:after="0"/>
              <w:rPr>
                <w:sz w:val="20"/>
                <w:szCs w:val="20"/>
                <w:color w:val="auto"/>
              </w:rPr>
            </w:pPr>
            <w:r>
              <w:rPr>
                <w:rFonts w:ascii="Arial" w:cs="Arial" w:eastAsia="Arial" w:hAnsi="Arial"/>
                <w:sz w:val="18"/>
                <w:szCs w:val="18"/>
                <w:color w:val="auto"/>
              </w:rPr>
              <w:t>SECTION 6.08.   Transactions with Affiliates</w:t>
            </w:r>
          </w:p>
        </w:tc>
        <w:tc>
          <w:tcPr>
            <w:tcW w:w="28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324"/>
        </w:trPr>
        <w:tc>
          <w:tcPr>
            <w:tcW w:w="1640" w:type="dxa"/>
            <w:vAlign w:val="bottom"/>
            <w:gridSpan w:val="2"/>
          </w:tcPr>
          <w:p>
            <w:pPr>
              <w:ind w:left="360"/>
              <w:spacing w:after="0"/>
              <w:rPr>
                <w:sz w:val="20"/>
                <w:szCs w:val="20"/>
                <w:color w:val="auto"/>
              </w:rPr>
            </w:pPr>
            <w:r>
              <w:rPr>
                <w:rFonts w:ascii="Arial" w:cs="Arial" w:eastAsia="Arial" w:hAnsi="Arial"/>
                <w:sz w:val="18"/>
                <w:szCs w:val="18"/>
                <w:color w:val="auto"/>
              </w:rPr>
              <w:t>SECTION 6.09.</w:t>
            </w:r>
          </w:p>
        </w:tc>
        <w:tc>
          <w:tcPr>
            <w:tcW w:w="6680" w:type="dxa"/>
            <w:vAlign w:val="bottom"/>
          </w:tcPr>
          <w:p>
            <w:pPr>
              <w:ind w:left="120"/>
              <w:spacing w:after="0"/>
              <w:rPr>
                <w:sz w:val="20"/>
                <w:szCs w:val="20"/>
                <w:color w:val="auto"/>
              </w:rPr>
            </w:pPr>
            <w:r>
              <w:rPr>
                <w:rFonts w:ascii="Arial" w:cs="Arial" w:eastAsia="Arial" w:hAnsi="Arial"/>
                <w:sz w:val="18"/>
                <w:szCs w:val="18"/>
                <w:color w:val="auto"/>
              </w:rPr>
              <w:t>Lines of Business</w:t>
            </w:r>
          </w:p>
        </w:tc>
        <w:tc>
          <w:tcPr>
            <w:tcW w:w="28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324"/>
        </w:trPr>
        <w:tc>
          <w:tcPr>
            <w:tcW w:w="8320" w:type="dxa"/>
            <w:vAlign w:val="bottom"/>
            <w:gridSpan w:val="3"/>
          </w:tcPr>
          <w:p>
            <w:pPr>
              <w:ind w:left="360"/>
              <w:spacing w:after="0"/>
              <w:rPr>
                <w:sz w:val="20"/>
                <w:szCs w:val="20"/>
                <w:color w:val="auto"/>
              </w:rPr>
            </w:pPr>
            <w:r>
              <w:rPr>
                <w:rFonts w:ascii="Arial" w:cs="Arial" w:eastAsia="Arial" w:hAnsi="Arial"/>
                <w:sz w:val="18"/>
                <w:szCs w:val="18"/>
                <w:color w:val="auto"/>
              </w:rPr>
              <w:t>SECTION 6.10.   No Further Negative Pledge</w:t>
            </w:r>
          </w:p>
        </w:tc>
        <w:tc>
          <w:tcPr>
            <w:tcW w:w="28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324"/>
        </w:trPr>
        <w:tc>
          <w:tcPr>
            <w:tcW w:w="8320" w:type="dxa"/>
            <w:vAlign w:val="bottom"/>
            <w:gridSpan w:val="3"/>
          </w:tcPr>
          <w:p>
            <w:pPr>
              <w:ind w:left="360"/>
              <w:spacing w:after="0"/>
              <w:rPr>
                <w:sz w:val="20"/>
                <w:szCs w:val="20"/>
                <w:color w:val="auto"/>
              </w:rPr>
            </w:pPr>
            <w:r>
              <w:rPr>
                <w:rFonts w:ascii="Arial" w:cs="Arial" w:eastAsia="Arial" w:hAnsi="Arial"/>
                <w:sz w:val="18"/>
                <w:szCs w:val="18"/>
                <w:color w:val="auto"/>
              </w:rPr>
              <w:t>SECTION 6.11.   Modifications of Longer-Term Indebtedness Documents</w:t>
            </w:r>
          </w:p>
        </w:tc>
        <w:tc>
          <w:tcPr>
            <w:tcW w:w="28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324"/>
        </w:trPr>
        <w:tc>
          <w:tcPr>
            <w:tcW w:w="8320" w:type="dxa"/>
            <w:vAlign w:val="bottom"/>
            <w:gridSpan w:val="3"/>
          </w:tcPr>
          <w:p>
            <w:pPr>
              <w:ind w:left="360"/>
              <w:spacing w:after="0"/>
              <w:rPr>
                <w:sz w:val="20"/>
                <w:szCs w:val="20"/>
                <w:color w:val="auto"/>
              </w:rPr>
            </w:pPr>
            <w:r>
              <w:rPr>
                <w:rFonts w:ascii="Arial" w:cs="Arial" w:eastAsia="Arial" w:hAnsi="Arial"/>
                <w:sz w:val="18"/>
                <w:szCs w:val="18"/>
                <w:color w:val="auto"/>
              </w:rPr>
              <w:t>SECTION 6.12.   Payments of Longer-Term Indebtedness</w:t>
            </w:r>
          </w:p>
        </w:tc>
        <w:tc>
          <w:tcPr>
            <w:tcW w:w="28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324"/>
        </w:trPr>
        <w:tc>
          <w:tcPr>
            <w:tcW w:w="1640" w:type="dxa"/>
            <w:vAlign w:val="bottom"/>
            <w:gridSpan w:val="2"/>
          </w:tcPr>
          <w:p>
            <w:pPr>
              <w:ind w:left="360"/>
              <w:spacing w:after="0"/>
              <w:rPr>
                <w:sz w:val="20"/>
                <w:szCs w:val="20"/>
                <w:color w:val="auto"/>
              </w:rPr>
            </w:pPr>
            <w:r>
              <w:rPr>
                <w:rFonts w:ascii="Arial" w:cs="Arial" w:eastAsia="Arial" w:hAnsi="Arial"/>
                <w:sz w:val="18"/>
                <w:szCs w:val="18"/>
                <w:color w:val="auto"/>
              </w:rPr>
              <w:t>SECTION 6.13.</w:t>
            </w:r>
          </w:p>
        </w:tc>
        <w:tc>
          <w:tcPr>
            <w:tcW w:w="6680" w:type="dxa"/>
            <w:vAlign w:val="bottom"/>
          </w:tcPr>
          <w:p>
            <w:pPr>
              <w:ind w:left="120"/>
              <w:spacing w:after="0"/>
              <w:rPr>
                <w:sz w:val="20"/>
                <w:szCs w:val="20"/>
                <w:color w:val="auto"/>
              </w:rPr>
            </w:pPr>
            <w:r>
              <w:rPr>
                <w:rFonts w:ascii="Arial" w:cs="Arial" w:eastAsia="Arial" w:hAnsi="Arial"/>
                <w:sz w:val="18"/>
                <w:szCs w:val="18"/>
                <w:color w:val="auto"/>
              </w:rPr>
              <w:t>Accounting Changes</w:t>
            </w:r>
          </w:p>
        </w:tc>
        <w:tc>
          <w:tcPr>
            <w:tcW w:w="28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324"/>
        </w:trPr>
        <w:tc>
          <w:tcPr>
            <w:tcW w:w="1640" w:type="dxa"/>
            <w:vAlign w:val="bottom"/>
            <w:gridSpan w:val="2"/>
          </w:tcPr>
          <w:p>
            <w:pPr>
              <w:ind w:left="360"/>
              <w:spacing w:after="0"/>
              <w:rPr>
                <w:sz w:val="20"/>
                <w:szCs w:val="20"/>
                <w:color w:val="auto"/>
              </w:rPr>
            </w:pPr>
            <w:r>
              <w:rPr>
                <w:rFonts w:ascii="Arial" w:cs="Arial" w:eastAsia="Arial" w:hAnsi="Arial"/>
                <w:sz w:val="18"/>
                <w:szCs w:val="18"/>
                <w:color w:val="auto"/>
              </w:rPr>
              <w:t>SECTION 6.14.</w:t>
            </w:r>
          </w:p>
        </w:tc>
        <w:tc>
          <w:tcPr>
            <w:tcW w:w="6680" w:type="dxa"/>
            <w:vAlign w:val="bottom"/>
          </w:tcPr>
          <w:p>
            <w:pPr>
              <w:ind w:left="120"/>
              <w:spacing w:after="0"/>
              <w:rPr>
                <w:sz w:val="20"/>
                <w:szCs w:val="20"/>
                <w:color w:val="auto"/>
              </w:rPr>
            </w:pPr>
            <w:r>
              <w:rPr>
                <w:rFonts w:ascii="Arial" w:cs="Arial" w:eastAsia="Arial" w:hAnsi="Arial"/>
                <w:sz w:val="18"/>
                <w:szCs w:val="18"/>
                <w:color w:val="auto"/>
              </w:rPr>
              <w:t>SBIC Guarantee</w:t>
            </w:r>
          </w:p>
        </w:tc>
        <w:tc>
          <w:tcPr>
            <w:tcW w:w="28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324"/>
        </w:trPr>
        <w:tc>
          <w:tcPr>
            <w:tcW w:w="1180" w:type="dxa"/>
            <w:vAlign w:val="bottom"/>
          </w:tcPr>
          <w:p>
            <w:pPr>
              <w:spacing w:after="0"/>
              <w:rPr>
                <w:sz w:val="20"/>
                <w:szCs w:val="20"/>
                <w:color w:val="auto"/>
              </w:rPr>
            </w:pPr>
            <w:r>
              <w:rPr>
                <w:rFonts w:ascii="Arial" w:cs="Arial" w:eastAsia="Arial" w:hAnsi="Arial"/>
                <w:sz w:val="18"/>
                <w:szCs w:val="18"/>
                <w:color w:val="auto"/>
              </w:rPr>
              <w:t>ARTICLE VII</w:t>
            </w:r>
          </w:p>
        </w:tc>
        <w:tc>
          <w:tcPr>
            <w:tcW w:w="7140" w:type="dxa"/>
            <w:vAlign w:val="bottom"/>
            <w:gridSpan w:val="2"/>
          </w:tcPr>
          <w:p>
            <w:pPr>
              <w:ind w:left="80"/>
              <w:spacing w:after="0"/>
              <w:rPr>
                <w:sz w:val="20"/>
                <w:szCs w:val="20"/>
                <w:color w:val="auto"/>
              </w:rPr>
            </w:pPr>
            <w:r>
              <w:rPr>
                <w:rFonts w:ascii="Arial" w:cs="Arial" w:eastAsia="Arial" w:hAnsi="Arial"/>
                <w:sz w:val="18"/>
                <w:szCs w:val="18"/>
                <w:color w:val="auto"/>
              </w:rPr>
              <w:t>EVENTS OF DEFAULT</w:t>
            </w:r>
          </w:p>
        </w:tc>
        <w:tc>
          <w:tcPr>
            <w:tcW w:w="28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324"/>
        </w:trPr>
        <w:tc>
          <w:tcPr>
            <w:tcW w:w="1180" w:type="dxa"/>
            <w:vAlign w:val="bottom"/>
          </w:tcPr>
          <w:p>
            <w:pPr>
              <w:spacing w:after="0"/>
              <w:rPr>
                <w:sz w:val="20"/>
                <w:szCs w:val="20"/>
                <w:color w:val="auto"/>
              </w:rPr>
            </w:pPr>
            <w:r>
              <w:rPr>
                <w:rFonts w:ascii="Arial" w:cs="Arial" w:eastAsia="Arial" w:hAnsi="Arial"/>
                <w:sz w:val="18"/>
                <w:szCs w:val="18"/>
                <w:color w:val="auto"/>
              </w:rPr>
              <w:t>ARTICLE VIII</w:t>
            </w:r>
          </w:p>
        </w:tc>
        <w:tc>
          <w:tcPr>
            <w:tcW w:w="7140" w:type="dxa"/>
            <w:vAlign w:val="bottom"/>
            <w:gridSpan w:val="2"/>
          </w:tcPr>
          <w:p>
            <w:pPr>
              <w:ind w:left="80"/>
              <w:spacing w:after="0"/>
              <w:rPr>
                <w:sz w:val="20"/>
                <w:szCs w:val="20"/>
                <w:color w:val="auto"/>
              </w:rPr>
            </w:pPr>
            <w:r>
              <w:rPr>
                <w:rFonts w:ascii="Arial" w:cs="Arial" w:eastAsia="Arial" w:hAnsi="Arial"/>
                <w:sz w:val="18"/>
                <w:szCs w:val="18"/>
                <w:color w:val="auto"/>
              </w:rPr>
              <w:t>THE ADMINISTRATIVE AGENT</w:t>
            </w:r>
          </w:p>
        </w:tc>
        <w:tc>
          <w:tcPr>
            <w:tcW w:w="28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324"/>
        </w:trPr>
        <w:tc>
          <w:tcPr>
            <w:tcW w:w="8320" w:type="dxa"/>
            <w:vAlign w:val="bottom"/>
            <w:gridSpan w:val="3"/>
          </w:tcPr>
          <w:p>
            <w:pPr>
              <w:ind w:left="360"/>
              <w:spacing w:after="0"/>
              <w:rPr>
                <w:sz w:val="20"/>
                <w:szCs w:val="20"/>
                <w:color w:val="auto"/>
              </w:rPr>
            </w:pPr>
            <w:r>
              <w:rPr>
                <w:rFonts w:ascii="Arial" w:cs="Arial" w:eastAsia="Arial" w:hAnsi="Arial"/>
                <w:sz w:val="18"/>
                <w:szCs w:val="18"/>
                <w:color w:val="auto"/>
              </w:rPr>
              <w:t>SECTION 8.01.   Appointment of the Administrative Agent</w:t>
            </w:r>
          </w:p>
        </w:tc>
        <w:tc>
          <w:tcPr>
            <w:tcW w:w="28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324"/>
        </w:trPr>
        <w:tc>
          <w:tcPr>
            <w:tcW w:w="1640" w:type="dxa"/>
            <w:vAlign w:val="bottom"/>
            <w:gridSpan w:val="2"/>
          </w:tcPr>
          <w:p>
            <w:pPr>
              <w:ind w:left="360"/>
              <w:spacing w:after="0"/>
              <w:rPr>
                <w:sz w:val="20"/>
                <w:szCs w:val="20"/>
                <w:color w:val="auto"/>
              </w:rPr>
            </w:pPr>
            <w:r>
              <w:rPr>
                <w:rFonts w:ascii="Arial" w:cs="Arial" w:eastAsia="Arial" w:hAnsi="Arial"/>
                <w:sz w:val="18"/>
                <w:szCs w:val="18"/>
                <w:color w:val="auto"/>
              </w:rPr>
              <w:t>SECTION 8.02.</w:t>
            </w:r>
          </w:p>
        </w:tc>
        <w:tc>
          <w:tcPr>
            <w:tcW w:w="6680" w:type="dxa"/>
            <w:vAlign w:val="bottom"/>
          </w:tcPr>
          <w:p>
            <w:pPr>
              <w:ind w:left="120"/>
              <w:spacing w:after="0"/>
              <w:rPr>
                <w:sz w:val="20"/>
                <w:szCs w:val="20"/>
                <w:color w:val="auto"/>
              </w:rPr>
            </w:pPr>
            <w:r>
              <w:rPr>
                <w:rFonts w:ascii="Arial" w:cs="Arial" w:eastAsia="Arial" w:hAnsi="Arial"/>
                <w:sz w:val="18"/>
                <w:szCs w:val="18"/>
                <w:color w:val="auto"/>
              </w:rPr>
              <w:t>Capacity as Lender</w:t>
            </w:r>
          </w:p>
        </w:tc>
        <w:tc>
          <w:tcPr>
            <w:tcW w:w="28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324"/>
        </w:trPr>
        <w:tc>
          <w:tcPr>
            <w:tcW w:w="8320" w:type="dxa"/>
            <w:vAlign w:val="bottom"/>
            <w:gridSpan w:val="3"/>
          </w:tcPr>
          <w:p>
            <w:pPr>
              <w:ind w:left="360"/>
              <w:spacing w:after="0"/>
              <w:rPr>
                <w:sz w:val="20"/>
                <w:szCs w:val="20"/>
                <w:color w:val="auto"/>
              </w:rPr>
            </w:pPr>
            <w:r>
              <w:rPr>
                <w:rFonts w:ascii="Arial" w:cs="Arial" w:eastAsia="Arial" w:hAnsi="Arial"/>
                <w:sz w:val="18"/>
                <w:szCs w:val="18"/>
                <w:color w:val="auto"/>
              </w:rPr>
              <w:t>SECTION 8.03.   Limitation of Duties; Exculpation</w:t>
            </w:r>
          </w:p>
        </w:tc>
        <w:tc>
          <w:tcPr>
            <w:tcW w:w="28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324"/>
        </w:trPr>
        <w:tc>
          <w:tcPr>
            <w:tcW w:w="1640" w:type="dxa"/>
            <w:vAlign w:val="bottom"/>
            <w:gridSpan w:val="2"/>
          </w:tcPr>
          <w:p>
            <w:pPr>
              <w:ind w:left="360"/>
              <w:spacing w:after="0"/>
              <w:rPr>
                <w:sz w:val="20"/>
                <w:szCs w:val="20"/>
                <w:color w:val="auto"/>
              </w:rPr>
            </w:pPr>
            <w:r>
              <w:rPr>
                <w:rFonts w:ascii="Arial" w:cs="Arial" w:eastAsia="Arial" w:hAnsi="Arial"/>
                <w:sz w:val="18"/>
                <w:szCs w:val="18"/>
                <w:color w:val="auto"/>
              </w:rPr>
              <w:t>SECTION 8.04.</w:t>
            </w:r>
          </w:p>
        </w:tc>
        <w:tc>
          <w:tcPr>
            <w:tcW w:w="6680" w:type="dxa"/>
            <w:vAlign w:val="bottom"/>
          </w:tcPr>
          <w:p>
            <w:pPr>
              <w:ind w:left="120"/>
              <w:spacing w:after="0"/>
              <w:rPr>
                <w:sz w:val="20"/>
                <w:szCs w:val="20"/>
                <w:color w:val="auto"/>
              </w:rPr>
            </w:pPr>
            <w:r>
              <w:rPr>
                <w:rFonts w:ascii="Arial" w:cs="Arial" w:eastAsia="Arial" w:hAnsi="Arial"/>
                <w:sz w:val="18"/>
                <w:szCs w:val="18"/>
                <w:color w:val="auto"/>
              </w:rPr>
              <w:t>Reliance</w:t>
            </w:r>
          </w:p>
        </w:tc>
        <w:tc>
          <w:tcPr>
            <w:tcW w:w="282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324"/>
        </w:trPr>
        <w:tc>
          <w:tcPr>
            <w:tcW w:w="1640" w:type="dxa"/>
            <w:vAlign w:val="bottom"/>
            <w:gridSpan w:val="2"/>
          </w:tcPr>
          <w:p>
            <w:pPr>
              <w:ind w:left="360"/>
              <w:spacing w:after="0"/>
              <w:rPr>
                <w:sz w:val="20"/>
                <w:szCs w:val="20"/>
                <w:color w:val="auto"/>
              </w:rPr>
            </w:pPr>
            <w:r>
              <w:rPr>
                <w:rFonts w:ascii="Arial" w:cs="Arial" w:eastAsia="Arial" w:hAnsi="Arial"/>
                <w:sz w:val="18"/>
                <w:szCs w:val="18"/>
                <w:color w:val="auto"/>
              </w:rPr>
              <w:t>SECTION 8.05.</w:t>
            </w:r>
          </w:p>
        </w:tc>
        <w:tc>
          <w:tcPr>
            <w:tcW w:w="6680" w:type="dxa"/>
            <w:vAlign w:val="bottom"/>
          </w:tcPr>
          <w:p>
            <w:pPr>
              <w:ind w:left="120"/>
              <w:spacing w:after="0"/>
              <w:rPr>
                <w:sz w:val="20"/>
                <w:szCs w:val="20"/>
                <w:color w:val="auto"/>
              </w:rPr>
            </w:pPr>
            <w:r>
              <w:rPr>
                <w:rFonts w:ascii="Arial" w:cs="Arial" w:eastAsia="Arial" w:hAnsi="Arial"/>
                <w:sz w:val="18"/>
                <w:szCs w:val="18"/>
                <w:color w:val="auto"/>
              </w:rPr>
              <w:t>Sub-Agents</w:t>
            </w:r>
          </w:p>
        </w:tc>
        <w:tc>
          <w:tcPr>
            <w:tcW w:w="282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324"/>
        </w:trPr>
        <w:tc>
          <w:tcPr>
            <w:tcW w:w="8320" w:type="dxa"/>
            <w:vAlign w:val="bottom"/>
            <w:gridSpan w:val="3"/>
          </w:tcPr>
          <w:p>
            <w:pPr>
              <w:ind w:left="360"/>
              <w:spacing w:after="0"/>
              <w:rPr>
                <w:sz w:val="20"/>
                <w:szCs w:val="20"/>
                <w:color w:val="auto"/>
              </w:rPr>
            </w:pPr>
            <w:r>
              <w:rPr>
                <w:rFonts w:ascii="Arial" w:cs="Arial" w:eastAsia="Arial" w:hAnsi="Arial"/>
                <w:sz w:val="18"/>
                <w:szCs w:val="18"/>
                <w:color w:val="auto"/>
              </w:rPr>
              <w:t>SECTION 8.06.   Resignation; Successor Administrative Agent</w:t>
            </w:r>
          </w:p>
        </w:tc>
        <w:tc>
          <w:tcPr>
            <w:tcW w:w="282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324"/>
        </w:trPr>
        <w:tc>
          <w:tcPr>
            <w:tcW w:w="8320" w:type="dxa"/>
            <w:vAlign w:val="bottom"/>
            <w:gridSpan w:val="3"/>
          </w:tcPr>
          <w:p>
            <w:pPr>
              <w:ind w:left="360"/>
              <w:spacing w:after="0"/>
              <w:rPr>
                <w:sz w:val="20"/>
                <w:szCs w:val="20"/>
                <w:color w:val="auto"/>
              </w:rPr>
            </w:pPr>
            <w:r>
              <w:rPr>
                <w:rFonts w:ascii="Arial" w:cs="Arial" w:eastAsia="Arial" w:hAnsi="Arial"/>
                <w:sz w:val="18"/>
                <w:szCs w:val="18"/>
                <w:color w:val="auto"/>
              </w:rPr>
              <w:t>SECTION 8.07.   Reliance by Lenders</w:t>
            </w:r>
          </w:p>
        </w:tc>
        <w:tc>
          <w:tcPr>
            <w:tcW w:w="282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324"/>
        </w:trPr>
        <w:tc>
          <w:tcPr>
            <w:tcW w:w="8320" w:type="dxa"/>
            <w:vAlign w:val="bottom"/>
            <w:gridSpan w:val="3"/>
          </w:tcPr>
          <w:p>
            <w:pPr>
              <w:ind w:left="360"/>
              <w:spacing w:after="0"/>
              <w:rPr>
                <w:sz w:val="20"/>
                <w:szCs w:val="20"/>
                <w:color w:val="auto"/>
              </w:rPr>
            </w:pPr>
            <w:r>
              <w:rPr>
                <w:rFonts w:ascii="Arial" w:cs="Arial" w:eastAsia="Arial" w:hAnsi="Arial"/>
                <w:sz w:val="18"/>
                <w:szCs w:val="18"/>
                <w:color w:val="auto"/>
              </w:rPr>
              <w:t>SECTION 8.08.   Modifications to Loan Documents</w:t>
            </w:r>
          </w:p>
        </w:tc>
        <w:tc>
          <w:tcPr>
            <w:tcW w:w="282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324"/>
        </w:trPr>
        <w:tc>
          <w:tcPr>
            <w:tcW w:w="1180" w:type="dxa"/>
            <w:vAlign w:val="bottom"/>
          </w:tcPr>
          <w:p>
            <w:pPr>
              <w:spacing w:after="0"/>
              <w:rPr>
                <w:sz w:val="20"/>
                <w:szCs w:val="20"/>
                <w:color w:val="auto"/>
              </w:rPr>
            </w:pPr>
            <w:r>
              <w:rPr>
                <w:rFonts w:ascii="Arial" w:cs="Arial" w:eastAsia="Arial" w:hAnsi="Arial"/>
                <w:sz w:val="18"/>
                <w:szCs w:val="18"/>
                <w:color w:val="auto"/>
              </w:rPr>
              <w:t>ARTICLE IX</w:t>
            </w:r>
          </w:p>
        </w:tc>
        <w:tc>
          <w:tcPr>
            <w:tcW w:w="7140" w:type="dxa"/>
            <w:vAlign w:val="bottom"/>
            <w:gridSpan w:val="2"/>
          </w:tcPr>
          <w:p>
            <w:pPr>
              <w:ind w:left="80"/>
              <w:spacing w:after="0"/>
              <w:rPr>
                <w:sz w:val="20"/>
                <w:szCs w:val="20"/>
                <w:color w:val="auto"/>
              </w:rPr>
            </w:pPr>
            <w:r>
              <w:rPr>
                <w:rFonts w:ascii="Arial" w:cs="Arial" w:eastAsia="Arial" w:hAnsi="Arial"/>
                <w:sz w:val="18"/>
                <w:szCs w:val="18"/>
                <w:color w:val="auto"/>
              </w:rPr>
              <w:t>MISCELLANEOUS</w:t>
            </w:r>
          </w:p>
        </w:tc>
        <w:tc>
          <w:tcPr>
            <w:tcW w:w="282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324"/>
        </w:trPr>
        <w:tc>
          <w:tcPr>
            <w:tcW w:w="8320" w:type="dxa"/>
            <w:vAlign w:val="bottom"/>
            <w:gridSpan w:val="3"/>
          </w:tcPr>
          <w:p>
            <w:pPr>
              <w:ind w:left="360"/>
              <w:spacing w:after="0"/>
              <w:rPr>
                <w:sz w:val="20"/>
                <w:szCs w:val="20"/>
                <w:color w:val="auto"/>
              </w:rPr>
            </w:pPr>
            <w:r>
              <w:rPr>
                <w:rFonts w:ascii="Arial" w:cs="Arial" w:eastAsia="Arial" w:hAnsi="Arial"/>
                <w:sz w:val="18"/>
                <w:szCs w:val="18"/>
                <w:color w:val="auto"/>
              </w:rPr>
              <w:t>SECTION 9.01.   Notices; Electronic Communications</w:t>
            </w:r>
          </w:p>
        </w:tc>
        <w:tc>
          <w:tcPr>
            <w:tcW w:w="282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364"/>
        </w:trPr>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80" w:type="dxa"/>
            <w:vAlign w:val="bottom"/>
          </w:tcPr>
          <w:p>
            <w:pPr>
              <w:ind w:left="3840"/>
              <w:spacing w:after="0"/>
              <w:rPr>
                <w:sz w:val="20"/>
                <w:szCs w:val="20"/>
                <w:color w:val="auto"/>
              </w:rPr>
            </w:pPr>
            <w:r>
              <w:rPr>
                <w:rFonts w:ascii="Arial" w:cs="Arial" w:eastAsia="Arial" w:hAnsi="Arial"/>
                <w:sz w:val="18"/>
                <w:szCs w:val="18"/>
                <w:color w:val="auto"/>
              </w:rPr>
              <w:t>-iii-</w:t>
            </w:r>
          </w:p>
        </w:tc>
        <w:tc>
          <w:tcPr>
            <w:tcW w:w="2820" w:type="dxa"/>
            <w:vAlign w:val="bottom"/>
          </w:tcPr>
          <w:p>
            <w:pPr>
              <w:spacing w:after="0"/>
              <w:rPr>
                <w:sz w:val="24"/>
                <w:szCs w:val="24"/>
                <w:color w:val="auto"/>
              </w:rPr>
            </w:pPr>
          </w:p>
        </w:tc>
      </w:tr>
    </w:tbl>
    <w:p>
      <w:pPr>
        <w:sectPr>
          <w:pgSz w:w="11900" w:h="16838" w:orient="portrait"/>
          <w:cols w:equalWidth="0" w:num="1">
            <w:col w:w="11140"/>
          </w:cols>
          <w:pgMar w:left="320" w:top="270" w:right="43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0"/>
        </w:trPr>
        <w:tc>
          <w:tcPr>
            <w:tcW w:w="1260" w:type="dxa"/>
            <w:vAlign w:val="bottom"/>
          </w:tcPr>
          <w:p>
            <w:pPr>
              <w:spacing w:after="0"/>
              <w:rPr>
                <w:sz w:val="19"/>
                <w:szCs w:val="19"/>
                <w:color w:val="auto"/>
              </w:rPr>
            </w:pPr>
          </w:p>
        </w:tc>
        <w:tc>
          <w:tcPr>
            <w:tcW w:w="7180" w:type="dxa"/>
            <w:vAlign w:val="bottom"/>
          </w:tcPr>
          <w:p>
            <w:pPr>
              <w:jc w:val="center"/>
              <w:ind w:left="730"/>
              <w:spacing w:after="0"/>
              <w:rPr>
                <w:sz w:val="20"/>
                <w:szCs w:val="20"/>
                <w:color w:val="auto"/>
              </w:rPr>
            </w:pPr>
            <w:r>
              <w:rPr>
                <w:rFonts w:ascii="Arial" w:cs="Arial" w:eastAsia="Arial" w:hAnsi="Arial"/>
                <w:sz w:val="18"/>
                <w:szCs w:val="18"/>
                <w:b w:val="1"/>
                <w:bCs w:val="1"/>
                <w:color w:val="auto"/>
                <w:w w:val="98"/>
              </w:rPr>
              <w:t>TABLE OF CONTENTS</w:t>
            </w:r>
          </w:p>
        </w:tc>
        <w:tc>
          <w:tcPr>
            <w:tcW w:w="2340" w:type="dxa"/>
            <w:vAlign w:val="bottom"/>
          </w:tcPr>
          <w:p>
            <w:pPr>
              <w:spacing w:after="0"/>
              <w:rPr>
                <w:sz w:val="19"/>
                <w:szCs w:val="19"/>
                <w:color w:val="auto"/>
              </w:rPr>
            </w:pPr>
          </w:p>
        </w:tc>
      </w:tr>
      <w:tr>
        <w:trPr>
          <w:trHeight w:val="230"/>
        </w:trPr>
        <w:tc>
          <w:tcPr>
            <w:tcW w:w="1260" w:type="dxa"/>
            <w:vAlign w:val="bottom"/>
          </w:tcPr>
          <w:p>
            <w:pPr>
              <w:spacing w:after="0"/>
              <w:rPr>
                <w:sz w:val="20"/>
                <w:szCs w:val="20"/>
                <w:color w:val="auto"/>
              </w:rPr>
            </w:pPr>
          </w:p>
        </w:tc>
        <w:tc>
          <w:tcPr>
            <w:tcW w:w="7180" w:type="dxa"/>
            <w:vAlign w:val="bottom"/>
          </w:tcPr>
          <w:p>
            <w:pPr>
              <w:jc w:val="center"/>
              <w:ind w:left="730"/>
              <w:spacing w:after="0"/>
              <w:rPr>
                <w:sz w:val="20"/>
                <w:szCs w:val="20"/>
                <w:color w:val="auto"/>
              </w:rPr>
            </w:pPr>
            <w:r>
              <w:rPr>
                <w:rFonts w:ascii="Arial" w:cs="Arial" w:eastAsia="Arial" w:hAnsi="Arial"/>
                <w:sz w:val="18"/>
                <w:szCs w:val="18"/>
                <w:color w:val="auto"/>
                <w:w w:val="93"/>
              </w:rPr>
              <w:t>(continued)</w:t>
            </w:r>
          </w:p>
        </w:tc>
        <w:tc>
          <w:tcPr>
            <w:tcW w:w="2340" w:type="dxa"/>
            <w:vAlign w:val="bottom"/>
          </w:tcPr>
          <w:p>
            <w:pPr>
              <w:spacing w:after="0"/>
              <w:rPr>
                <w:sz w:val="20"/>
                <w:szCs w:val="20"/>
                <w:color w:val="auto"/>
              </w:rPr>
            </w:pPr>
          </w:p>
        </w:tc>
      </w:tr>
      <w:tr>
        <w:trPr>
          <w:trHeight w:val="312"/>
        </w:trPr>
        <w:tc>
          <w:tcPr>
            <w:tcW w:w="126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1260" w:type="dxa"/>
            <w:vAlign w:val="bottom"/>
          </w:tcPr>
          <w:p>
            <w:pPr>
              <w:spacing w:after="0"/>
              <w:rPr>
                <w:sz w:val="20"/>
                <w:szCs w:val="20"/>
                <w:color w:val="auto"/>
              </w:rPr>
            </w:pPr>
            <w:r>
              <w:rPr>
                <w:rFonts w:ascii="Arial" w:cs="Arial" w:eastAsia="Arial" w:hAnsi="Arial"/>
                <w:sz w:val="18"/>
                <w:szCs w:val="18"/>
                <w:color w:val="auto"/>
                <w:w w:val="99"/>
              </w:rPr>
              <w:t>SECTION 9.02.</w:t>
            </w:r>
          </w:p>
        </w:tc>
        <w:tc>
          <w:tcPr>
            <w:tcW w:w="7180" w:type="dxa"/>
            <w:vAlign w:val="bottom"/>
          </w:tcPr>
          <w:p>
            <w:pPr>
              <w:ind w:left="100"/>
              <w:spacing w:after="0"/>
              <w:rPr>
                <w:sz w:val="20"/>
                <w:szCs w:val="20"/>
                <w:color w:val="auto"/>
              </w:rPr>
            </w:pPr>
            <w:r>
              <w:rPr>
                <w:rFonts w:ascii="Arial" w:cs="Arial" w:eastAsia="Arial" w:hAnsi="Arial"/>
                <w:sz w:val="18"/>
                <w:szCs w:val="18"/>
                <w:color w:val="auto"/>
              </w:rPr>
              <w:t>Waivers; Amendments</w:t>
            </w:r>
          </w:p>
        </w:tc>
        <w:tc>
          <w:tcPr>
            <w:tcW w:w="234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324"/>
        </w:trPr>
        <w:tc>
          <w:tcPr>
            <w:tcW w:w="8440" w:type="dxa"/>
            <w:vAlign w:val="bottom"/>
            <w:gridSpan w:val="2"/>
          </w:tcPr>
          <w:p>
            <w:pPr>
              <w:spacing w:after="0"/>
              <w:rPr>
                <w:sz w:val="20"/>
                <w:szCs w:val="20"/>
                <w:color w:val="auto"/>
              </w:rPr>
            </w:pPr>
            <w:r>
              <w:rPr>
                <w:rFonts w:ascii="Arial" w:cs="Arial" w:eastAsia="Arial" w:hAnsi="Arial"/>
                <w:sz w:val="18"/>
                <w:szCs w:val="18"/>
                <w:color w:val="auto"/>
              </w:rPr>
              <w:t>SECTION 9.03.  Expenses; Indemnity; Damage Waiver</w:t>
            </w:r>
          </w:p>
        </w:tc>
        <w:tc>
          <w:tcPr>
            <w:tcW w:w="234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324"/>
        </w:trPr>
        <w:tc>
          <w:tcPr>
            <w:tcW w:w="8440" w:type="dxa"/>
            <w:vAlign w:val="bottom"/>
            <w:gridSpan w:val="2"/>
          </w:tcPr>
          <w:p>
            <w:pPr>
              <w:spacing w:after="0"/>
              <w:rPr>
                <w:sz w:val="20"/>
                <w:szCs w:val="20"/>
                <w:color w:val="auto"/>
              </w:rPr>
            </w:pPr>
            <w:r>
              <w:rPr>
                <w:rFonts w:ascii="Arial" w:cs="Arial" w:eastAsia="Arial" w:hAnsi="Arial"/>
                <w:sz w:val="18"/>
                <w:szCs w:val="18"/>
                <w:color w:val="auto"/>
              </w:rPr>
              <w:t>SECTION 9.04.  Successors and Assigns</w:t>
            </w:r>
          </w:p>
        </w:tc>
        <w:tc>
          <w:tcPr>
            <w:tcW w:w="234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324"/>
        </w:trPr>
        <w:tc>
          <w:tcPr>
            <w:tcW w:w="1260" w:type="dxa"/>
            <w:vAlign w:val="bottom"/>
          </w:tcPr>
          <w:p>
            <w:pPr>
              <w:spacing w:after="0"/>
              <w:rPr>
                <w:sz w:val="20"/>
                <w:szCs w:val="20"/>
                <w:color w:val="auto"/>
              </w:rPr>
            </w:pPr>
            <w:r>
              <w:rPr>
                <w:rFonts w:ascii="Arial" w:cs="Arial" w:eastAsia="Arial" w:hAnsi="Arial"/>
                <w:sz w:val="18"/>
                <w:szCs w:val="18"/>
                <w:color w:val="auto"/>
                <w:w w:val="99"/>
              </w:rPr>
              <w:t>SECTION 9.05.</w:t>
            </w:r>
          </w:p>
        </w:tc>
        <w:tc>
          <w:tcPr>
            <w:tcW w:w="7180" w:type="dxa"/>
            <w:vAlign w:val="bottom"/>
          </w:tcPr>
          <w:p>
            <w:pPr>
              <w:ind w:left="100"/>
              <w:spacing w:after="0"/>
              <w:rPr>
                <w:sz w:val="20"/>
                <w:szCs w:val="20"/>
                <w:color w:val="auto"/>
              </w:rPr>
            </w:pPr>
            <w:r>
              <w:rPr>
                <w:rFonts w:ascii="Arial" w:cs="Arial" w:eastAsia="Arial" w:hAnsi="Arial"/>
                <w:sz w:val="18"/>
                <w:szCs w:val="18"/>
                <w:color w:val="auto"/>
              </w:rPr>
              <w:t>Survival</w:t>
            </w:r>
          </w:p>
        </w:tc>
        <w:tc>
          <w:tcPr>
            <w:tcW w:w="234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324"/>
        </w:trPr>
        <w:tc>
          <w:tcPr>
            <w:tcW w:w="8440" w:type="dxa"/>
            <w:vAlign w:val="bottom"/>
            <w:gridSpan w:val="2"/>
          </w:tcPr>
          <w:p>
            <w:pPr>
              <w:spacing w:after="0"/>
              <w:rPr>
                <w:sz w:val="20"/>
                <w:szCs w:val="20"/>
                <w:color w:val="auto"/>
              </w:rPr>
            </w:pPr>
            <w:r>
              <w:rPr>
                <w:rFonts w:ascii="Arial" w:cs="Arial" w:eastAsia="Arial" w:hAnsi="Arial"/>
                <w:sz w:val="18"/>
                <w:szCs w:val="18"/>
                <w:color w:val="auto"/>
              </w:rPr>
              <w:t>SECTION 9.06.  Counterparts; Integration; Effectiveness; Electronic Execution</w:t>
            </w:r>
          </w:p>
        </w:tc>
        <w:tc>
          <w:tcPr>
            <w:tcW w:w="234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324"/>
        </w:trPr>
        <w:tc>
          <w:tcPr>
            <w:tcW w:w="1260" w:type="dxa"/>
            <w:vAlign w:val="bottom"/>
          </w:tcPr>
          <w:p>
            <w:pPr>
              <w:spacing w:after="0"/>
              <w:rPr>
                <w:sz w:val="20"/>
                <w:szCs w:val="20"/>
                <w:color w:val="auto"/>
              </w:rPr>
            </w:pPr>
            <w:r>
              <w:rPr>
                <w:rFonts w:ascii="Arial" w:cs="Arial" w:eastAsia="Arial" w:hAnsi="Arial"/>
                <w:sz w:val="18"/>
                <w:szCs w:val="18"/>
                <w:color w:val="auto"/>
                <w:w w:val="99"/>
              </w:rPr>
              <w:t>SECTION 9.07.</w:t>
            </w:r>
          </w:p>
        </w:tc>
        <w:tc>
          <w:tcPr>
            <w:tcW w:w="7180" w:type="dxa"/>
            <w:vAlign w:val="bottom"/>
          </w:tcPr>
          <w:p>
            <w:pPr>
              <w:ind w:left="100"/>
              <w:spacing w:after="0"/>
              <w:rPr>
                <w:sz w:val="20"/>
                <w:szCs w:val="20"/>
                <w:color w:val="auto"/>
              </w:rPr>
            </w:pPr>
            <w:r>
              <w:rPr>
                <w:rFonts w:ascii="Arial" w:cs="Arial" w:eastAsia="Arial" w:hAnsi="Arial"/>
                <w:sz w:val="18"/>
                <w:szCs w:val="18"/>
                <w:color w:val="auto"/>
              </w:rPr>
              <w:t>Severability</w:t>
            </w:r>
          </w:p>
        </w:tc>
        <w:tc>
          <w:tcPr>
            <w:tcW w:w="234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324"/>
        </w:trPr>
        <w:tc>
          <w:tcPr>
            <w:tcW w:w="1260" w:type="dxa"/>
            <w:vAlign w:val="bottom"/>
          </w:tcPr>
          <w:p>
            <w:pPr>
              <w:spacing w:after="0"/>
              <w:rPr>
                <w:sz w:val="20"/>
                <w:szCs w:val="20"/>
                <w:color w:val="auto"/>
              </w:rPr>
            </w:pPr>
            <w:r>
              <w:rPr>
                <w:rFonts w:ascii="Arial" w:cs="Arial" w:eastAsia="Arial" w:hAnsi="Arial"/>
                <w:sz w:val="18"/>
                <w:szCs w:val="18"/>
                <w:color w:val="auto"/>
                <w:w w:val="99"/>
              </w:rPr>
              <w:t>SECTION 9.08.</w:t>
            </w:r>
          </w:p>
        </w:tc>
        <w:tc>
          <w:tcPr>
            <w:tcW w:w="7180" w:type="dxa"/>
            <w:vAlign w:val="bottom"/>
          </w:tcPr>
          <w:p>
            <w:pPr>
              <w:ind w:left="100"/>
              <w:spacing w:after="0"/>
              <w:rPr>
                <w:sz w:val="20"/>
                <w:szCs w:val="20"/>
                <w:color w:val="auto"/>
              </w:rPr>
            </w:pPr>
            <w:r>
              <w:rPr>
                <w:rFonts w:ascii="Arial" w:cs="Arial" w:eastAsia="Arial" w:hAnsi="Arial"/>
                <w:sz w:val="18"/>
                <w:szCs w:val="18"/>
                <w:color w:val="auto"/>
              </w:rPr>
              <w:t>Right of Setoff</w:t>
            </w:r>
          </w:p>
        </w:tc>
        <w:tc>
          <w:tcPr>
            <w:tcW w:w="234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324"/>
        </w:trPr>
        <w:tc>
          <w:tcPr>
            <w:tcW w:w="8440" w:type="dxa"/>
            <w:vAlign w:val="bottom"/>
            <w:gridSpan w:val="2"/>
          </w:tcPr>
          <w:p>
            <w:pPr>
              <w:spacing w:after="0"/>
              <w:rPr>
                <w:sz w:val="20"/>
                <w:szCs w:val="20"/>
                <w:color w:val="auto"/>
              </w:rPr>
            </w:pPr>
            <w:r>
              <w:rPr>
                <w:rFonts w:ascii="Arial" w:cs="Arial" w:eastAsia="Arial" w:hAnsi="Arial"/>
                <w:sz w:val="18"/>
                <w:szCs w:val="18"/>
                <w:color w:val="auto"/>
              </w:rPr>
              <w:t>SECTION 9.09.  Governing Law; Jurisdiction; Etc</w:t>
            </w:r>
          </w:p>
        </w:tc>
        <w:tc>
          <w:tcPr>
            <w:tcW w:w="234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324"/>
        </w:trPr>
        <w:tc>
          <w:tcPr>
            <w:tcW w:w="8440" w:type="dxa"/>
            <w:vAlign w:val="bottom"/>
            <w:gridSpan w:val="2"/>
          </w:tcPr>
          <w:p>
            <w:pPr>
              <w:spacing w:after="0"/>
              <w:rPr>
                <w:sz w:val="20"/>
                <w:szCs w:val="20"/>
                <w:color w:val="auto"/>
              </w:rPr>
            </w:pPr>
            <w:r>
              <w:rPr>
                <w:rFonts w:ascii="Arial" w:cs="Arial" w:eastAsia="Arial" w:hAnsi="Arial"/>
                <w:sz w:val="18"/>
                <w:szCs w:val="18"/>
                <w:color w:val="auto"/>
              </w:rPr>
              <w:t>SECTION 9.10.  WAIVER OF JURY TRIAL</w:t>
            </w:r>
          </w:p>
        </w:tc>
        <w:tc>
          <w:tcPr>
            <w:tcW w:w="234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324"/>
        </w:trPr>
        <w:tc>
          <w:tcPr>
            <w:tcW w:w="1260" w:type="dxa"/>
            <w:vAlign w:val="bottom"/>
          </w:tcPr>
          <w:p>
            <w:pPr>
              <w:spacing w:after="0"/>
              <w:rPr>
                <w:sz w:val="20"/>
                <w:szCs w:val="20"/>
                <w:color w:val="auto"/>
              </w:rPr>
            </w:pPr>
            <w:r>
              <w:rPr>
                <w:rFonts w:ascii="Arial" w:cs="Arial" w:eastAsia="Arial" w:hAnsi="Arial"/>
                <w:sz w:val="18"/>
                <w:szCs w:val="18"/>
                <w:color w:val="auto"/>
                <w:w w:val="99"/>
              </w:rPr>
              <w:t>SECTION 9.11.</w:t>
            </w:r>
          </w:p>
        </w:tc>
        <w:tc>
          <w:tcPr>
            <w:tcW w:w="7180" w:type="dxa"/>
            <w:vAlign w:val="bottom"/>
          </w:tcPr>
          <w:p>
            <w:pPr>
              <w:ind w:left="100"/>
              <w:spacing w:after="0"/>
              <w:rPr>
                <w:sz w:val="20"/>
                <w:szCs w:val="20"/>
                <w:color w:val="auto"/>
              </w:rPr>
            </w:pPr>
            <w:r>
              <w:rPr>
                <w:rFonts w:ascii="Arial" w:cs="Arial" w:eastAsia="Arial" w:hAnsi="Arial"/>
                <w:sz w:val="18"/>
                <w:szCs w:val="18"/>
                <w:color w:val="auto"/>
              </w:rPr>
              <w:t>Judgment Currency</w:t>
            </w:r>
          </w:p>
        </w:tc>
        <w:tc>
          <w:tcPr>
            <w:tcW w:w="234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324"/>
        </w:trPr>
        <w:tc>
          <w:tcPr>
            <w:tcW w:w="1260" w:type="dxa"/>
            <w:vAlign w:val="bottom"/>
          </w:tcPr>
          <w:p>
            <w:pPr>
              <w:spacing w:after="0"/>
              <w:rPr>
                <w:sz w:val="20"/>
                <w:szCs w:val="20"/>
                <w:color w:val="auto"/>
              </w:rPr>
            </w:pPr>
            <w:r>
              <w:rPr>
                <w:rFonts w:ascii="Arial" w:cs="Arial" w:eastAsia="Arial" w:hAnsi="Arial"/>
                <w:sz w:val="18"/>
                <w:szCs w:val="18"/>
                <w:color w:val="auto"/>
                <w:w w:val="99"/>
              </w:rPr>
              <w:t>SECTION 9.12.</w:t>
            </w:r>
          </w:p>
        </w:tc>
        <w:tc>
          <w:tcPr>
            <w:tcW w:w="7180" w:type="dxa"/>
            <w:vAlign w:val="bottom"/>
          </w:tcPr>
          <w:p>
            <w:pPr>
              <w:ind w:left="100"/>
              <w:spacing w:after="0"/>
              <w:rPr>
                <w:sz w:val="20"/>
                <w:szCs w:val="20"/>
                <w:color w:val="auto"/>
              </w:rPr>
            </w:pPr>
            <w:r>
              <w:rPr>
                <w:rFonts w:ascii="Arial" w:cs="Arial" w:eastAsia="Arial" w:hAnsi="Arial"/>
                <w:sz w:val="18"/>
                <w:szCs w:val="18"/>
                <w:color w:val="auto"/>
              </w:rPr>
              <w:t>Headings</w:t>
            </w:r>
          </w:p>
        </w:tc>
        <w:tc>
          <w:tcPr>
            <w:tcW w:w="234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324"/>
        </w:trPr>
        <w:tc>
          <w:tcPr>
            <w:tcW w:w="8440" w:type="dxa"/>
            <w:vAlign w:val="bottom"/>
            <w:gridSpan w:val="2"/>
          </w:tcPr>
          <w:p>
            <w:pPr>
              <w:spacing w:after="0"/>
              <w:rPr>
                <w:sz w:val="20"/>
                <w:szCs w:val="20"/>
                <w:color w:val="auto"/>
              </w:rPr>
            </w:pPr>
            <w:r>
              <w:rPr>
                <w:rFonts w:ascii="Arial" w:cs="Arial" w:eastAsia="Arial" w:hAnsi="Arial"/>
                <w:sz w:val="18"/>
                <w:szCs w:val="18"/>
                <w:color w:val="auto"/>
              </w:rPr>
              <w:t>SECTION 9.13.  Treatment of Certain Information; No Fiduciary Duty; Confidentiality</w:t>
            </w:r>
          </w:p>
        </w:tc>
        <w:tc>
          <w:tcPr>
            <w:tcW w:w="234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324"/>
        </w:trPr>
        <w:tc>
          <w:tcPr>
            <w:tcW w:w="8440" w:type="dxa"/>
            <w:vAlign w:val="bottom"/>
            <w:gridSpan w:val="2"/>
          </w:tcPr>
          <w:p>
            <w:pPr>
              <w:spacing w:after="0"/>
              <w:rPr>
                <w:sz w:val="20"/>
                <w:szCs w:val="20"/>
                <w:color w:val="auto"/>
              </w:rPr>
            </w:pPr>
            <w:r>
              <w:rPr>
                <w:rFonts w:ascii="Arial" w:cs="Arial" w:eastAsia="Arial" w:hAnsi="Arial"/>
                <w:sz w:val="18"/>
                <w:szCs w:val="18"/>
                <w:color w:val="auto"/>
              </w:rPr>
              <w:t>SECTION 9.14.  USA PATRIOT Act</w:t>
            </w:r>
          </w:p>
        </w:tc>
        <w:tc>
          <w:tcPr>
            <w:tcW w:w="234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324"/>
        </w:trPr>
        <w:tc>
          <w:tcPr>
            <w:tcW w:w="8440" w:type="dxa"/>
            <w:vAlign w:val="bottom"/>
            <w:gridSpan w:val="2"/>
          </w:tcPr>
          <w:p>
            <w:pPr>
              <w:spacing w:after="0"/>
              <w:rPr>
                <w:sz w:val="20"/>
                <w:szCs w:val="20"/>
                <w:color w:val="auto"/>
              </w:rPr>
            </w:pPr>
            <w:r>
              <w:rPr>
                <w:rFonts w:ascii="Arial" w:cs="Arial" w:eastAsia="Arial" w:hAnsi="Arial"/>
                <w:sz w:val="18"/>
                <w:szCs w:val="18"/>
                <w:color w:val="auto"/>
              </w:rPr>
              <w:t>SECTION 9.15.  Effect of Amendment and Restatement of the Existing Agreement</w:t>
            </w:r>
          </w:p>
        </w:tc>
        <w:tc>
          <w:tcPr>
            <w:tcW w:w="234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365"/>
        </w:trPr>
        <w:tc>
          <w:tcPr>
            <w:tcW w:w="1260" w:type="dxa"/>
            <w:vAlign w:val="bottom"/>
          </w:tcPr>
          <w:p>
            <w:pPr>
              <w:spacing w:after="0"/>
              <w:rPr>
                <w:sz w:val="24"/>
                <w:szCs w:val="24"/>
                <w:color w:val="auto"/>
              </w:rPr>
            </w:pPr>
          </w:p>
        </w:tc>
        <w:tc>
          <w:tcPr>
            <w:tcW w:w="7180" w:type="dxa"/>
            <w:vAlign w:val="bottom"/>
          </w:tcPr>
          <w:p>
            <w:pPr>
              <w:jc w:val="center"/>
              <w:ind w:left="750"/>
              <w:spacing w:after="0"/>
              <w:rPr>
                <w:sz w:val="20"/>
                <w:szCs w:val="20"/>
                <w:color w:val="auto"/>
              </w:rPr>
            </w:pPr>
            <w:r>
              <w:rPr>
                <w:rFonts w:ascii="Arial" w:cs="Arial" w:eastAsia="Arial" w:hAnsi="Arial"/>
                <w:sz w:val="18"/>
                <w:szCs w:val="18"/>
                <w:color w:val="auto"/>
              </w:rPr>
              <w:t>-iv-</w:t>
            </w:r>
          </w:p>
        </w:tc>
        <w:tc>
          <w:tcPr>
            <w:tcW w:w="2340" w:type="dxa"/>
            <w:vAlign w:val="bottom"/>
          </w:tcPr>
          <w:p>
            <w:pPr>
              <w:spacing w:after="0"/>
              <w:rPr>
                <w:sz w:val="24"/>
                <w:szCs w:val="24"/>
                <w:color w:val="auto"/>
              </w:rPr>
            </w:pPr>
          </w:p>
        </w:tc>
      </w:tr>
    </w:tbl>
    <w:p>
      <w:pPr>
        <w:sectPr>
          <w:pgSz w:w="11900" w:h="16838" w:orient="portrait"/>
          <w:cols w:equalWidth="0" w:num="1">
            <w:col w:w="10780"/>
          </w:cols>
          <w:pgMar w:left="680" w:top="270" w:right="439" w:bottom="1440" w:gutter="0" w:footer="0" w:header="0"/>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SCHEDULE 1.01(a)</w:t>
            </w:r>
          </w:p>
        </w:tc>
        <w:tc>
          <w:tcPr>
            <w:tcW w:w="4040" w:type="dxa"/>
            <w:vAlign w:val="bottom"/>
            <w:gridSpan w:val="2"/>
          </w:tcPr>
          <w:p>
            <w:pPr>
              <w:ind w:left="220"/>
              <w:spacing w:after="0"/>
              <w:rPr>
                <w:sz w:val="20"/>
                <w:szCs w:val="20"/>
                <w:color w:val="auto"/>
              </w:rPr>
            </w:pPr>
            <w:r>
              <w:rPr>
                <w:rFonts w:ascii="Arial" w:cs="Arial" w:eastAsia="Arial" w:hAnsi="Arial"/>
                <w:sz w:val="18"/>
                <w:szCs w:val="18"/>
                <w:color w:val="auto"/>
                <w:w w:val="92"/>
              </w:rPr>
              <w:t>-  Approved Dealers and Approved Pricing Services</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SCHEDULE 1.01(b)</w:t>
            </w:r>
          </w:p>
        </w:tc>
        <w:tc>
          <w:tcPr>
            <w:tcW w:w="360" w:type="dxa"/>
            <w:vAlign w:val="bottom"/>
          </w:tcPr>
          <w:p>
            <w:pPr>
              <w:ind w:left="220"/>
              <w:spacing w:after="0"/>
              <w:rPr>
                <w:sz w:val="20"/>
                <w:szCs w:val="20"/>
                <w:color w:val="auto"/>
              </w:rPr>
            </w:pPr>
            <w:r>
              <w:rPr>
                <w:rFonts w:ascii="Arial" w:cs="Arial" w:eastAsia="Arial" w:hAnsi="Arial"/>
                <w:sz w:val="18"/>
                <w:szCs w:val="18"/>
                <w:color w:val="auto"/>
              </w:rPr>
              <w:t>-</w:t>
            </w:r>
          </w:p>
        </w:tc>
        <w:tc>
          <w:tcPr>
            <w:tcW w:w="3680" w:type="dxa"/>
            <w:vAlign w:val="bottom"/>
          </w:tcPr>
          <w:p>
            <w:pPr>
              <w:ind w:left="80"/>
              <w:spacing w:after="0"/>
              <w:rPr>
                <w:sz w:val="20"/>
                <w:szCs w:val="20"/>
                <w:color w:val="auto"/>
              </w:rPr>
            </w:pPr>
            <w:r>
              <w:rPr>
                <w:rFonts w:ascii="Arial" w:cs="Arial" w:eastAsia="Arial" w:hAnsi="Arial"/>
                <w:sz w:val="18"/>
                <w:szCs w:val="18"/>
                <w:color w:val="auto"/>
              </w:rPr>
              <w:t>Commitments</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SCHEDULE 1.01(c)</w:t>
            </w:r>
          </w:p>
        </w:tc>
        <w:tc>
          <w:tcPr>
            <w:tcW w:w="4040" w:type="dxa"/>
            <w:vAlign w:val="bottom"/>
            <w:gridSpan w:val="2"/>
          </w:tcPr>
          <w:p>
            <w:pPr>
              <w:ind w:left="220"/>
              <w:spacing w:after="0"/>
              <w:rPr>
                <w:sz w:val="20"/>
                <w:szCs w:val="20"/>
                <w:color w:val="auto"/>
              </w:rPr>
            </w:pPr>
            <w:r>
              <w:rPr>
                <w:rFonts w:ascii="Arial" w:cs="Arial" w:eastAsia="Arial" w:hAnsi="Arial"/>
                <w:sz w:val="18"/>
                <w:szCs w:val="18"/>
                <w:color w:val="auto"/>
              </w:rPr>
              <w:t>-  Industry Classification Group List</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SCHEDULE 3.11</w:t>
            </w:r>
          </w:p>
        </w:tc>
        <w:tc>
          <w:tcPr>
            <w:tcW w:w="4040" w:type="dxa"/>
            <w:vAlign w:val="bottom"/>
            <w:gridSpan w:val="2"/>
          </w:tcPr>
          <w:p>
            <w:pPr>
              <w:ind w:left="220"/>
              <w:spacing w:after="0"/>
              <w:rPr>
                <w:sz w:val="20"/>
                <w:szCs w:val="20"/>
                <w:color w:val="auto"/>
              </w:rPr>
            </w:pPr>
            <w:r>
              <w:rPr>
                <w:rFonts w:ascii="Arial" w:cs="Arial" w:eastAsia="Arial" w:hAnsi="Arial"/>
                <w:sz w:val="18"/>
                <w:szCs w:val="18"/>
                <w:color w:val="auto"/>
              </w:rPr>
              <w:t>-  Material Agreements and Liens</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SCHEDULE 3.12(a)</w:t>
            </w:r>
          </w:p>
        </w:tc>
        <w:tc>
          <w:tcPr>
            <w:tcW w:w="360" w:type="dxa"/>
            <w:vAlign w:val="bottom"/>
          </w:tcPr>
          <w:p>
            <w:pPr>
              <w:ind w:left="220"/>
              <w:spacing w:after="0"/>
              <w:rPr>
                <w:sz w:val="20"/>
                <w:szCs w:val="20"/>
                <w:color w:val="auto"/>
              </w:rPr>
            </w:pPr>
            <w:r>
              <w:rPr>
                <w:rFonts w:ascii="Arial" w:cs="Arial" w:eastAsia="Arial" w:hAnsi="Arial"/>
                <w:sz w:val="18"/>
                <w:szCs w:val="18"/>
                <w:color w:val="auto"/>
              </w:rPr>
              <w:t>-</w:t>
            </w:r>
          </w:p>
        </w:tc>
        <w:tc>
          <w:tcPr>
            <w:tcW w:w="3680" w:type="dxa"/>
            <w:vAlign w:val="bottom"/>
          </w:tcPr>
          <w:p>
            <w:pPr>
              <w:ind w:left="80"/>
              <w:spacing w:after="0"/>
              <w:rPr>
                <w:sz w:val="20"/>
                <w:szCs w:val="20"/>
                <w:color w:val="auto"/>
              </w:rPr>
            </w:pPr>
            <w:r>
              <w:rPr>
                <w:rFonts w:ascii="Arial" w:cs="Arial" w:eastAsia="Arial" w:hAnsi="Arial"/>
                <w:sz w:val="18"/>
                <w:szCs w:val="18"/>
                <w:color w:val="auto"/>
              </w:rPr>
              <w:t>Subsidiaries</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SCHEDULE 3.12(b)</w:t>
            </w:r>
          </w:p>
        </w:tc>
        <w:tc>
          <w:tcPr>
            <w:tcW w:w="360" w:type="dxa"/>
            <w:vAlign w:val="bottom"/>
          </w:tcPr>
          <w:p>
            <w:pPr>
              <w:ind w:left="220"/>
              <w:spacing w:after="0"/>
              <w:rPr>
                <w:sz w:val="20"/>
                <w:szCs w:val="20"/>
                <w:color w:val="auto"/>
              </w:rPr>
            </w:pPr>
            <w:r>
              <w:rPr>
                <w:rFonts w:ascii="Arial" w:cs="Arial" w:eastAsia="Arial" w:hAnsi="Arial"/>
                <w:sz w:val="18"/>
                <w:szCs w:val="18"/>
                <w:color w:val="auto"/>
              </w:rPr>
              <w:t>-</w:t>
            </w:r>
          </w:p>
        </w:tc>
        <w:tc>
          <w:tcPr>
            <w:tcW w:w="3680" w:type="dxa"/>
            <w:vAlign w:val="bottom"/>
          </w:tcPr>
          <w:p>
            <w:pPr>
              <w:ind w:left="80"/>
              <w:spacing w:after="0"/>
              <w:rPr>
                <w:sz w:val="20"/>
                <w:szCs w:val="20"/>
                <w:color w:val="auto"/>
              </w:rPr>
            </w:pPr>
            <w:r>
              <w:rPr>
                <w:rFonts w:ascii="Arial" w:cs="Arial" w:eastAsia="Arial" w:hAnsi="Arial"/>
                <w:sz w:val="18"/>
                <w:szCs w:val="18"/>
                <w:color w:val="auto"/>
              </w:rPr>
              <w:t>Investments</w:t>
            </w:r>
          </w:p>
        </w:tc>
      </w:tr>
      <w:tr>
        <w:trPr>
          <w:trHeight w:val="230"/>
        </w:trPr>
        <w:tc>
          <w:tcPr>
            <w:tcW w:w="1720" w:type="dxa"/>
            <w:vAlign w:val="bottom"/>
          </w:tcPr>
          <w:p>
            <w:pPr>
              <w:spacing w:after="0"/>
              <w:rPr>
                <w:sz w:val="20"/>
                <w:szCs w:val="20"/>
                <w:color w:val="auto"/>
              </w:rPr>
            </w:pPr>
            <w:r>
              <w:rPr>
                <w:rFonts w:ascii="Arial" w:cs="Arial" w:eastAsia="Arial" w:hAnsi="Arial"/>
                <w:sz w:val="18"/>
                <w:szCs w:val="18"/>
                <w:color w:val="auto"/>
              </w:rPr>
              <w:t>SCHEDULE 6.08</w:t>
            </w:r>
          </w:p>
        </w:tc>
        <w:tc>
          <w:tcPr>
            <w:tcW w:w="360" w:type="dxa"/>
            <w:vAlign w:val="bottom"/>
          </w:tcPr>
          <w:p>
            <w:pPr>
              <w:ind w:left="220"/>
              <w:spacing w:after="0"/>
              <w:rPr>
                <w:sz w:val="20"/>
                <w:szCs w:val="20"/>
                <w:color w:val="auto"/>
              </w:rPr>
            </w:pPr>
            <w:r>
              <w:rPr>
                <w:rFonts w:ascii="Arial" w:cs="Arial" w:eastAsia="Arial" w:hAnsi="Arial"/>
                <w:sz w:val="18"/>
                <w:szCs w:val="18"/>
                <w:color w:val="auto"/>
              </w:rPr>
              <w:t>-</w:t>
            </w:r>
          </w:p>
        </w:tc>
        <w:tc>
          <w:tcPr>
            <w:tcW w:w="3680" w:type="dxa"/>
            <w:vAlign w:val="bottom"/>
          </w:tcPr>
          <w:p>
            <w:pPr>
              <w:ind w:left="80"/>
              <w:spacing w:after="0"/>
              <w:rPr>
                <w:sz w:val="20"/>
                <w:szCs w:val="20"/>
                <w:color w:val="auto"/>
              </w:rPr>
            </w:pPr>
            <w:r>
              <w:rPr>
                <w:rFonts w:ascii="Arial" w:cs="Arial" w:eastAsia="Arial" w:hAnsi="Arial"/>
                <w:sz w:val="18"/>
                <w:szCs w:val="18"/>
                <w:color w:val="auto"/>
              </w:rPr>
              <w:t>Transactions with Affiliates</w:t>
            </w:r>
          </w:p>
        </w:tc>
      </w:tr>
      <w:tr>
        <w:trPr>
          <w:trHeight w:val="418"/>
        </w:trPr>
        <w:tc>
          <w:tcPr>
            <w:tcW w:w="1720" w:type="dxa"/>
            <w:vAlign w:val="bottom"/>
          </w:tcPr>
          <w:p>
            <w:pPr>
              <w:spacing w:after="0"/>
              <w:rPr>
                <w:sz w:val="20"/>
                <w:szCs w:val="20"/>
                <w:color w:val="auto"/>
              </w:rPr>
            </w:pPr>
            <w:r>
              <w:rPr>
                <w:rFonts w:ascii="Arial" w:cs="Arial" w:eastAsia="Arial" w:hAnsi="Arial"/>
                <w:sz w:val="18"/>
                <w:szCs w:val="18"/>
                <w:color w:val="auto"/>
              </w:rPr>
              <w:t>EXHIBIT A</w:t>
            </w:r>
          </w:p>
        </w:tc>
        <w:tc>
          <w:tcPr>
            <w:tcW w:w="4040" w:type="dxa"/>
            <w:vAlign w:val="bottom"/>
            <w:gridSpan w:val="2"/>
          </w:tcPr>
          <w:p>
            <w:pPr>
              <w:ind w:left="220"/>
              <w:spacing w:after="0"/>
              <w:rPr>
                <w:sz w:val="20"/>
                <w:szCs w:val="20"/>
                <w:color w:val="auto"/>
              </w:rPr>
            </w:pPr>
            <w:r>
              <w:rPr>
                <w:rFonts w:ascii="Arial" w:cs="Arial" w:eastAsia="Arial" w:hAnsi="Arial"/>
                <w:sz w:val="18"/>
                <w:szCs w:val="18"/>
                <w:color w:val="auto"/>
              </w:rPr>
              <w:t>-  Form of Assignment and Assumption</w:t>
            </w:r>
          </w:p>
        </w:tc>
      </w:tr>
      <w:tr>
        <w:trPr>
          <w:trHeight w:val="230"/>
        </w:trPr>
        <w:tc>
          <w:tcPr>
            <w:tcW w:w="1720" w:type="dxa"/>
            <w:vAlign w:val="bottom"/>
          </w:tcPr>
          <w:p>
            <w:pPr>
              <w:spacing w:after="0"/>
              <w:rPr>
                <w:sz w:val="20"/>
                <w:szCs w:val="20"/>
                <w:color w:val="auto"/>
              </w:rPr>
            </w:pPr>
            <w:r>
              <w:rPr>
                <w:rFonts w:ascii="Arial" w:cs="Arial" w:eastAsia="Arial" w:hAnsi="Arial"/>
                <w:sz w:val="18"/>
                <w:szCs w:val="18"/>
                <w:color w:val="auto"/>
              </w:rPr>
              <w:t>EXHIBIT B</w:t>
            </w:r>
          </w:p>
        </w:tc>
        <w:tc>
          <w:tcPr>
            <w:tcW w:w="4040" w:type="dxa"/>
            <w:vAlign w:val="bottom"/>
            <w:gridSpan w:val="2"/>
          </w:tcPr>
          <w:p>
            <w:pPr>
              <w:ind w:left="220"/>
              <w:spacing w:after="0"/>
              <w:rPr>
                <w:sz w:val="20"/>
                <w:szCs w:val="20"/>
                <w:color w:val="auto"/>
              </w:rPr>
            </w:pPr>
            <w:r>
              <w:rPr>
                <w:rFonts w:ascii="Arial" w:cs="Arial" w:eastAsia="Arial" w:hAnsi="Arial"/>
                <w:sz w:val="18"/>
                <w:szCs w:val="18"/>
                <w:color w:val="auto"/>
              </w:rPr>
              <w:t>-  Form of Borrowing Base Certificate</w:t>
            </w:r>
          </w:p>
        </w:tc>
      </w:tr>
    </w:tbl>
    <w:p>
      <w:pPr>
        <w:sectPr>
          <w:pgSz w:w="11900" w:h="16838" w:orient="portrait"/>
          <w:cols w:equalWidth="0" w:num="1">
            <w:col w:w="10139"/>
          </w:cols>
          <w:pgMar w:left="320" w:top="274" w:right="1440" w:bottom="1440" w:gutter="0" w:footer="0" w:header="0"/>
        </w:sectPr>
      </w:pPr>
    </w:p>
    <w:bookmarkStart w:id="11" w:name="page12"/>
    <w:bookmarkEnd w:id="11"/>
    <w:p>
      <w:pPr>
        <w:ind w:left="9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SECOND AMENDED AND RESTATED SENIOR SECURED REVOLVING CREDIT AGREEMENT dated as of June 25, 2014 (this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Agreement</w:t>
      </w:r>
      <w:r>
        <w:rPr>
          <w:rFonts w:ascii="Arial" w:cs="Arial" w:eastAsia="Arial" w:hAnsi="Arial"/>
          <w:sz w:val="17"/>
          <w:szCs w:val="17"/>
          <w:color w:val="auto"/>
        </w:rPr>
        <w:t>”), among PENNANTPARK INVESTMENT CORPORATION, a Maryland corporation (the “</w:t>
      </w:r>
      <w:r>
        <w:rPr>
          <w:rFonts w:ascii="Arial" w:cs="Arial" w:eastAsia="Arial" w:hAnsi="Arial"/>
          <w:sz w:val="17"/>
          <w:szCs w:val="17"/>
          <w:u w:val="single" w:color="auto"/>
          <w:color w:val="auto"/>
        </w:rPr>
        <w:t>Borrower</w:t>
      </w:r>
      <w:r>
        <w:rPr>
          <w:rFonts w:ascii="Arial" w:cs="Arial" w:eastAsia="Arial" w:hAnsi="Arial"/>
          <w:sz w:val="17"/>
          <w:szCs w:val="17"/>
          <w:color w:val="auto"/>
        </w:rPr>
        <w:t>”), the LENDERS party hereto,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SUNTRUST BANK, as Administrative Agent.</w:t>
      </w:r>
    </w:p>
    <w:p>
      <w:pPr>
        <w:spacing w:after="0" w:line="211" w:lineRule="exact"/>
        <w:rPr>
          <w:sz w:val="20"/>
          <w:szCs w:val="20"/>
          <w:color w:val="auto"/>
        </w:rPr>
      </w:pPr>
    </w:p>
    <w:p>
      <w:pPr>
        <w:ind w:left="900"/>
        <w:spacing w:after="0"/>
        <w:rPr>
          <w:sz w:val="20"/>
          <w:szCs w:val="20"/>
          <w:color w:val="auto"/>
        </w:rPr>
      </w:pPr>
      <w:r>
        <w:rPr>
          <w:rFonts w:ascii="Arial" w:cs="Arial" w:eastAsia="Arial" w:hAnsi="Arial"/>
          <w:sz w:val="16"/>
          <w:szCs w:val="16"/>
          <w:color w:val="auto"/>
        </w:rPr>
        <w:t>Pursuant to the Amended and Restated Senior Secured Revolving Credit Agreement dated as of February 21, 2012 (as amended, supplemented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or otherwise modified prior to the Effective Date, the “</w:t>
      </w:r>
      <w:r>
        <w:rPr>
          <w:rFonts w:ascii="Arial" w:cs="Arial" w:eastAsia="Arial" w:hAnsi="Arial"/>
          <w:sz w:val="17"/>
          <w:szCs w:val="17"/>
          <w:u w:val="single" w:color="auto"/>
          <w:color w:val="auto"/>
        </w:rPr>
        <w:t>Existing Credit Agreement</w:t>
      </w:r>
      <w:r>
        <w:rPr>
          <w:rFonts w:ascii="Arial" w:cs="Arial" w:eastAsia="Arial" w:hAnsi="Arial"/>
          <w:sz w:val="17"/>
          <w:szCs w:val="17"/>
          <w:color w:val="auto"/>
        </w:rPr>
        <w:t>”), among the Borrower, the lenders party thereto (collectively,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Existing Lenders</w:t>
      </w:r>
      <w:r>
        <w:rPr>
          <w:rFonts w:ascii="Arial" w:cs="Arial" w:eastAsia="Arial" w:hAnsi="Arial"/>
          <w:sz w:val="16"/>
          <w:szCs w:val="16"/>
          <w:color w:val="auto"/>
        </w:rPr>
        <w:t>”) and the Administrative Agent, the Existing Lenders agreed to make extensions of credit to the Borrower on the terms and conditions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set forth therein, including making loans (the “</w:t>
      </w:r>
      <w:r>
        <w:rPr>
          <w:rFonts w:ascii="Arial" w:cs="Arial" w:eastAsia="Arial" w:hAnsi="Arial"/>
          <w:sz w:val="18"/>
          <w:szCs w:val="18"/>
          <w:u w:val="single" w:color="auto"/>
          <w:color w:val="auto"/>
        </w:rPr>
        <w:t>Existing Loans</w:t>
      </w:r>
      <w:r>
        <w:rPr>
          <w:rFonts w:ascii="Arial" w:cs="Arial" w:eastAsia="Arial" w:hAnsi="Arial"/>
          <w:sz w:val="18"/>
          <w:szCs w:val="18"/>
          <w:color w:val="auto"/>
        </w:rPr>
        <w:t>”) to the Borrower.</w:t>
      </w:r>
    </w:p>
    <w:p>
      <w:pPr>
        <w:spacing w:after="0" w:line="211" w:lineRule="exact"/>
        <w:rPr>
          <w:sz w:val="20"/>
          <w:szCs w:val="20"/>
          <w:color w:val="auto"/>
        </w:rPr>
      </w:pPr>
    </w:p>
    <w:p>
      <w:pPr>
        <w:ind w:firstLine="898"/>
        <w:spacing w:after="0" w:line="288" w:lineRule="auto"/>
        <w:rPr>
          <w:sz w:val="20"/>
          <w:szCs w:val="20"/>
          <w:color w:val="auto"/>
        </w:rPr>
      </w:pPr>
      <w:r>
        <w:rPr>
          <w:rFonts w:ascii="Arial" w:cs="Arial" w:eastAsia="Arial" w:hAnsi="Arial"/>
          <w:sz w:val="16"/>
          <w:szCs w:val="16"/>
          <w:color w:val="auto"/>
        </w:rPr>
        <w:t>The Borrower has requested that the Existing Credit Agreement be amended and restated in its entirety to become effective and binding on the Borrower pursuant to the terms of this Agreement, and the Lenders (including certain of the Existing Lenders) have agreed (subject to the terms of this Agreement) to amend and restate the Existing Credit Agreement in its entirety to read as set forth in this Agreement, and it has been agreed by the parties to the Existing Credit Agreement that (a) the commitments which the Existing Lenders have agreed to extend to the Borrower under the Existing Credit Agreement shall be extended or advanced upon the amended and restated terms and conditions contained in this Agreement; and (b) the Existing Loans and other obligations outstanding under the Existing Credit Agreement shall be governed by and deemed to be outstanding under the amended and restated terms and conditions contained in this Agreement on and after the date hereof, with the intent that the terms of this Agreement shall supersede the terms of the Existing Credit Agreement (each of which shall hereafter have no further effect upon the parties thereto, other than for accrued and unpaid fees and expenses, and indemnification provisions accrued and owing, under the terms of the Existing Credit Agreement on or prior to the Effective Date or arising (in the case of indemnification) under the terms of the Existing Credit Agreement).</w:t>
      </w:r>
    </w:p>
    <w:p>
      <w:pPr>
        <w:spacing w:after="0" w:line="168" w:lineRule="exact"/>
        <w:rPr>
          <w:sz w:val="20"/>
          <w:szCs w:val="20"/>
          <w:color w:val="auto"/>
        </w:rPr>
      </w:pPr>
    </w:p>
    <w:p>
      <w:pPr>
        <w:ind w:right="300" w:firstLine="898"/>
        <w:spacing w:after="0" w:line="277" w:lineRule="auto"/>
        <w:rPr>
          <w:sz w:val="20"/>
          <w:szCs w:val="20"/>
          <w:color w:val="auto"/>
        </w:rPr>
      </w:pPr>
      <w:r>
        <w:rPr>
          <w:rFonts w:ascii="Arial" w:cs="Arial" w:eastAsia="Arial" w:hAnsi="Arial"/>
          <w:sz w:val="18"/>
          <w:szCs w:val="18"/>
          <w:color w:val="auto"/>
        </w:rPr>
        <w:t>The parties hereto hereby agree to amend and restate the Existing Credit Agreement, and the Existing Credit Agreement is hereby amended and restated in its entirety as follows: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DEFINITIONS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Agreement, the following terms have the meanings specified below:</w:t>
      </w:r>
    </w:p>
    <w:p>
      <w:pPr>
        <w:spacing w:after="0" w:line="225" w:lineRule="exact"/>
        <w:rPr>
          <w:sz w:val="20"/>
          <w:szCs w:val="20"/>
          <w:color w:val="auto"/>
        </w:rPr>
      </w:pPr>
    </w:p>
    <w:p>
      <w:pPr>
        <w:ind w:right="640"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ABR</w:t>
      </w:r>
      <w:r>
        <w:rPr>
          <w:rFonts w:ascii="Arial" w:cs="Arial" w:eastAsia="Arial" w:hAnsi="Arial"/>
          <w:sz w:val="18"/>
          <w:szCs w:val="18"/>
          <w:color w:val="auto"/>
        </w:rPr>
        <w:t>”, when used in reference to any Loan or Borrowing, refers to whether such Loan, or the Loans constituting such Borrowing, are denominated in Dollars and bearing interest at a rate determined by reference to the Alternate Base Rate.</w:t>
      </w:r>
    </w:p>
    <w:p>
      <w:pPr>
        <w:spacing w:after="0" w:line="170" w:lineRule="exact"/>
        <w:rPr>
          <w:sz w:val="20"/>
          <w:szCs w:val="20"/>
          <w:color w:val="auto"/>
        </w:rPr>
      </w:pPr>
    </w:p>
    <w:p>
      <w:pPr>
        <w:ind w:right="240" w:firstLine="89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Borrowing Base</w:t>
      </w:r>
      <w:r>
        <w:rPr>
          <w:rFonts w:ascii="Arial" w:cs="Arial" w:eastAsia="Arial" w:hAnsi="Arial"/>
          <w:sz w:val="18"/>
          <w:szCs w:val="18"/>
          <w:color w:val="auto"/>
        </w:rPr>
        <w:t xml:space="preserve">” means the Borrowing Base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aggregate amount of Cash and Cash Equivalents included in the Portfolio Investments held by the Obligors (provided that Cash Collateral for outstanding Letters of Credit shall not be treated as a portion of the Portfolio Investments).</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ectPr>
          <w:pgSz w:w="11900" w:h="16838" w:orient="portrait"/>
          <w:cols w:equalWidth="0" w:num="1">
            <w:col w:w="11240"/>
          </w:cols>
          <w:pgMar w:left="320" w:top="274" w:right="339" w:bottom="1440" w:gutter="0" w:footer="0" w:header="0"/>
        </w:sectPr>
      </w:pPr>
    </w:p>
    <w:bookmarkStart w:id="12" w:name="page13"/>
    <w:bookmarkEnd w:id="12"/>
    <w:p>
      <w:pPr>
        <w:ind w:right="60" w:firstLine="898"/>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Adjusted Covered Debt Balance</w:t>
      </w:r>
      <w:r>
        <w:rPr>
          <w:rFonts w:ascii="Arial" w:cs="Arial" w:eastAsia="Arial" w:hAnsi="Arial"/>
          <w:sz w:val="18"/>
          <w:szCs w:val="18"/>
          <w:color w:val="auto"/>
        </w:rPr>
        <w:t xml:space="preserve">” means, on any date, the aggregate Covered Debt Amount on such date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aggregate amount of Cash and Cash Equivalents included in the Portfolio Investments held by the Obligors (provided that Cash Collateral for outstanding Letters of Credit shall not be treated as a portion of the Portfolio Investments).</w:t>
      </w:r>
    </w:p>
    <w:p>
      <w:pPr>
        <w:spacing w:after="0" w:line="184" w:lineRule="exact"/>
        <w:rPr>
          <w:sz w:val="20"/>
          <w:szCs w:val="20"/>
          <w:color w:val="auto"/>
        </w:rPr>
      </w:pPr>
    </w:p>
    <w:p>
      <w:pPr>
        <w:ind w:right="40" w:firstLine="89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Adjusted LIBO Rate</w:t>
      </w:r>
      <w:r>
        <w:rPr>
          <w:rFonts w:ascii="Arial" w:cs="Arial" w:eastAsia="Arial" w:hAnsi="Arial"/>
          <w:sz w:val="16"/>
          <w:szCs w:val="16"/>
          <w:color w:val="auto"/>
        </w:rPr>
        <w:t xml:space="preserve">” means (a) for the Interest Period for any Eurocurrency Borrowing denominated in a LIBO Quoted Currency, an interest rate per annum (rounded upwards, if necessary, to the next 1/16 of 1%) equal to (i) the LIBO Rate for such Interest Period </w:t>
      </w:r>
      <w:r>
        <w:rPr>
          <w:rFonts w:ascii="Arial" w:cs="Arial" w:eastAsia="Arial" w:hAnsi="Arial"/>
          <w:sz w:val="16"/>
          <w:szCs w:val="16"/>
          <w:u w:val="single" w:color="auto"/>
          <w:color w:val="auto"/>
        </w:rPr>
        <w:t>multiplied by</w:t>
      </w:r>
      <w:r>
        <w:rPr>
          <w:rFonts w:ascii="Arial" w:cs="Arial" w:eastAsia="Arial" w:hAnsi="Arial"/>
          <w:sz w:val="16"/>
          <w:szCs w:val="16"/>
          <w:color w:val="auto"/>
        </w:rPr>
        <w:t xml:space="preserve"> (ii) the Statutory Reserve Rate for such Interest Period and (b) for the Interest Period for any Eurocurrency Borrowing denominated in a Non-LIBO Quoted Currency, an interest rate per annum (rounded upwards, if necessary, to the next 1/16 of 1%) equal to the LIBO Rate for such Interest Period.</w:t>
      </w:r>
    </w:p>
    <w:p>
      <w:pPr>
        <w:spacing w:after="0" w:line="15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means SunTrust, in its capacity as administrative agent for the Lenders hereunder.</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 Appraisal Testing Month</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5.12(b)(ii)(E)(y)</w:t>
      </w:r>
      <w:r>
        <w:rPr>
          <w:rFonts w:ascii="Arial" w:cs="Arial" w:eastAsia="Arial" w:hAnsi="Arial"/>
          <w:sz w:val="18"/>
          <w:szCs w:val="18"/>
          <w:color w:val="auto"/>
        </w:rPr>
        <w:t>.</w:t>
      </w:r>
    </w:p>
    <w:p>
      <w:pPr>
        <w:spacing w:after="0" w:line="225" w:lineRule="exact"/>
        <w:rPr>
          <w:sz w:val="20"/>
          <w:szCs w:val="20"/>
          <w:color w:val="auto"/>
        </w:rPr>
      </w:pPr>
    </w:p>
    <w:p>
      <w:pPr>
        <w:ind w:right="160"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Agent’s Account</w:t>
      </w:r>
      <w:r>
        <w:rPr>
          <w:rFonts w:ascii="Arial" w:cs="Arial" w:eastAsia="Arial" w:hAnsi="Arial"/>
          <w:sz w:val="18"/>
          <w:szCs w:val="18"/>
          <w:color w:val="auto"/>
        </w:rPr>
        <w:t>” means, for each Currency, an account in respect of such Currency designated by the Administrative Agent in a notice to the Borrower and the Lenders.</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a form supplied by the Administrative Agent.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Advance Rate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5.13</w:t>
      </w:r>
      <w:r>
        <w:rPr>
          <w:rFonts w:ascii="Arial" w:cs="Arial" w:eastAsia="Arial" w:hAnsi="Arial"/>
          <w:sz w:val="18"/>
          <w:szCs w:val="18"/>
          <w:color w:val="auto"/>
        </w:rPr>
        <w: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Currency</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2.13</w:t>
      </w:r>
      <w:r>
        <w:rPr>
          <w:rFonts w:ascii="Arial" w:cs="Arial" w:eastAsia="Arial" w:hAnsi="Arial"/>
          <w:sz w:val="18"/>
          <w:szCs w:val="18"/>
          <w:color w:val="auto"/>
        </w:rPr>
        <w:t>.</w:t>
      </w:r>
    </w:p>
    <w:p>
      <w:pPr>
        <w:spacing w:after="0" w:line="225" w:lineRule="exact"/>
        <w:rPr>
          <w:sz w:val="20"/>
          <w:szCs w:val="20"/>
          <w:color w:val="auto"/>
        </w:rPr>
      </w:pPr>
    </w:p>
    <w:p>
      <w:pPr>
        <w:ind w:right="20" w:firstLine="89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means, with respect to a specified Person, another Person that directly, or indirectly through one or more intermediaries, Controls or is Controlled by or is under common Control with the Person specified. Anything herein to the contrary notwithstanding, the term “Affiliate” shall not include any Person that constitutes an Investment held by any Obligor in the ordinary course of business.</w:t>
      </w:r>
    </w:p>
    <w:p>
      <w:pPr>
        <w:spacing w:after="0" w:line="165" w:lineRule="exact"/>
        <w:rPr>
          <w:sz w:val="20"/>
          <w:szCs w:val="20"/>
          <w:color w:val="auto"/>
        </w:rPr>
      </w:pPr>
    </w:p>
    <w:p>
      <w:pPr>
        <w:ind w:right="140" w:firstLine="89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 Agreements</w:t>
      </w:r>
      <w:r>
        <w:rPr>
          <w:rFonts w:ascii="Arial" w:cs="Arial" w:eastAsia="Arial" w:hAnsi="Arial"/>
          <w:sz w:val="16"/>
          <w:szCs w:val="16"/>
          <w:color w:val="auto"/>
        </w:rPr>
        <w:t>” means, collectively, (a) the Administration Agreement dated June 11, 2010 by and among the Borrower, PennantPark SBIC LP and PennantPark SBIC GP, LLC, (b) the Investment Advisory Agreement dated June 11, 2010 by and among the Borrower, PennantPark SBIC LP and PennantPark SBIC GP, LLC, (c) the Investment Advisory Management Agreement dated as of April 17, 2007, between the Borrower and Pennant Investment Advisers, LLC, (d) the Administration Agreement dated as of April 17, 2007, between the Borrower and PennantPark Investment Administration, LLC, (e) the Trademark License Agreement dated as of April 15, 2007, between the Borrower and Pennant Investment Advisers, LLC,</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(f) the Administration Agreement, dated December 28, 2012, by and among the Borrower, PennantPark SBIC II LP and PennantPark SBIC GP II, LLC and</w:t>
      </w:r>
    </w:p>
    <w:p>
      <w:pPr>
        <w:spacing w:after="0" w:line="166" w:lineRule="exact"/>
        <w:rPr>
          <w:sz w:val="20"/>
          <w:szCs w:val="20"/>
          <w:color w:val="auto"/>
        </w:rPr>
      </w:pPr>
    </w:p>
    <w:p>
      <w:pPr>
        <w:ind w:left="9020"/>
        <w:spacing w:after="0"/>
        <w:rPr>
          <w:sz w:val="20"/>
          <w:szCs w:val="20"/>
          <w:color w:val="auto"/>
        </w:rPr>
      </w:pPr>
      <w:r>
        <w:rPr>
          <w:rFonts w:ascii="Arial" w:cs="Arial" w:eastAsia="Arial" w:hAnsi="Arial"/>
          <w:sz w:val="15"/>
          <w:szCs w:val="15"/>
          <w:i w:val="1"/>
          <w:iCs w:val="1"/>
          <w:color w:val="auto"/>
        </w:rPr>
        <w:t>Second Amended and Restated</w:t>
      </w:r>
    </w:p>
    <w:p>
      <w:pPr>
        <w:spacing w:after="0" w:line="5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274" w:right="339" w:bottom="1440" w:gutter="0" w:footer="0" w:header="0"/>
        </w:sectPr>
      </w:pPr>
    </w:p>
    <w:bookmarkStart w:id="13" w:name="page14"/>
    <w:bookmarkEnd w:id="13"/>
    <w:p>
      <w:pPr>
        <w:ind w:right="260" w:firstLine="8"/>
        <w:spacing w:after="0" w:line="277"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Investment Advisory Agreement, dated December 28, 2012, by and among the Borrower, PennantPark SBIC II LP and PennantPark SBIC GP II, LLC.</w:t>
      </w:r>
    </w:p>
    <w:p>
      <w:pPr>
        <w:spacing w:after="0" w:line="170" w:lineRule="exact"/>
        <w:rPr>
          <w:sz w:val="20"/>
          <w:szCs w:val="20"/>
          <w:color w:val="auto"/>
        </w:rPr>
      </w:pPr>
    </w:p>
    <w:p>
      <w:pPr>
        <w:ind w:firstLine="89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Agreed Foreign Currency</w:t>
      </w:r>
      <w:r>
        <w:rPr>
          <w:rFonts w:ascii="Arial" w:cs="Arial" w:eastAsia="Arial" w:hAnsi="Arial"/>
          <w:sz w:val="18"/>
          <w:szCs w:val="18"/>
          <w:color w:val="auto"/>
        </w:rPr>
        <w:t>” means, at any time, (i) any of Canadian Dollars, English Pounds Sterling, Euros, Japanese Yen, Australian Dollars, Swiss Franc, Swedish Krona and New Zealand Dollars and (ii) with the agreement of each Multicurrency Lender, any other Foreign Currency, so long as, in respect of any such specified Foreign Currency or other Foreign Currency, at such time (a) such Foreign Currency is dealt with in the London interbank deposit market, (b) such Foreign Currency is freely transferable and convertible into Dollars in the London foreign exchange market and (c) no central bank or other governmental authorization in the country of issue of such Foreign Currency (including, in the case of the Euro, any authorization by the European Central Bank) is required to permit use of such Foreign Currency by any Multicurrency Lender for making any Loan hereunder and/or to permit the Borrower to borrow and repay the principal thereof and to pay the interest thereon, unless such authorization has been obtained and is in full force and effect.</w:t>
      </w:r>
    </w:p>
    <w:p>
      <w:pPr>
        <w:spacing w:after="0" w:line="19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 xml:space="preserve"> to this Agreement</w:t>
      </w:r>
    </w:p>
    <w:p>
      <w:pPr>
        <w:spacing w:after="0" w:line="225" w:lineRule="exact"/>
        <w:rPr>
          <w:sz w:val="20"/>
          <w:szCs w:val="20"/>
          <w:color w:val="auto"/>
        </w:rPr>
      </w:pPr>
    </w:p>
    <w:p>
      <w:pPr>
        <w:ind w:right="60" w:firstLine="89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Alternate Base Rate</w:t>
      </w:r>
      <w:r>
        <w:rPr>
          <w:rFonts w:ascii="Arial" w:cs="Arial" w:eastAsia="Arial" w:hAnsi="Arial"/>
          <w:sz w:val="16"/>
          <w:szCs w:val="16"/>
          <w:color w:val="auto"/>
        </w:rPr>
        <w:t xml:space="preserve">” means, for any day, a rate per annum equal to the greatest of (a) the Prime Rate in effect on such day, (b) the Federal Funds Effective Rate for such day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1/2 of 1% and (c) the rate per annum equal to 1%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rate as displayed in the Bloomberg Financial Markets System (or on any successor or substitute page of such service, or any successor to such service, providing rate quotations comparable to those currently provided on such page of such service, as determined by the Administrative Agent in its reasonable discretion from time to time for purposes of providing quotations of interest rates applicable to Dollar deposits in the London interbank market) at approximately 11:00 a.m., London time, on such day (or, if such day is not a Business Day, the immediately preceding Business Day), for Dollar deposits with a term of one month. Any change in the Alternate Base Rate due to a change in the Prime Rate, the Federal Funds Effective Rate or the rate as displayed in the Bloomberg Financial Markets System (or successor therefor) as set forth above shall be effective from and including the effective date of such change in the Prime Rate, the Federal Funds Effective Rate or such rate as displayed in the Bloomberg Financial Markets System (or successor therefor), respectively.</w:t>
      </w:r>
    </w:p>
    <w:p>
      <w:pPr>
        <w:spacing w:after="0" w:line="166" w:lineRule="exact"/>
        <w:rPr>
          <w:sz w:val="20"/>
          <w:szCs w:val="20"/>
          <w:color w:val="auto"/>
        </w:rPr>
      </w:pPr>
    </w:p>
    <w:p>
      <w:pPr>
        <w:jc w:val="both"/>
        <w:ind w:right="40" w:firstLine="89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Dollar Percentage</w:t>
      </w:r>
      <w:r>
        <w:rPr>
          <w:rFonts w:ascii="Arial" w:cs="Arial" w:eastAsia="Arial" w:hAnsi="Arial"/>
          <w:sz w:val="18"/>
          <w:szCs w:val="18"/>
          <w:color w:val="auto"/>
        </w:rPr>
        <w:t>” means, with respect to any Dollar Lender, the percentage of the total Dollar Commitments represented by such Dollar Lender’s Dollar Commitment. If the Dollar Commitments have terminated or expired, the Applicable Dollar Percentages shall be determined based upon the Dollar Commitments most recently in effect, giving effect to any assignments.</w:t>
      </w:r>
    </w:p>
    <w:p>
      <w:pPr>
        <w:spacing w:after="0" w:line="184" w:lineRule="exact"/>
        <w:rPr>
          <w:sz w:val="20"/>
          <w:szCs w:val="20"/>
          <w:color w:val="auto"/>
        </w:rPr>
      </w:pPr>
    </w:p>
    <w:p>
      <w:pPr>
        <w:ind w:right="140" w:firstLine="89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Financial Statements</w:t>
      </w:r>
      <w:r>
        <w:rPr>
          <w:rFonts w:ascii="Arial" w:cs="Arial" w:eastAsia="Arial" w:hAnsi="Arial"/>
          <w:sz w:val="17"/>
          <w:szCs w:val="17"/>
          <w:color w:val="auto"/>
        </w:rPr>
        <w:t xml:space="preserve">” means, as at any date, the most-recent audited financial statements of the Borrower delivered to the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immediately prior to the delivery to the Lenders of new audited financial statements of the Borrower a Material Adverse Change (the “</w:t>
      </w:r>
      <w:r>
        <w:rPr>
          <w:rFonts w:ascii="Arial" w:cs="Arial" w:eastAsia="Arial" w:hAnsi="Arial"/>
          <w:sz w:val="17"/>
          <w:szCs w:val="17"/>
          <w:u w:val="single" w:color="auto"/>
          <w:color w:val="auto"/>
        </w:rPr>
        <w:t>Pre-existing MAC</w:t>
      </w:r>
      <w:r>
        <w:rPr>
          <w:rFonts w:ascii="Arial" w:cs="Arial" w:eastAsia="Arial" w:hAnsi="Arial"/>
          <w:sz w:val="17"/>
          <w:szCs w:val="17"/>
          <w:color w:val="auto"/>
        </w:rPr>
        <w:t>”) shall exist (regardless of when it occurred), then the “Applicable Financial Statements” as at said date means the Applicable Financial Statements in effect immediately prior to such delivery until such time as the Pre-existing MAC shall no longer exist.</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274" w:right="339" w:bottom="1440" w:gutter="0" w:footer="0" w:header="0"/>
        </w:sectPr>
      </w:pPr>
    </w:p>
    <w:bookmarkStart w:id="14" w:name="page15"/>
    <w:bookmarkEnd w:id="14"/>
    <w:p>
      <w:pPr>
        <w:ind w:left="9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6"/>
          <w:szCs w:val="16"/>
          <w:u w:val="single" w:color="auto"/>
          <w:color w:val="auto"/>
        </w:rPr>
        <w:t>Applicable Margin</w:t>
      </w:r>
      <w:r>
        <w:rPr>
          <w:rFonts w:ascii="Arial" w:cs="Arial" w:eastAsia="Arial" w:hAnsi="Arial"/>
          <w:sz w:val="16"/>
          <w:szCs w:val="16"/>
          <w:color w:val="auto"/>
        </w:rPr>
        <w:t>” means: (a) with respect to any ABR Loan, 1.25% per annum; and (b) with respect to any Eurocurrency Loan, 2.25% per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annum.</w:t>
      </w:r>
    </w:p>
    <w:p>
      <w:pPr>
        <w:spacing w:after="0" w:line="211" w:lineRule="exact"/>
        <w:rPr>
          <w:sz w:val="20"/>
          <w:szCs w:val="20"/>
          <w:color w:val="auto"/>
        </w:rPr>
      </w:pPr>
    </w:p>
    <w:p>
      <w:pPr>
        <w:ind w:right="20" w:firstLine="89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Multicurrency Percentage</w:t>
      </w:r>
      <w:r>
        <w:rPr>
          <w:rFonts w:ascii="Arial" w:cs="Arial" w:eastAsia="Arial" w:hAnsi="Arial"/>
          <w:sz w:val="18"/>
          <w:szCs w:val="18"/>
          <w:color w:val="auto"/>
        </w:rPr>
        <w:t>” means, with respect to any Multicurrency Lender, the percentage of the total Multicurrency Commitments represented by such Multicurrency Lender’s Multicurrency Commitment. If the Multicurrency Commitments have terminated or expired, the Applicable Multicurrency Percentages shall be determined based upon the Multicurrency Commitments most recently in effect, giving effect to any assignments.</w:t>
      </w:r>
    </w:p>
    <w:p>
      <w:pPr>
        <w:spacing w:after="0" w:line="187" w:lineRule="exact"/>
        <w:rPr>
          <w:sz w:val="20"/>
          <w:szCs w:val="20"/>
          <w:color w:val="auto"/>
        </w:rPr>
      </w:pPr>
    </w:p>
    <w:p>
      <w:pPr>
        <w:ind w:right="600" w:firstLine="89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Percentage</w:t>
      </w:r>
      <w:r>
        <w:rPr>
          <w:rFonts w:ascii="Arial" w:cs="Arial" w:eastAsia="Arial" w:hAnsi="Arial"/>
          <w:sz w:val="18"/>
          <w:szCs w:val="18"/>
          <w:color w:val="auto"/>
        </w:rPr>
        <w:t>” means, with respect to any Lender, the percentage of the total Commitments represented by such Lender’s Commitments. If the Commitments have terminated or expired, the Applicable Percentages shall be determined based upon the Commitments most recently in effect, giving effect to any assignments.</w:t>
      </w:r>
    </w:p>
    <w:p>
      <w:pPr>
        <w:spacing w:after="0" w:line="184" w:lineRule="exact"/>
        <w:rPr>
          <w:sz w:val="20"/>
          <w:szCs w:val="20"/>
          <w:color w:val="auto"/>
        </w:rPr>
      </w:pPr>
    </w:p>
    <w:p>
      <w:pPr>
        <w:ind w:right="40" w:firstLine="89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Dealer</w:t>
      </w:r>
      <w:r>
        <w:rPr>
          <w:rFonts w:ascii="Arial" w:cs="Arial" w:eastAsia="Arial" w:hAnsi="Arial"/>
          <w:sz w:val="18"/>
          <w:szCs w:val="18"/>
          <w:color w:val="auto"/>
        </w:rPr>
        <w:t xml:space="preserve">” means (a) in the case of any Portfolio Investment that is not a U.S. Government Security, a bank or a broker-dealer registered under the Securities Exchange Act of 1934 of nationally recognized standing or an Affiliate thereof, (b) in the case of a U.S. Government Security, any primary dealer in U.S. Government Securities, and (c) in the case of any foreign Portfolio Investment, any foreign broker-dealer of internationally recognized standing or an Affiliate thereof, in the case of each of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above, as set forth on </w:t>
      </w:r>
      <w:r>
        <w:rPr>
          <w:rFonts w:ascii="Arial" w:cs="Arial" w:eastAsia="Arial" w:hAnsi="Arial"/>
          <w:sz w:val="18"/>
          <w:szCs w:val="18"/>
          <w:u w:val="single" w:color="auto"/>
          <w:color w:val="auto"/>
        </w:rPr>
        <w:t>Schedule 1.01(a)</w:t>
      </w:r>
      <w:r>
        <w:rPr>
          <w:rFonts w:ascii="Arial" w:cs="Arial" w:eastAsia="Arial" w:hAnsi="Arial"/>
          <w:sz w:val="18"/>
          <w:szCs w:val="18"/>
          <w:color w:val="auto"/>
        </w:rPr>
        <w:t xml:space="preserve"> or any other bank or broker-dealer acceptable to the Administrative Agent in its reasonable determination.</w:t>
      </w:r>
    </w:p>
    <w:p>
      <w:pPr>
        <w:spacing w:after="0" w:line="188" w:lineRule="exact"/>
        <w:rPr>
          <w:sz w:val="20"/>
          <w:szCs w:val="20"/>
          <w:color w:val="auto"/>
        </w:rPr>
      </w:pPr>
    </w:p>
    <w:p>
      <w:pPr>
        <w:ind w:right="200" w:firstLine="89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Approved Pricing Service</w:t>
      </w:r>
      <w:r>
        <w:rPr>
          <w:rFonts w:ascii="Arial" w:cs="Arial" w:eastAsia="Arial" w:hAnsi="Arial"/>
          <w:sz w:val="16"/>
          <w:szCs w:val="16"/>
          <w:color w:val="auto"/>
        </w:rPr>
        <w:t xml:space="preserve">” means a pricing or quotation service as set forth in </w:t>
      </w:r>
      <w:r>
        <w:rPr>
          <w:rFonts w:ascii="Arial" w:cs="Arial" w:eastAsia="Arial" w:hAnsi="Arial"/>
          <w:sz w:val="16"/>
          <w:szCs w:val="16"/>
          <w:u w:val="single" w:color="auto"/>
          <w:color w:val="auto"/>
        </w:rPr>
        <w:t>Schedule 1.01(a)</w:t>
      </w:r>
      <w:r>
        <w:rPr>
          <w:rFonts w:ascii="Arial" w:cs="Arial" w:eastAsia="Arial" w:hAnsi="Arial"/>
          <w:sz w:val="16"/>
          <w:szCs w:val="16"/>
          <w:color w:val="auto"/>
        </w:rPr>
        <w:t xml:space="preserve"> or any other pricing or quotation service approved by the Board of Directors of the Borrower and designated in writing to the Administrative Agent (which designation shall be accompanied by a copy of a resolution of the Board of Directors of the Borrower that such pricing or quotation service has been approved by the Borrower).</w:t>
      </w:r>
    </w:p>
    <w:p>
      <w:pPr>
        <w:spacing w:after="0" w:line="149" w:lineRule="exact"/>
        <w:rPr>
          <w:sz w:val="20"/>
          <w:szCs w:val="20"/>
          <w:color w:val="auto"/>
        </w:rPr>
      </w:pPr>
    </w:p>
    <w:p>
      <w:pPr>
        <w:ind w:right="80" w:firstLine="89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Approved Third-Party Appraiser</w:t>
      </w:r>
      <w:r>
        <w:rPr>
          <w:rFonts w:ascii="Arial" w:cs="Arial" w:eastAsia="Arial" w:hAnsi="Arial"/>
          <w:sz w:val="16"/>
          <w:szCs w:val="16"/>
          <w:color w:val="auto"/>
        </w:rPr>
        <w:t xml:space="preserve">” means any Independent nationally recognized third-party appraisal firm (a) designated by the Borrower in writing to the Administrative Agent (which designation shall be accompanied by a copy of a resolution of the Board of Directors of the Borrower that such firm has been approved by the Borrower for purposes of assisting the Board of Directors of the Borrower in making valuations of portfolio assets to determine the Borrower’s compliance with the applicable provisions of the Investment Company Act) and (b) acceptable to the Administrative Agent. It is understood and agreed that Houlihan Lokey Howard &amp; Zukin Capital, Inc., Duff &amp; Phelps LLC, Murray, Devine and Company, Lincoln International LLC and Valuation Research Corporation are acceptable to the Administrative Agent. As used in </w:t>
      </w:r>
      <w:r>
        <w:rPr>
          <w:rFonts w:ascii="Arial" w:cs="Arial" w:eastAsia="Arial" w:hAnsi="Arial"/>
          <w:sz w:val="16"/>
          <w:szCs w:val="16"/>
          <w:u w:val="single" w:color="auto"/>
          <w:color w:val="auto"/>
        </w:rPr>
        <w:t>Section 5.12</w:t>
      </w:r>
      <w:r>
        <w:rPr>
          <w:rFonts w:ascii="Arial" w:cs="Arial" w:eastAsia="Arial" w:hAnsi="Arial"/>
          <w:sz w:val="16"/>
          <w:szCs w:val="16"/>
          <w:color w:val="auto"/>
        </w:rPr>
        <w:t xml:space="preserve"> hereof, an “Approved Third-Party Appraiser selected by the Administrative Agent” shall mean any of the firms identified in the preceding sentence and any other Independent nationally recognized third-party appraisal firm identified by the Administrative Agent and consented to by the Borrower (such consent not to be unreasonably withheld).</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274" w:right="339" w:bottom="1440" w:gutter="0" w:footer="0" w:header="0"/>
        </w:sectPr>
      </w:pPr>
    </w:p>
    <w:bookmarkStart w:id="15" w:name="page16"/>
    <w:bookmarkEnd w:id="15"/>
    <w:p>
      <w:pPr>
        <w:ind w:right="20" w:firstLine="898"/>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u w:val="single" w:color="auto"/>
          <w:color w:val="auto"/>
        </w:rPr>
        <w:t>Asset Coverage Ratio</w:t>
      </w:r>
      <w:r>
        <w:rPr>
          <w:rFonts w:ascii="Arial" w:cs="Arial" w:eastAsia="Arial" w:hAnsi="Arial"/>
          <w:sz w:val="17"/>
          <w:szCs w:val="17"/>
          <w:color w:val="auto"/>
        </w:rPr>
        <w:t>” means the ratio, determined on a consolidated basis for Borrower and its Subsidiaries, without duplication, (a) the value of total assets of the Borrower and its Subsidiaries, less all liabilities and indebtedness not represented by senior securities to (b) to the aggregate amount of senior securities representing indebtedness of Borrower and its Subsidiaries, in each case as determined pursuant to the Investment Company Act and any orders of the Securities and Exchange Commission issued to or with respect to Borrower thereunder, including any exemptive relief granted by the Securities and Exchange Commission with respect to the indebtedness of any SBIC Subsidiary.</w:t>
      </w:r>
    </w:p>
    <w:p>
      <w:pPr>
        <w:spacing w:after="0" w:line="176" w:lineRule="exact"/>
        <w:rPr>
          <w:sz w:val="20"/>
          <w:szCs w:val="20"/>
          <w:color w:val="auto"/>
        </w:rPr>
      </w:pPr>
    </w:p>
    <w:p>
      <w:pPr>
        <w:ind w:right="80" w:firstLine="89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means an Assignment and Assumption entered into by a Lender and an assignee (with the consent of any party whose consent is required by </w:t>
      </w:r>
      <w:r>
        <w:rPr>
          <w:rFonts w:ascii="Arial" w:cs="Arial" w:eastAsia="Arial" w:hAnsi="Arial"/>
          <w:sz w:val="18"/>
          <w:szCs w:val="18"/>
          <w:u w:val="single" w:color="auto"/>
          <w:color w:val="auto"/>
        </w:rPr>
        <w:t>Section 9.04</w:t>
      </w:r>
      <w:r>
        <w:rPr>
          <w:rFonts w:ascii="Arial" w:cs="Arial" w:eastAsia="Arial" w:hAnsi="Arial"/>
          <w:sz w:val="18"/>
          <w:szCs w:val="18"/>
          <w:color w:val="auto"/>
        </w:rPr>
        <w:t xml:space="preserve">), and accepted by the Administrative Agent,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or any other form approved by the Administrative Agent.</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Assuming Lender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2.08(e)</w:t>
      </w:r>
      <w:r>
        <w:rPr>
          <w:rFonts w:ascii="Arial" w:cs="Arial" w:eastAsia="Arial" w:hAnsi="Arial"/>
          <w:sz w:val="18"/>
          <w:szCs w:val="18"/>
          <w:color w:val="auto"/>
        </w:rPr>
        <w:t>.</w:t>
      </w:r>
    </w:p>
    <w:p>
      <w:pPr>
        <w:spacing w:after="0" w:line="225" w:lineRule="exact"/>
        <w:rPr>
          <w:sz w:val="20"/>
          <w:szCs w:val="20"/>
          <w:color w:val="auto"/>
        </w:rPr>
      </w:pPr>
    </w:p>
    <w:p>
      <w:pPr>
        <w:ind w:right="20"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 Period</w:t>
      </w:r>
      <w:r>
        <w:rPr>
          <w:rFonts w:ascii="Arial" w:cs="Arial" w:eastAsia="Arial" w:hAnsi="Arial"/>
          <w:sz w:val="18"/>
          <w:szCs w:val="18"/>
          <w:color w:val="auto"/>
        </w:rPr>
        <w:t>” means the period from and including the Effective Date to but excluding the earlier of the Commitment Termination Date and the date of termination of the Commitments.</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Governors of the Federal Reserve System of the United States of America.</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has the meaning assigned to such term in the preamble to this Agreement.</w:t>
      </w:r>
    </w:p>
    <w:p>
      <w:pPr>
        <w:spacing w:after="0" w:line="225" w:lineRule="exact"/>
        <w:rPr>
          <w:sz w:val="20"/>
          <w:szCs w:val="20"/>
          <w:color w:val="auto"/>
        </w:rPr>
      </w:pPr>
    </w:p>
    <w:p>
      <w:pPr>
        <w:ind w:right="380"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(a) all Syndicated ABR Loans of the same Class made, converted or continued on the same date, (b) all Eurocurrency Loans of the same Class denominated in the same Currency that have the same Interest Period or (c) a Swingline Loan.</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Base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5.13</w:t>
      </w:r>
      <w:r>
        <w:rPr>
          <w:rFonts w:ascii="Arial" w:cs="Arial" w:eastAsia="Arial" w:hAnsi="Arial"/>
          <w:sz w:val="18"/>
          <w:szCs w:val="18"/>
          <w:color w:val="auto"/>
        </w:rPr>
        <w:t>.</w:t>
      </w:r>
    </w:p>
    <w:p>
      <w:pPr>
        <w:spacing w:after="0" w:line="225" w:lineRule="exact"/>
        <w:rPr>
          <w:sz w:val="20"/>
          <w:szCs w:val="20"/>
          <w:color w:val="auto"/>
        </w:rPr>
      </w:pPr>
    </w:p>
    <w:p>
      <w:pPr>
        <w:ind w:right="940"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Base Certificate</w:t>
      </w:r>
      <w:r>
        <w:rPr>
          <w:rFonts w:ascii="Arial" w:cs="Arial" w:eastAsia="Arial" w:hAnsi="Arial"/>
          <w:sz w:val="18"/>
          <w:szCs w:val="18"/>
          <w:color w:val="auto"/>
        </w:rPr>
        <w:t xml:space="preserve">” means a certificate of a Financial Officer of the Borrower,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and appropriately completed.</w:t>
      </w:r>
    </w:p>
    <w:p>
      <w:pPr>
        <w:spacing w:after="0" w:line="170" w:lineRule="exact"/>
        <w:rPr>
          <w:sz w:val="20"/>
          <w:szCs w:val="20"/>
          <w:color w:val="auto"/>
        </w:rPr>
      </w:pPr>
    </w:p>
    <w:p>
      <w:pPr>
        <w:ind w:right="340"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Base Deficiency</w:t>
      </w:r>
      <w:r>
        <w:rPr>
          <w:rFonts w:ascii="Arial" w:cs="Arial" w:eastAsia="Arial" w:hAnsi="Arial"/>
          <w:sz w:val="18"/>
          <w:szCs w:val="18"/>
          <w:color w:val="auto"/>
        </w:rPr>
        <w:t>” means, at any date on which the same is determined, the amount, if any, that (a) the aggregate Covered Debt Amount as of such date exceeds (b) the Borrowing Base as of such date.</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Request</w:t>
      </w:r>
      <w:r>
        <w:rPr>
          <w:rFonts w:ascii="Arial" w:cs="Arial" w:eastAsia="Arial" w:hAnsi="Arial"/>
          <w:sz w:val="18"/>
          <w:szCs w:val="18"/>
          <w:color w:val="auto"/>
        </w:rPr>
        <w:t xml:space="preserve">” means a request by the Borrower for a Syndicated Borrowing in accordance with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225" w:lineRule="exact"/>
        <w:rPr>
          <w:sz w:val="20"/>
          <w:szCs w:val="20"/>
          <w:color w:val="auto"/>
        </w:rPr>
      </w:pPr>
    </w:p>
    <w:p>
      <w:pPr>
        <w:ind w:right="80" w:firstLine="89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(a) that is not a Saturday, Sunday or other day on which commercial banks in Atlanta, Georgia are authorized or required by law to remain closed, (b) if such day relates to a borrowing of, a payment or prepayment of principal of or interest on, a continuation or conversion of or into, or the Interest Period for, a Eurocurrency Borrowing denominated in Dollars, or to a notice by the Borrower with respect to any such borrowing, payment, prepayment, continuation, conversion, or Interest Period, that is also a day on which dealings in deposits denominated in Dollars are carried out in the London interbank</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274" w:right="339" w:bottom="1440" w:gutter="0" w:footer="0" w:header="0"/>
        </w:sectPr>
      </w:pPr>
    </w:p>
    <w:bookmarkStart w:id="16" w:name="page17"/>
    <w:bookmarkEnd w:id="16"/>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market and (c) if such day relates to a borrowing or continuation of, a payment or prepayment of principal of or interest on, or the Interest Period for, any Borrowing denominated in any Foreign Currency, or to a notice by the Borrower with respect to any such borrowing, continuation, payment, prepayment or Interest Period, that is also a day on which commercial banks and the London foreign exchange market settle payments in the Principal Financial Center for such Foreign Currency.</w:t>
      </w:r>
    </w:p>
    <w:p>
      <w:pPr>
        <w:spacing w:after="0" w:line="187" w:lineRule="exact"/>
        <w:rPr>
          <w:sz w:val="20"/>
          <w:szCs w:val="20"/>
          <w:color w:val="auto"/>
        </w:rPr>
      </w:pPr>
    </w:p>
    <w:p>
      <w:pPr>
        <w:ind w:right="80" w:firstLine="89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Calculation Amount</w:t>
      </w:r>
      <w:r>
        <w:rPr>
          <w:rFonts w:ascii="Arial" w:cs="Arial" w:eastAsia="Arial" w:hAnsi="Arial"/>
          <w:sz w:val="18"/>
          <w:szCs w:val="18"/>
          <w:color w:val="auto"/>
        </w:rPr>
        <w:t xml:space="preserve">” shall mean, as of the end of any Testing Quarter, an amount equal to the greater of: (a) (i) 125% of the Adjusted Covered Debt Balance (as of the end of such Testing Quarter)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the aggregate Value of all Quoted Investments included in the Borrowing Base (as of the end of such Testing Quarter) and (b) 10% of the aggregate Value (or as near thereto as reasonably practicable) of all Unquoted Investments included in the Borrowing Base (as of the end of such Testing Quarter);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more than 25% (or, if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applies, 10%) of the aggregate Value (or as near thereto as reasonably practicable) of the Unquoted Investments in the Borrowing Base be tested in respect of any applicable Testing Quarter.</w:t>
      </w:r>
    </w:p>
    <w:p>
      <w:pPr>
        <w:spacing w:after="0" w:line="19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CAM Exchange</w:t>
      </w:r>
      <w:r>
        <w:rPr>
          <w:rFonts w:ascii="Arial" w:cs="Arial" w:eastAsia="Arial" w:hAnsi="Arial"/>
          <w:sz w:val="18"/>
          <w:szCs w:val="18"/>
          <w:color w:val="auto"/>
        </w:rPr>
        <w:t xml:space="preserve">” means the exchange of the Lenders’ interests provided for in </w:t>
      </w:r>
      <w:r>
        <w:rPr>
          <w:rFonts w:ascii="Arial" w:cs="Arial" w:eastAsia="Arial" w:hAnsi="Arial"/>
          <w:sz w:val="18"/>
          <w:szCs w:val="18"/>
          <w:u w:val="single" w:color="auto"/>
          <w:color w:val="auto"/>
        </w:rPr>
        <w:t>Article VII</w:t>
      </w:r>
      <w:r>
        <w:rPr>
          <w:rFonts w:ascii="Arial" w:cs="Arial" w:eastAsia="Arial" w:hAnsi="Arial"/>
          <w:sz w:val="18"/>
          <w:szCs w:val="18"/>
          <w:color w:val="auto"/>
        </w:rPr>
        <w:t>.</w:t>
      </w:r>
    </w:p>
    <w:p>
      <w:pPr>
        <w:spacing w:after="0" w:line="225" w:lineRule="exact"/>
        <w:rPr>
          <w:sz w:val="20"/>
          <w:szCs w:val="20"/>
          <w:color w:val="auto"/>
        </w:rPr>
      </w:pPr>
    </w:p>
    <w:p>
      <w:pPr>
        <w:ind w:right="180" w:firstLine="89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CAM Exchange Date</w:t>
      </w:r>
      <w:r>
        <w:rPr>
          <w:rFonts w:ascii="Arial" w:cs="Arial" w:eastAsia="Arial" w:hAnsi="Arial"/>
          <w:sz w:val="16"/>
          <w:szCs w:val="16"/>
          <w:color w:val="auto"/>
        </w:rPr>
        <w:t xml:space="preserve">” means the date on which any Event of Default referred to in </w:t>
      </w:r>
      <w:r>
        <w:rPr>
          <w:rFonts w:ascii="Arial" w:cs="Arial" w:eastAsia="Arial" w:hAnsi="Arial"/>
          <w:sz w:val="16"/>
          <w:szCs w:val="16"/>
          <w:u w:val="single" w:color="auto"/>
          <w:color w:val="auto"/>
        </w:rPr>
        <w:t>clause (j)</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shall occur or the date on which the Borrower receives written notice from the Administrative Agent that any Event of Default referred to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has occurred.</w:t>
      </w:r>
    </w:p>
    <w:p>
      <w:pPr>
        <w:spacing w:after="0" w:line="124" w:lineRule="exact"/>
        <w:rPr>
          <w:sz w:val="20"/>
          <w:szCs w:val="20"/>
          <w:color w:val="auto"/>
        </w:rPr>
      </w:pPr>
    </w:p>
    <w:p>
      <w:pPr>
        <w:ind w:right="80" w:firstLine="89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CAM Percentage</w:t>
      </w:r>
      <w:r>
        <w:rPr>
          <w:rFonts w:ascii="Arial" w:cs="Arial" w:eastAsia="Arial" w:hAnsi="Arial"/>
          <w:sz w:val="18"/>
          <w:szCs w:val="18"/>
          <w:color w:val="auto"/>
        </w:rPr>
        <w:t>” means, as to each Lender, a fraction, expressed as a decimal, of which (a) the numerator shall be the aggregate Dollar Equivalent of the Designated Obligations owed to such Lender (whether or not at the time due and payable) immediately prior to the CAM Exchange Date and (b) the denominator shall be the aggregate Dollar Equivalent amount of the Designated Obligations owed to all the Lenders (whether or not at the time due and payable) immediately prior to the CAM Exchange Date.</w:t>
      </w:r>
    </w:p>
    <w:p>
      <w:pPr>
        <w:spacing w:after="0" w:line="187" w:lineRule="exact"/>
        <w:rPr>
          <w:sz w:val="20"/>
          <w:szCs w:val="20"/>
          <w:color w:val="auto"/>
        </w:rPr>
      </w:pPr>
    </w:p>
    <w:p>
      <w:pPr>
        <w:ind w:right="100" w:firstLine="89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 Obligations</w:t>
      </w:r>
      <w:r>
        <w:rPr>
          <w:rFonts w:ascii="Arial" w:cs="Arial" w:eastAsia="Arial" w:hAnsi="Arial"/>
          <w:sz w:val="18"/>
          <w:szCs w:val="18"/>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w:t>
      </w:r>
    </w:p>
    <w:p>
      <w:pPr>
        <w:spacing w:after="0" w:line="187" w:lineRule="exact"/>
        <w:rPr>
          <w:sz w:val="20"/>
          <w:szCs w:val="20"/>
          <w:color w:val="auto"/>
        </w:rPr>
      </w:pPr>
    </w:p>
    <w:p>
      <w:pPr>
        <w:ind w:right="240"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w:t>
      </w:r>
      <w:r>
        <w:rPr>
          <w:rFonts w:ascii="Arial" w:cs="Arial" w:eastAsia="Arial" w:hAnsi="Arial"/>
          <w:sz w:val="18"/>
          <w:szCs w:val="18"/>
          <w:color w:val="auto"/>
        </w:rPr>
        <w:t>” means any immediately available funds in Dollars or in any currency other than Dollars (measured in terms of the Dollar Equivalent thereof) which is a freely convertible currency.</w:t>
      </w:r>
    </w:p>
    <w:p>
      <w:pPr>
        <w:spacing w:after="0" w:line="170" w:lineRule="exact"/>
        <w:rPr>
          <w:sz w:val="20"/>
          <w:szCs w:val="20"/>
          <w:color w:val="auto"/>
        </w:rPr>
      </w:pPr>
    </w:p>
    <w:p>
      <w:pPr>
        <w:ind w:right="160" w:firstLine="89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Collateralize</w:t>
      </w:r>
      <w:r>
        <w:rPr>
          <w:rFonts w:ascii="Arial" w:cs="Arial" w:eastAsia="Arial" w:hAnsi="Arial"/>
          <w:sz w:val="16"/>
          <w:szCs w:val="16"/>
          <w:color w:val="auto"/>
        </w:rPr>
        <w:t xml:space="preserve">” means, in respect of a Letter of Credit or any obligation hereunder, to provide and pledge cash collateral pursuant to </w:t>
      </w:r>
      <w:r>
        <w:rPr>
          <w:rFonts w:ascii="Arial" w:cs="Arial" w:eastAsia="Arial" w:hAnsi="Arial"/>
          <w:sz w:val="16"/>
          <w:szCs w:val="16"/>
          <w:u w:val="single" w:color="auto"/>
          <w:color w:val="auto"/>
        </w:rPr>
        <w:t>Section 2.05(k)</w:t>
      </w:r>
      <w:r>
        <w:rPr>
          <w:rFonts w:ascii="Arial" w:cs="Arial" w:eastAsia="Arial" w:hAnsi="Arial"/>
          <w:sz w:val="16"/>
          <w:szCs w:val="16"/>
          <w:color w:val="auto"/>
        </w:rPr>
        <w:t>, at a location and pursuant to documentation in form and substance reasonably satisfactory to Administrative Agent and the Issuing Bank. “</w:t>
      </w:r>
      <w:r>
        <w:rPr>
          <w:rFonts w:ascii="Arial" w:cs="Arial" w:eastAsia="Arial" w:hAnsi="Arial"/>
          <w:sz w:val="16"/>
          <w:szCs w:val="16"/>
          <w:u w:val="single" w:color="auto"/>
          <w:color w:val="auto"/>
        </w:rPr>
        <w:t>Cash Collateral</w:t>
      </w:r>
      <w:r>
        <w:rPr>
          <w:rFonts w:ascii="Arial" w:cs="Arial" w:eastAsia="Arial" w:hAnsi="Arial"/>
          <w:sz w:val="16"/>
          <w:szCs w:val="16"/>
          <w:color w:val="auto"/>
        </w:rPr>
        <w:t>” shall have a meaning correlative to the foregoing and shall include the proceeds of such cash collateral and other credit support.</w:t>
      </w:r>
    </w:p>
    <w:p>
      <w:pPr>
        <w:spacing w:after="0" w:line="8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274" w:right="339" w:bottom="1440" w:gutter="0" w:footer="0" w:header="0"/>
        </w:sectPr>
      </w:pPr>
    </w:p>
    <w:bookmarkStart w:id="17" w:name="page18"/>
    <w:bookmarkEnd w:id="17"/>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Cash Equivalents</w:t>
      </w:r>
      <w:r>
        <w:rPr>
          <w:rFonts w:ascii="Arial" w:cs="Arial" w:eastAsia="Arial" w:hAnsi="Arial"/>
          <w:sz w:val="18"/>
          <w:szCs w:val="18"/>
          <w:color w:val="auto"/>
        </w:rPr>
        <w:t>” means investments (other than Cash) that are one or more of the following obligations:</w:t>
      </w:r>
    </w:p>
    <w:p>
      <w:pPr>
        <w:spacing w:after="0" w:line="117" w:lineRule="exact"/>
        <w:rPr>
          <w:sz w:val="20"/>
          <w:szCs w:val="20"/>
          <w:color w:val="auto"/>
        </w:rPr>
      </w:pPr>
    </w:p>
    <w:p>
      <w:pPr>
        <w:ind w:left="1140" w:hanging="252"/>
        <w:spacing w:after="0"/>
        <w:tabs>
          <w:tab w:leader="none" w:pos="1140" w:val="left"/>
        </w:tabs>
        <w:numPr>
          <w:ilvl w:val="1"/>
          <w:numId w:val="7"/>
        </w:numPr>
        <w:rPr>
          <w:rFonts w:ascii="Arial" w:cs="Arial" w:eastAsia="Arial" w:hAnsi="Arial"/>
          <w:sz w:val="18"/>
          <w:szCs w:val="18"/>
          <w:color w:val="auto"/>
        </w:rPr>
      </w:pPr>
      <w:r>
        <w:rPr>
          <w:rFonts w:ascii="Arial" w:cs="Arial" w:eastAsia="Arial" w:hAnsi="Arial"/>
          <w:sz w:val="18"/>
          <w:szCs w:val="18"/>
          <w:color w:val="auto"/>
        </w:rPr>
        <w:t>U.S. Government Securities, in each case maturing within three months from the date of acquisition thereof;</w:t>
      </w:r>
    </w:p>
    <w:p>
      <w:pPr>
        <w:spacing w:after="0" w:line="117" w:lineRule="exact"/>
        <w:rPr>
          <w:rFonts w:ascii="Arial" w:cs="Arial" w:eastAsia="Arial" w:hAnsi="Arial"/>
          <w:sz w:val="18"/>
          <w:szCs w:val="18"/>
          <w:color w:val="auto"/>
        </w:rPr>
      </w:pPr>
    </w:p>
    <w:p>
      <w:pPr>
        <w:ind w:left="460" w:right="120" w:firstLine="428"/>
        <w:spacing w:after="0" w:line="263" w:lineRule="auto"/>
        <w:tabs>
          <w:tab w:leader="none" w:pos="1146" w:val="left"/>
        </w:tabs>
        <w:numPr>
          <w:ilvl w:val="1"/>
          <w:numId w:val="7"/>
        </w:numPr>
        <w:rPr>
          <w:rFonts w:ascii="Arial" w:cs="Arial" w:eastAsia="Arial" w:hAnsi="Arial"/>
          <w:sz w:val="18"/>
          <w:szCs w:val="18"/>
          <w:color w:val="auto"/>
        </w:rPr>
      </w:pPr>
      <w:r>
        <w:rPr>
          <w:rFonts w:ascii="Arial" w:cs="Arial" w:eastAsia="Arial" w:hAnsi="Arial"/>
          <w:sz w:val="18"/>
          <w:szCs w:val="18"/>
          <w:color w:val="auto"/>
        </w:rPr>
        <w:t>investments in commercial paper maturing within 180 days from the date of acquisition thereof and having, at such date of acquisition, a credit rating of at least A-1 from S&amp;P and at least P-1 from Moody’s (or, if only one of S&amp;P or Moody’s provides such rating, such investment shall also have an equivalent credit rating from any other rating agency);</w:t>
      </w:r>
    </w:p>
    <w:p>
      <w:pPr>
        <w:spacing w:after="0" w:line="75" w:lineRule="exact"/>
        <w:rPr>
          <w:rFonts w:ascii="Arial" w:cs="Arial" w:eastAsia="Arial" w:hAnsi="Arial"/>
          <w:sz w:val="18"/>
          <w:szCs w:val="18"/>
          <w:color w:val="auto"/>
        </w:rPr>
      </w:pPr>
    </w:p>
    <w:p>
      <w:pPr>
        <w:ind w:left="1140" w:hanging="252"/>
        <w:spacing w:after="0"/>
        <w:tabs>
          <w:tab w:leader="none" w:pos="1140" w:val="left"/>
        </w:tabs>
        <w:numPr>
          <w:ilvl w:val="1"/>
          <w:numId w:val="7"/>
        </w:numPr>
        <w:rPr>
          <w:rFonts w:ascii="Arial" w:cs="Arial" w:eastAsia="Arial" w:hAnsi="Arial"/>
          <w:sz w:val="16"/>
          <w:szCs w:val="16"/>
          <w:color w:val="auto"/>
        </w:rPr>
      </w:pPr>
      <w:r>
        <w:rPr>
          <w:rFonts w:ascii="Arial" w:cs="Arial" w:eastAsia="Arial" w:hAnsi="Arial"/>
          <w:sz w:val="16"/>
          <w:szCs w:val="16"/>
          <w:color w:val="auto"/>
        </w:rPr>
        <w:t>investments in certificates of deposit, banker’s acceptances and time deposits maturing within 180 days from the date of acquisition thereof</w:t>
      </w:r>
    </w:p>
    <w:p>
      <w:pPr>
        <w:spacing w:after="0" w:line="46" w:lineRule="exact"/>
        <w:rPr>
          <w:rFonts w:ascii="Arial" w:cs="Arial" w:eastAsia="Arial" w:hAnsi="Arial"/>
          <w:sz w:val="16"/>
          <w:szCs w:val="16"/>
          <w:color w:val="auto"/>
        </w:rPr>
      </w:pPr>
    </w:p>
    <w:p>
      <w:pPr>
        <w:jc w:val="both"/>
        <w:ind w:left="460" w:right="240" w:hanging="3"/>
        <w:spacing w:after="0" w:line="270" w:lineRule="auto"/>
        <w:tabs>
          <w:tab w:leader="none" w:pos="675"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issued or guaranteed by or placed with, and money market deposit accounts issued or offered by, any domestic office of any commercial bank organized under the laws of the United States of America or any State thereof or under the laws of the jurisdiction or any constituent jurisdiction thereof of any Agreed Foreign Currency;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certificates of deposit, banker’s acceptances and time deposits are held in a securities account (as defined in the Uniform Commercial Code) through which the Collateral Agent can perfect a security interest therein and (ii) having, at such date of acquisition, a credit rating of at least A-1 from S&amp;P and at least P-1 from Moody’s (or, if only one of S&amp;P or Moody’s provides such rating, such investment shall also have an equivalent credit rating from any other rating agency); and</w:t>
      </w:r>
    </w:p>
    <w:p>
      <w:pPr>
        <w:spacing w:after="0" w:line="70" w:lineRule="exact"/>
        <w:rPr>
          <w:rFonts w:ascii="Arial" w:cs="Arial" w:eastAsia="Arial" w:hAnsi="Arial"/>
          <w:sz w:val="17"/>
          <w:szCs w:val="17"/>
          <w:color w:val="auto"/>
        </w:rPr>
      </w:pPr>
    </w:p>
    <w:p>
      <w:pPr>
        <w:ind w:left="460" w:right="100" w:firstLine="428"/>
        <w:spacing w:after="0" w:line="257" w:lineRule="auto"/>
        <w:tabs>
          <w:tab w:leader="none" w:pos="1146" w:val="left"/>
        </w:tabs>
        <w:numPr>
          <w:ilvl w:val="1"/>
          <w:numId w:val="8"/>
        </w:numPr>
        <w:rPr>
          <w:rFonts w:ascii="Arial" w:cs="Arial" w:eastAsia="Arial" w:hAnsi="Arial"/>
          <w:sz w:val="18"/>
          <w:szCs w:val="18"/>
          <w:color w:val="auto"/>
        </w:rPr>
      </w:pPr>
      <w:r>
        <w:rPr>
          <w:rFonts w:ascii="Arial" w:cs="Arial" w:eastAsia="Arial" w:hAnsi="Arial"/>
          <w:sz w:val="18"/>
          <w:szCs w:val="18"/>
          <w:color w:val="auto"/>
        </w:rPr>
        <w:t xml:space="preserve">fully collateralized repurchase agreements with a term of not more than 30 days from the date of acquisition thereof for U.S. Government Securities and entered into with (i) a financial institution satisfying the criteria described in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of this definition or (ii) an Approved Dealer having (or being a member of a consolidated group having) at such date of acquisition, a credit rating of at least A-1 from S&amp;P and at least P-1 from Moody’s (or, if only one of S&amp;P or Moody’s provides such rating, such investment shall also have an equivalent credit rating from any other rating agency);</w:t>
      </w:r>
    </w:p>
    <w:p>
      <w:pPr>
        <w:spacing w:after="0" w:line="188"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in no event shall Cash Equivalents include any obligation that provides for the payment of interest alone (for example, interest-only securities or “IOs”); (ii) if any of Moody’s or S&amp;P changes its rating system, then any ratings included in this definition shall be deemed to be an equivalent rating in a successor rating category of Moody’s or S&amp;P, as the case may be; (iii) Cash Equivalents (other than U.S. Government Securities or repurchase agreements) shall not include any such investment of more than 10% of total assets of the Borrower and its Subsidiaries in any single issuer; and (iv) in no event shall Cash Equivalents include any obligation that is not denominated in Dollars or an Agreed Foreign Currency.</w:t>
      </w:r>
    </w:p>
    <w:p>
      <w:pPr>
        <w:spacing w:after="0" w:line="161" w:lineRule="exact"/>
        <w:rPr>
          <w:sz w:val="20"/>
          <w:szCs w:val="20"/>
          <w:color w:val="auto"/>
        </w:rPr>
      </w:pPr>
    </w:p>
    <w:p>
      <w:pPr>
        <w:ind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CDOR Rate</w:t>
      </w:r>
      <w:r>
        <w:rPr>
          <w:rFonts w:ascii="Arial" w:cs="Arial" w:eastAsia="Arial" w:hAnsi="Arial"/>
          <w:sz w:val="18"/>
          <w:szCs w:val="18"/>
          <w:color w:val="auto"/>
        </w:rPr>
        <w:t>” means the rate per annum equal to the average of the annual yield rates applicable to Canadian Dollar bankers’ acceptances at or about 10:00 a.m. (Toronto, Ontario time) on the first day of such Interest Period (or, if such day is</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274" w:right="339" w:bottom="1440" w:gutter="0" w:footer="0" w:header="0"/>
        </w:sectPr>
      </w:pPr>
    </w:p>
    <w:bookmarkStart w:id="18" w:name="page19"/>
    <w:bookmarkEnd w:id="18"/>
    <w:p>
      <w:pPr>
        <w:ind w:right="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 a Business Day, then on the immediately preceding Business Day) as reported on the “CDOR Page” (or any display substituted therefor) of Reuters Monitor Money Rates Service (or such other page or commercially available source displaying Canadian interbank bid rates for Canadian Dollar bankers’ acceptances as may be designated by the Administrative Agent from time to time) for a term equivalent to such Interest Period (or, if such Interest Period is not equal to a number of months, for a term equivalent to the number of months closest to such Interest Period).</w:t>
      </w:r>
    </w:p>
    <w:p>
      <w:pPr>
        <w:spacing w:after="0" w:line="171" w:lineRule="exact"/>
        <w:rPr>
          <w:sz w:val="20"/>
          <w:szCs w:val="20"/>
          <w:color w:val="auto"/>
        </w:rPr>
      </w:pPr>
    </w:p>
    <w:p>
      <w:pPr>
        <w:ind w:right="20" w:firstLine="89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Control</w:t>
      </w:r>
      <w:r>
        <w:rPr>
          <w:rFonts w:ascii="Arial" w:cs="Arial" w:eastAsia="Arial" w:hAnsi="Arial"/>
          <w:sz w:val="16"/>
          <w:szCs w:val="16"/>
          <w:color w:val="auto"/>
        </w:rPr>
        <w:t>” means (a) the acquisition of ownership, directly or indirectly, beneficially or of record, by any Person or group (within the meaning of the Securities Exchange Act of 1934 and the rules of the Securities and Exchange Commission thereunder as in effect on the date hereof), of shares representing more than 35% of the aggregate ordinary voting power represented by the issued and outstanding capital stock of the Borrower;</w:t>
      </w:r>
    </w:p>
    <w:p>
      <w:pPr>
        <w:spacing w:after="0" w:line="2" w:lineRule="exact"/>
        <w:rPr>
          <w:sz w:val="20"/>
          <w:szCs w:val="20"/>
          <w:color w:val="auto"/>
        </w:rPr>
      </w:pPr>
    </w:p>
    <w:p>
      <w:pPr>
        <w:ind w:right="180" w:firstLine="8"/>
        <w:spacing w:after="0" w:line="277" w:lineRule="auto"/>
        <w:tabs>
          <w:tab w:leader="none" w:pos="255" w:val="left"/>
        </w:tabs>
        <w:numPr>
          <w:ilvl w:val="0"/>
          <w:numId w:val="9"/>
        </w:numPr>
        <w:rPr>
          <w:rFonts w:ascii="Arial" w:cs="Arial" w:eastAsia="Arial" w:hAnsi="Arial"/>
          <w:sz w:val="17"/>
          <w:szCs w:val="17"/>
          <w:color w:val="auto"/>
        </w:rPr>
      </w:pPr>
      <w:r>
        <w:rPr>
          <w:rFonts w:ascii="Arial" w:cs="Arial" w:eastAsia="Arial" w:hAnsi="Arial"/>
          <w:sz w:val="17"/>
          <w:szCs w:val="17"/>
          <w:color w:val="auto"/>
        </w:rPr>
        <w:t>occupation of a majority of the seats (other than vacant seats) on the board of directors of the Borrower by Persons who were neither (i) nominated by the requisite members of the board of directors of the Borrower nor (ii) appointed by a majority of the directors so nominated; or (c) the acquisition of direct or indirect Control of the Borrower by any Person or group other than PennantPark Investment Advisers, LLC.</w:t>
      </w:r>
    </w:p>
    <w:p>
      <w:pPr>
        <w:spacing w:after="0" w:line="173" w:lineRule="exact"/>
        <w:rPr>
          <w:sz w:val="20"/>
          <w:szCs w:val="20"/>
          <w:color w:val="auto"/>
        </w:rPr>
      </w:pPr>
    </w:p>
    <w:p>
      <w:pPr>
        <w:ind w:right="20" w:firstLine="89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Law</w:t>
      </w:r>
      <w:r>
        <w:rPr>
          <w:rFonts w:ascii="Arial" w:cs="Arial" w:eastAsia="Arial" w:hAnsi="Arial"/>
          <w:sz w:val="17"/>
          <w:szCs w:val="17"/>
          <w:color w:val="auto"/>
        </w:rPr>
        <w:t>” means the occurrence, after the date of this Agreement, of (a) the adoption of any law, treaty or governmental rule or regulation or any change in any law, treaty or governmental rule or regulation or in the interpretation, administration or application thereof (regardless of whether the underlying law, treaty or governmental rule or regulation was issued or enacted prior to the date hereof), but excluding proposals thereof, or any determination of a court or Governmental Authority, (b) any guideline, request or directive by any Governmental Authority (whether or not having the force of law) or any implementation rules or interpretations of previously issued guidelines, requests or directives, in each case that is issued or made after the date hereof or (c) compliance by any Lender (or its applicable lending office) or any company controlling such Lender with any guideline, request or directive regarding capital adequacy or liquidity (whether or not having the force of law) of any such Governmental Authority, in each case adopted after the date hereof. For the avoidance of doubt, all requests, rules, guidelines or directives concerning liquidity and capital adequacy issued (i) by any United States regulatory authority under or in connection with the implementation of the Dodd-Frank Wall Street Reform and Consumer Protection Act and (ii) in connection with the implementation of the recommendations of the Bank for International Settlements or the Basel Committee on Banking Regulations and Supervisory Practices (or any successor or similar authority), in each case pursuant to Basel III, shall in each case be deemed to be a “Change in Law”, regardless of the date adopted, issued, promulgated or implemented.</w:t>
      </w:r>
    </w:p>
    <w:p>
      <w:pPr>
        <w:spacing w:after="0" w:line="179" w:lineRule="exact"/>
        <w:rPr>
          <w:sz w:val="20"/>
          <w:szCs w:val="20"/>
          <w:color w:val="auto"/>
        </w:rPr>
      </w:pPr>
    </w:p>
    <w:p>
      <w:pPr>
        <w:ind w:firstLine="89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w:t>
      </w:r>
      <w:r>
        <w:rPr>
          <w:rFonts w:ascii="Arial" w:cs="Arial" w:eastAsia="Arial" w:hAnsi="Arial"/>
          <w:sz w:val="18"/>
          <w:szCs w:val="18"/>
          <w:color w:val="auto"/>
        </w:rPr>
        <w:t>”, when used in reference to any Loan or Borrowing, refers to whether such Loan, or the Loans constituting such Borrowing, are Syndicated Dollar Loans, Syndicated Multicurrency Loans or Swingline Loans; when used in reference to any Lender, refers to whether such Lender is a Dollar Lender or a Multicurrency Lender; and, when used in reference to any Commitment, refers to whether such Commitment is a Dollar Commitment or a Multicurrency Commitment. The “</w:t>
      </w:r>
      <w:r>
        <w:rPr>
          <w:rFonts w:ascii="Arial" w:cs="Arial" w:eastAsia="Arial" w:hAnsi="Arial"/>
          <w:sz w:val="18"/>
          <w:szCs w:val="18"/>
          <w:u w:val="single" w:color="auto"/>
          <w:color w:val="auto"/>
        </w:rPr>
        <w:t>Class</w:t>
      </w:r>
      <w:r>
        <w:rPr>
          <w:rFonts w:ascii="Arial" w:cs="Arial" w:eastAsia="Arial" w:hAnsi="Arial"/>
          <w:sz w:val="18"/>
          <w:szCs w:val="18"/>
          <w:color w:val="auto"/>
        </w:rPr>
        <w:t>” of a Letter of Credit refers to whether such Letter of Credit is a Dollar Letter of Credit or a Multicurrency Letter of Credit.</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274" w:right="339" w:bottom="1440" w:gutter="0" w:footer="0" w:header="0"/>
        </w:sectPr>
      </w:pPr>
    </w:p>
    <w:bookmarkStart w:id="19" w:name="page20"/>
    <w:bookmarkEnd w:id="19"/>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has the meaning assigned to such term in the Guarantee and Security Agreement.</w:t>
      </w:r>
    </w:p>
    <w:p>
      <w:pPr>
        <w:spacing w:after="0" w:line="225" w:lineRule="exact"/>
        <w:rPr>
          <w:sz w:val="20"/>
          <w:szCs w:val="20"/>
          <w:color w:val="auto"/>
        </w:rPr>
      </w:pPr>
    </w:p>
    <w:p>
      <w:pPr>
        <w:ind w:right="700"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Agent</w:t>
      </w:r>
      <w:r>
        <w:rPr>
          <w:rFonts w:ascii="Arial" w:cs="Arial" w:eastAsia="Arial" w:hAnsi="Arial"/>
          <w:sz w:val="18"/>
          <w:szCs w:val="18"/>
          <w:color w:val="auto"/>
        </w:rPr>
        <w:t>” means SunTrust in its capacity as Collateral Agent under the Guarantee and Security Agreement, and includes any successor Collateral Agent thereunder.</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Commitments</w:t>
      </w:r>
      <w:r>
        <w:rPr>
          <w:rFonts w:ascii="Arial" w:cs="Arial" w:eastAsia="Arial" w:hAnsi="Arial"/>
          <w:sz w:val="18"/>
          <w:szCs w:val="18"/>
          <w:color w:val="auto"/>
        </w:rPr>
        <w:t>” means, collectively, the Dollar Commitments and the Multicurrency Commitments.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Increase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2.08(e)</w:t>
      </w:r>
      <w:r>
        <w:rPr>
          <w:rFonts w:ascii="Arial" w:cs="Arial" w:eastAsia="Arial" w:hAnsi="Arial"/>
          <w:sz w:val="18"/>
          <w:szCs w:val="18"/>
          <w:color w:val="auto"/>
        </w:rPr>
        <w: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Increase Date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2.08(e)</w:t>
      </w:r>
      <w:r>
        <w:rPr>
          <w:rFonts w:ascii="Arial" w:cs="Arial" w:eastAsia="Arial" w:hAnsi="Arial"/>
          <w:sz w:val="18"/>
          <w:szCs w:val="18"/>
          <w:color w:val="auto"/>
        </w:rPr>
        <w: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Termination Date</w:t>
      </w:r>
      <w:r>
        <w:rPr>
          <w:rFonts w:ascii="Arial" w:cs="Arial" w:eastAsia="Arial" w:hAnsi="Arial"/>
          <w:sz w:val="18"/>
          <w:szCs w:val="18"/>
          <w:color w:val="auto"/>
        </w:rPr>
        <w:t>” means June 25, 2018, as such date may be extended upon the consent of each affected Lender.</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Group</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5.13(a)</w:t>
      </w:r>
      <w:r>
        <w:rPr>
          <w:rFonts w:ascii="Arial" w:cs="Arial" w:eastAsia="Arial" w:hAnsi="Arial"/>
          <w:sz w:val="18"/>
          <w:szCs w:val="18"/>
          <w:color w:val="auto"/>
        </w:rPr>
        <w:t>.</w:t>
      </w:r>
    </w:p>
    <w:p>
      <w:pPr>
        <w:spacing w:after="0" w:line="225" w:lineRule="exact"/>
        <w:rPr>
          <w:sz w:val="20"/>
          <w:szCs w:val="20"/>
          <w:color w:val="auto"/>
        </w:rPr>
      </w:pPr>
    </w:p>
    <w:p>
      <w:pPr>
        <w:ind w:right="140" w:firstLine="89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w:t>
      </w:r>
      <w:r>
        <w:rPr>
          <w:rFonts w:ascii="Arial" w:cs="Arial" w:eastAsia="Arial" w:hAnsi="Arial"/>
          <w:sz w:val="16"/>
          <w:szCs w:val="16"/>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6"/>
          <w:szCs w:val="16"/>
          <w:u w:val="single" w:color="auto"/>
          <w:color w:val="auto"/>
        </w:rPr>
        <w:t>Controlling</w:t>
      </w:r>
      <w:r>
        <w:rPr>
          <w:rFonts w:ascii="Arial" w:cs="Arial" w:eastAsia="Arial" w:hAnsi="Arial"/>
          <w:sz w:val="16"/>
          <w:szCs w:val="16"/>
          <w:color w:val="auto"/>
        </w:rPr>
        <w:t>” and “</w:t>
      </w:r>
      <w:r>
        <w:rPr>
          <w:rFonts w:ascii="Arial" w:cs="Arial" w:eastAsia="Arial" w:hAnsi="Arial"/>
          <w:sz w:val="16"/>
          <w:szCs w:val="16"/>
          <w:u w:val="single" w:color="auto"/>
          <w:color w:val="auto"/>
        </w:rPr>
        <w:t>Controlled</w:t>
      </w:r>
      <w:r>
        <w:rPr>
          <w:rFonts w:ascii="Arial" w:cs="Arial" w:eastAsia="Arial" w:hAnsi="Arial"/>
          <w:sz w:val="16"/>
          <w:szCs w:val="16"/>
          <w:color w:val="auto"/>
        </w:rPr>
        <w:t>” have meanings correlative thereto.</w:t>
      </w:r>
    </w:p>
    <w:p>
      <w:pPr>
        <w:spacing w:after="0" w:line="124" w:lineRule="exact"/>
        <w:rPr>
          <w:sz w:val="20"/>
          <w:szCs w:val="20"/>
          <w:color w:val="auto"/>
        </w:rPr>
      </w:pPr>
    </w:p>
    <w:p>
      <w:pPr>
        <w:ind w:right="20" w:firstLine="89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Covered Debt Amount</w:t>
      </w:r>
      <w:r>
        <w:rPr>
          <w:rFonts w:ascii="Arial" w:cs="Arial" w:eastAsia="Arial" w:hAnsi="Arial"/>
          <w:sz w:val="17"/>
          <w:szCs w:val="17"/>
          <w:color w:val="auto"/>
        </w:rPr>
        <w:t xml:space="preserve">” means, on any date, the sum of (x) all of the Revolving Credit Exposures of all Lenders on such date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(y) the aggregate amount of Other Covered Indebtedness (including Permitted Convertible Indebtedness and Special Permitted Indebtedness constituting Unsecured Shorter-Term Indebtedness) on such date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(z) the LC Exposures fully Cash Collateralized on such date pursuant to </w:t>
      </w:r>
      <w:r>
        <w:rPr>
          <w:rFonts w:ascii="Arial" w:cs="Arial" w:eastAsia="Arial" w:hAnsi="Arial"/>
          <w:sz w:val="17"/>
          <w:szCs w:val="17"/>
          <w:u w:val="single" w:color="auto"/>
          <w:color w:val="auto"/>
        </w:rPr>
        <w:t>Section 2.05(k)</w:t>
      </w:r>
      <w:r>
        <w:rPr>
          <w:rFonts w:ascii="Arial" w:cs="Arial" w:eastAsia="Arial" w:hAnsi="Arial"/>
          <w:sz w:val="17"/>
          <w:szCs w:val="17"/>
          <w:color w:val="auto"/>
        </w:rPr>
        <w:t xml:space="preserve"> and the last paragraph of </w:t>
      </w:r>
      <w:r>
        <w:rPr>
          <w:rFonts w:ascii="Arial" w:cs="Arial" w:eastAsia="Arial" w:hAnsi="Arial"/>
          <w:sz w:val="17"/>
          <w:szCs w:val="17"/>
          <w:u w:val="single" w:color="auto"/>
          <w:color w:val="auto"/>
        </w:rPr>
        <w:t>Section 2.09(a)</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Permitted Convertible Indebtedness and Special Permitted Indebtedness constituting Unsecured Shorter-Term Indebtedness shall be excluded from the calculation of the Covered Debt Amount until the date that is nine (9) months prior to the scheduled maturity date of such Indebtedness (provided that (A) to the extent, but only to the extent, any portion of any such Indebtedness is subject to a contractually scheduled amortization payment, other principal payment or redemption (other than any conversion into Permitted Equity Interests) earlier than the scheduled maturity date of such Indebtedness, such portion of such Indebtedness shall be included in the calculation of the Covered Debt Amount beginning upon the date that is the later of (i) 9 months prior to such scheduled amortization payment, other principal payment or redemption and (ii) the date the Borrower becomes aware that such Indebtedness is required to be paid or redeemed and (B) to the extent then outstanding, any Permitted Convertible Indebtedness and Special Permitted Indebtedness constituting Unsecured Shorter-Term Indebtedness shall be included in the Covered Debt Amount at all times after the Commitment Termination Date). For the avoidance of doubt, for purposes of calculating the Covered Debt Amount, any Permitted Convertible Indebtedness and Special Permitted Indebtedness that constitutes Unsecured Shorter-Term Indebtedness will be included at the then outstanding principal balance thereof.</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274" w:right="339" w:bottom="1440" w:gutter="0" w:footer="0" w:header="0"/>
        </w:sectPr>
      </w:pPr>
    </w:p>
    <w:bookmarkStart w:id="20" w:name="page21"/>
    <w:bookmarkEnd w:id="20"/>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Currency</w:t>
      </w:r>
      <w:r>
        <w:rPr>
          <w:rFonts w:ascii="Arial" w:cs="Arial" w:eastAsia="Arial" w:hAnsi="Arial"/>
          <w:sz w:val="18"/>
          <w:szCs w:val="18"/>
          <w:color w:val="auto"/>
        </w:rPr>
        <w:t>” means Dollars or any Foreign Currency.</w:t>
      </w:r>
    </w:p>
    <w:p>
      <w:pPr>
        <w:spacing w:after="0" w:line="225" w:lineRule="exact"/>
        <w:rPr>
          <w:sz w:val="20"/>
          <w:szCs w:val="20"/>
          <w:color w:val="auto"/>
        </w:rPr>
      </w:pPr>
    </w:p>
    <w:p>
      <w:pPr>
        <w:ind w:right="80"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which constitutes an Event of Default or which upon notice, lapse of time or both would, unless cured or waived, become an Event of Default.</w:t>
      </w:r>
    </w:p>
    <w:p>
      <w:pPr>
        <w:spacing w:after="0" w:line="170" w:lineRule="exact"/>
        <w:rPr>
          <w:sz w:val="20"/>
          <w:szCs w:val="20"/>
          <w:color w:val="auto"/>
        </w:rPr>
      </w:pPr>
    </w:p>
    <w:p>
      <w:pPr>
        <w:ind w:firstLine="898"/>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xml:space="preserve">” means, subject to </w:t>
      </w:r>
      <w:r>
        <w:rPr>
          <w:rFonts w:ascii="Arial" w:cs="Arial" w:eastAsia="Arial" w:hAnsi="Arial"/>
          <w:sz w:val="16"/>
          <w:szCs w:val="16"/>
          <w:u w:val="single" w:color="auto"/>
          <w:color w:val="auto"/>
        </w:rPr>
        <w:t>Section 2.19(b)</w:t>
      </w:r>
      <w:r>
        <w:rPr>
          <w:rFonts w:ascii="Arial" w:cs="Arial" w:eastAsia="Arial" w:hAnsi="Arial"/>
          <w:sz w:val="16"/>
          <w:szCs w:val="16"/>
          <w:color w:val="auto"/>
        </w:rPr>
        <w:t>, any Lender that (a) has failed to (i) fund all or any portion of its Loans or participations in Letters of Credit within two Business Days of the date such Loans were required to be funded hereunder unless such Lender notifies the Administrative Agent and the Borrower in writing that such failure is the result of such Lender’s reasonable determination that one or more conditions precedent to funding (each of which conditions precedent, together with the applicable default, if any, shall be specifically identified in detail in such writing) has not been satisfied, or (ii) pay to the Administrative Agent, Issuing Bank, Swingline Lender or any Lender any other amount required to be paid by it hereunder (including in respect of its participation in Letters of Credit or Swingline Loans) within two Business Days of the date when due, (b) has notified the Borrower, the Administrative Agent, Issuing Bank or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reasonable determination that a condition precedent to funding (which condition precedent, together with the applicable default, if any, shall be specifically identified in detail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(provided that such Lender shall cease to be a Defaulting Lender pursuant to this</w:t>
      </w:r>
    </w:p>
    <w:p>
      <w:pPr>
        <w:spacing w:after="0" w:line="3" w:lineRule="exact"/>
        <w:rPr>
          <w:sz w:val="20"/>
          <w:szCs w:val="20"/>
          <w:color w:val="auto"/>
        </w:rPr>
      </w:pPr>
    </w:p>
    <w:p>
      <w:pPr>
        <w:spacing w:after="0" w:line="267" w:lineRule="auto"/>
        <w:rPr>
          <w:sz w:val="20"/>
          <w:szCs w:val="20"/>
          <w:color w:val="auto"/>
        </w:rPr>
      </w:pP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upon receipt of such written confirmation by Administrative Agent and Borrower), or (d) Administrative Agent has received notification that such Lender has become, or has a direct or indirect parent company that is, (i) insolvent, or is generally unable to pay its debts as they become due, or admits in writing its inability to pay its debts as they become due, or makes a general assignment for the benefit of its creditors or (ii) other than via an Undisclosed Administration, the subject of a bankruptcy, insolvency, reorganization, liquidation or similar proceeding, or a receiver, trustee, conservator, intervenor or sequestrator or the like has been appointed for such Lender or its direct or indirect parent company, or such Lender or its direct or indirect parent company has taken any action in furtherance of or indicating its consent to or acquiescence in any such proceeding or appointment;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Lender shall not be a Defaulting Lender solely by virtue of the ownership or acquisition of any Equity Interest in that Lender or any direct or indirect parent company thereof by a Governmental Authority or instrumentality so long as such ownership interest does not result in or provide such Lender with immunity from the jurisdiction of courts within the United States or from the enforcement of judgments or writs of attachment on its assets or permit such Lender (or such Governmental Authority or instrumentality) to reject, repudiate, disavow or disaffirm any contracts or agreements made with such Lender. Any determination by the Administrative Agent that a Lender is a Defaulting Lender under any one or more of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(d)</w:t>
      </w:r>
      <w:r>
        <w:rPr>
          <w:rFonts w:ascii="Arial" w:cs="Arial" w:eastAsia="Arial" w:hAnsi="Arial"/>
          <w:sz w:val="17"/>
          <w:szCs w:val="17"/>
          <w:color w:val="auto"/>
        </w:rPr>
        <w:t xml:space="preserve"> above shall be conclusive and binding absent manifest error, and such Lender shall be deemed to be a Defaulting Lender (subject to </w:t>
      </w:r>
      <w:r>
        <w:rPr>
          <w:rFonts w:ascii="Arial" w:cs="Arial" w:eastAsia="Arial" w:hAnsi="Arial"/>
          <w:sz w:val="17"/>
          <w:szCs w:val="17"/>
          <w:u w:val="single" w:color="auto"/>
          <w:color w:val="auto"/>
        </w:rPr>
        <w:t>Section 2.19(b)</w:t>
      </w:r>
      <w:r>
        <w:rPr>
          <w:rFonts w:ascii="Arial" w:cs="Arial" w:eastAsia="Arial" w:hAnsi="Arial"/>
          <w:sz w:val="17"/>
          <w:szCs w:val="17"/>
          <w:color w:val="auto"/>
        </w:rPr>
        <w:t>) upon such determination</w:t>
      </w:r>
    </w:p>
    <w:p>
      <w:pPr>
        <w:spacing w:after="0" w:line="11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274" w:right="339" w:bottom="1440" w:gutter="0" w:footer="0" w:header="0"/>
        </w:sectPr>
      </w:pPr>
    </w:p>
    <w:bookmarkStart w:id="21" w:name="page22"/>
    <w:bookmarkEnd w:id="21"/>
    <w:p>
      <w:pPr>
        <w:ind w:right="3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 the Administrative Agent shall deliver written notice of such determination to the Borrower, each Issuing Bank and each Lender and the Swingline Lender).</w:t>
      </w:r>
    </w:p>
    <w:p>
      <w:pPr>
        <w:spacing w:after="0" w:line="170" w:lineRule="exact"/>
        <w:rPr>
          <w:sz w:val="20"/>
          <w:szCs w:val="20"/>
          <w:color w:val="auto"/>
        </w:rPr>
      </w:pPr>
    </w:p>
    <w:p>
      <w:pPr>
        <w:ind w:right="160"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Obligations</w:t>
      </w:r>
      <w:r>
        <w:rPr>
          <w:rFonts w:ascii="Arial" w:cs="Arial" w:eastAsia="Arial" w:hAnsi="Arial"/>
          <w:sz w:val="18"/>
          <w:szCs w:val="18"/>
          <w:color w:val="auto"/>
        </w:rPr>
        <w:t>” means all obligations of the Borrower with respect to (a) principal of and interest on the Loans and (b) accrued and unpaid fees under the Loan Documents.</w:t>
      </w:r>
    </w:p>
    <w:p>
      <w:pPr>
        <w:spacing w:after="0" w:line="170" w:lineRule="exact"/>
        <w:rPr>
          <w:sz w:val="20"/>
          <w:szCs w:val="20"/>
          <w:color w:val="auto"/>
        </w:rPr>
      </w:pPr>
    </w:p>
    <w:p>
      <w:pPr>
        <w:ind w:right="180" w:firstLine="89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w:t>
      </w:r>
      <w:r>
        <w:rPr>
          <w:rFonts w:ascii="Arial" w:cs="Arial" w:eastAsia="Arial" w:hAnsi="Arial"/>
          <w:sz w:val="18"/>
          <w:szCs w:val="18"/>
          <w:color w:val="auto"/>
        </w:rPr>
        <w:t>” or “</w:t>
      </w:r>
      <w:r>
        <w:rPr>
          <w:rFonts w:ascii="Arial" w:cs="Arial" w:eastAsia="Arial" w:hAnsi="Arial"/>
          <w:sz w:val="18"/>
          <w:szCs w:val="18"/>
          <w:u w:val="single" w:color="auto"/>
          <w:color w:val="auto"/>
        </w:rPr>
        <w:t>Dispose</w:t>
      </w:r>
      <w:r>
        <w:rPr>
          <w:rFonts w:ascii="Arial" w:cs="Arial" w:eastAsia="Arial" w:hAnsi="Arial"/>
          <w:sz w:val="18"/>
          <w:szCs w:val="18"/>
          <w:color w:val="auto"/>
        </w:rPr>
        <w:t xml:space="preserve">” means the sale, transfer, license, lease or other disposition (including any sale and leaseback transaction) of any property by any Person (or the granting of any option or other right to do any of the foregoing), including any sale, assignment, transfer or other disposal, with or without recourse, of any notes or accounts receivable or any rights and claims associated therewith;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 “Disposition” or “Dispose” shall not include the disposition of Portfolio Investments originated by the Borrower and immediately transferred to a Financing Subsidiary pursuant to a transaction not prohibited hereunder.</w:t>
      </w:r>
    </w:p>
    <w:p>
      <w:pPr>
        <w:spacing w:after="0" w:line="188" w:lineRule="exact"/>
        <w:rPr>
          <w:sz w:val="20"/>
          <w:szCs w:val="20"/>
          <w:color w:val="auto"/>
        </w:rPr>
      </w:pPr>
    </w:p>
    <w:p>
      <w:pPr>
        <w:ind w:right="140" w:firstLine="89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Dollar Commitment</w:t>
      </w:r>
      <w:r>
        <w:rPr>
          <w:rFonts w:ascii="Arial" w:cs="Arial" w:eastAsia="Arial" w:hAnsi="Arial"/>
          <w:sz w:val="16"/>
          <w:szCs w:val="16"/>
          <w:color w:val="auto"/>
        </w:rPr>
        <w:t xml:space="preserve">” means, with respect to each Dollar Lender, the commitment of such Dollar Lender to make Syndicated Loans, and to acquire participations in Letters of Credit and Swingline Loans, denominated in Dollars hereunder, expressed as an amount representing the maximum aggregate amount of such Lender’s Revolving Dollar Credit Exposure hereunder, as such commitment may be (a) reduced or increased from time to time pursuant to </w:t>
      </w:r>
      <w:r>
        <w:rPr>
          <w:rFonts w:ascii="Arial" w:cs="Arial" w:eastAsia="Arial" w:hAnsi="Arial"/>
          <w:sz w:val="16"/>
          <w:szCs w:val="16"/>
          <w:u w:val="single" w:color="auto"/>
          <w:color w:val="auto"/>
        </w:rPr>
        <w:t>Section 2.08</w:t>
      </w:r>
      <w:r>
        <w:rPr>
          <w:rFonts w:ascii="Arial" w:cs="Arial" w:eastAsia="Arial" w:hAnsi="Arial"/>
          <w:sz w:val="16"/>
          <w:szCs w:val="16"/>
          <w:color w:val="auto"/>
        </w:rPr>
        <w:t xml:space="preserve"> and (b) reduced or increased from time to time pursuant to assignments by or to such Lender pursuant to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The initial amount of each Lender’s Dollar Commitment is set forth on </w:t>
      </w:r>
      <w:r>
        <w:rPr>
          <w:rFonts w:ascii="Arial" w:cs="Arial" w:eastAsia="Arial" w:hAnsi="Arial"/>
          <w:sz w:val="16"/>
          <w:szCs w:val="16"/>
          <w:u w:val="single" w:color="auto"/>
          <w:color w:val="auto"/>
        </w:rPr>
        <w:t>Schedule 1.01(b)</w:t>
      </w:r>
      <w:r>
        <w:rPr>
          <w:rFonts w:ascii="Arial" w:cs="Arial" w:eastAsia="Arial" w:hAnsi="Arial"/>
          <w:sz w:val="16"/>
          <w:szCs w:val="16"/>
          <w:color w:val="auto"/>
        </w:rPr>
        <w:t>, or in the Assignment and Assumption pursuant to which such Lender shall have assumed its Dollar Commitment, as applicable. The initial aggregate amount of the Lenders’ Dollar Commitments is $120,000,000.</w:t>
      </w:r>
    </w:p>
    <w:p>
      <w:pPr>
        <w:spacing w:after="0" w:line="164" w:lineRule="exact"/>
        <w:rPr>
          <w:sz w:val="20"/>
          <w:szCs w:val="20"/>
          <w:color w:val="auto"/>
        </w:rPr>
      </w:pPr>
    </w:p>
    <w:p>
      <w:pPr>
        <w:ind w:right="260" w:firstLine="89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Equivalent</w:t>
      </w:r>
      <w:r>
        <w:rPr>
          <w:rFonts w:ascii="Arial" w:cs="Arial" w:eastAsia="Arial" w:hAnsi="Arial"/>
          <w:sz w:val="18"/>
          <w:szCs w:val="18"/>
          <w:color w:val="auto"/>
        </w:rPr>
        <w:t>” means, on any date of determination, with respect to an amount denominated in any Foreign Currency, the amount of Dollars that would be required to purchase such amount of such Foreign Currency on the date two Business Days prior to such date, based upon the spot selling rate at which the Administrative Agent offers to sell such Foreign Currency for Dollars in the London foreign exchange market at approximately 11:00 a.m., London time, for delivery two Business Days later.</w:t>
      </w:r>
    </w:p>
    <w:p>
      <w:pPr>
        <w:spacing w:after="0" w:line="187" w:lineRule="exact"/>
        <w:rPr>
          <w:sz w:val="20"/>
          <w:szCs w:val="20"/>
          <w:color w:val="auto"/>
        </w:rPr>
      </w:pPr>
    </w:p>
    <w:p>
      <w:pPr>
        <w:ind w:firstLine="89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LC Exposure</w:t>
      </w:r>
      <w:r>
        <w:rPr>
          <w:rFonts w:ascii="Arial" w:cs="Arial" w:eastAsia="Arial" w:hAnsi="Arial"/>
          <w:sz w:val="18"/>
          <w:szCs w:val="18"/>
          <w:color w:val="auto"/>
        </w:rPr>
        <w:t xml:space="preserve">” means, at any time, the sum of (a) the aggregate undrawn amount of all outstanding Dollar Letters of Credit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aggregate amount of all LC Disbursements in respect of such Letters of Credit that have not yet been reimbursed by or on behalf of the Borrower at such time. The Dollar LC Exposure of any Lender at any time shall be its Applicable Dollar Percentage of the total Dollar LC Exposure at such time.</w:t>
      </w:r>
    </w:p>
    <w:p>
      <w:pPr>
        <w:spacing w:after="0" w:line="187" w:lineRule="exact"/>
        <w:rPr>
          <w:sz w:val="20"/>
          <w:szCs w:val="20"/>
          <w:color w:val="auto"/>
        </w:rPr>
      </w:pPr>
    </w:p>
    <w:p>
      <w:pPr>
        <w:ind w:right="180" w:firstLine="89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Dollar Lender</w:t>
      </w:r>
      <w:r>
        <w:rPr>
          <w:rFonts w:ascii="Arial" w:cs="Arial" w:eastAsia="Arial" w:hAnsi="Arial"/>
          <w:sz w:val="17"/>
          <w:szCs w:val="17"/>
          <w:color w:val="auto"/>
        </w:rPr>
        <w:t xml:space="preserve">” means the Persons listed on </w:t>
      </w:r>
      <w:r>
        <w:rPr>
          <w:rFonts w:ascii="Arial" w:cs="Arial" w:eastAsia="Arial" w:hAnsi="Arial"/>
          <w:sz w:val="17"/>
          <w:szCs w:val="17"/>
          <w:u w:val="single" w:color="auto"/>
          <w:color w:val="auto"/>
        </w:rPr>
        <w:t>Schedule 1.01(b)</w:t>
      </w:r>
      <w:r>
        <w:rPr>
          <w:rFonts w:ascii="Arial" w:cs="Arial" w:eastAsia="Arial" w:hAnsi="Arial"/>
          <w:sz w:val="17"/>
          <w:szCs w:val="17"/>
          <w:color w:val="auto"/>
        </w:rPr>
        <w:t xml:space="preserve"> as having Dollar Commitments and any other Person that shall have become a party hereto pursuant to an Assignment and Assumption that provides for it to assume a Dollar Commitment or to acquire Revolving Dollar Credit Exposure, other than any such Person that ceases to be a party hereto pursuant to an Assignment and Assumption.</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274" w:right="339" w:bottom="1440" w:gutter="0" w:footer="0" w:header="0"/>
        </w:sectPr>
      </w:pPr>
    </w:p>
    <w:bookmarkStart w:id="22" w:name="page23"/>
    <w:bookmarkEnd w:id="22"/>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Dollar Letters of Credit</w:t>
      </w:r>
      <w:r>
        <w:rPr>
          <w:rFonts w:ascii="Arial" w:cs="Arial" w:eastAsia="Arial" w:hAnsi="Arial"/>
          <w:sz w:val="18"/>
          <w:szCs w:val="18"/>
          <w:color w:val="auto"/>
        </w:rPr>
        <w:t>” means Letters of Credit that utilize the Dollar Commitments.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Loan</w:t>
      </w:r>
      <w:r>
        <w:rPr>
          <w:rFonts w:ascii="Arial" w:cs="Arial" w:eastAsia="Arial" w:hAnsi="Arial"/>
          <w:sz w:val="18"/>
          <w:szCs w:val="18"/>
          <w:color w:val="auto"/>
        </w:rPr>
        <w:t>” means a Loan denominated in Dollars.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refers to lawful money of the United States of America.</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Effective Date</w:t>
      </w:r>
      <w:r>
        <w:rPr>
          <w:rFonts w:ascii="Arial" w:cs="Arial" w:eastAsia="Arial" w:hAnsi="Arial"/>
          <w:sz w:val="16"/>
          <w:szCs w:val="16"/>
          <w:color w:val="auto"/>
        </w:rPr>
        <w:t xml:space="preserve">” means the date on which the conditions specified in </w:t>
      </w:r>
      <w:r>
        <w:rPr>
          <w:rFonts w:ascii="Arial" w:cs="Arial" w:eastAsia="Arial" w:hAnsi="Arial"/>
          <w:sz w:val="16"/>
          <w:szCs w:val="16"/>
          <w:u w:val="single" w:color="auto"/>
          <w:color w:val="auto"/>
        </w:rPr>
        <w:t>Section 4.01</w:t>
      </w:r>
      <w:r>
        <w:rPr>
          <w:rFonts w:ascii="Arial" w:cs="Arial" w:eastAsia="Arial" w:hAnsi="Arial"/>
          <w:sz w:val="16"/>
          <w:szCs w:val="16"/>
          <w:color w:val="auto"/>
        </w:rPr>
        <w:t xml:space="preserve"> are satisfied (or waived in accordance with </w:t>
      </w:r>
      <w:r>
        <w:rPr>
          <w:rFonts w:ascii="Arial" w:cs="Arial" w:eastAsia="Arial" w:hAnsi="Arial"/>
          <w:sz w:val="16"/>
          <w:szCs w:val="16"/>
          <w:u w:val="single" w:color="auto"/>
          <w:color w:val="auto"/>
        </w:rPr>
        <w:t>Section 9.02</w:t>
      </w:r>
      <w:r>
        <w:rPr>
          <w:rFonts w:ascii="Arial" w:cs="Arial" w:eastAsia="Arial" w:hAnsi="Arial"/>
          <w:sz w:val="16"/>
          <w:szCs w:val="16"/>
          <w:color w:val="auto"/>
        </w:rPr>
        <w:t>).</w:t>
      </w:r>
    </w:p>
    <w:p>
      <w:pPr>
        <w:spacing w:after="0" w:line="248" w:lineRule="exact"/>
        <w:rPr>
          <w:sz w:val="20"/>
          <w:szCs w:val="20"/>
          <w:color w:val="auto"/>
        </w:rPr>
      </w:pPr>
    </w:p>
    <w:p>
      <w:pPr>
        <w:ind w:right="120" w:firstLine="89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from time to time.</w:t>
      </w:r>
    </w:p>
    <w:p>
      <w:pPr>
        <w:spacing w:after="0" w:line="225" w:lineRule="exact"/>
        <w:rPr>
          <w:sz w:val="20"/>
          <w:szCs w:val="20"/>
          <w:color w:val="auto"/>
        </w:rPr>
      </w:pPr>
    </w:p>
    <w:p>
      <w:pPr>
        <w:ind w:right="40" w:firstLine="89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trade or business (whether or not incorporated) that, together with the Borrower, is treated as a single employer under Section 414(b) or (c) of the Code, or, solely for purposes of Section 302 of ERISA and Section 412 of the Code, is treated as a single employer under Section 414 of the Code.</w:t>
      </w:r>
    </w:p>
    <w:p>
      <w:pPr>
        <w:spacing w:after="0" w:line="184" w:lineRule="exact"/>
        <w:rPr>
          <w:sz w:val="20"/>
          <w:szCs w:val="20"/>
          <w:color w:val="auto"/>
        </w:rPr>
      </w:pPr>
    </w:p>
    <w:p>
      <w:pPr>
        <w:ind w:right="160" w:firstLine="89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Event</w:t>
      </w:r>
      <w:r>
        <w:rPr>
          <w:rFonts w:ascii="Arial" w:cs="Arial" w:eastAsia="Arial" w:hAnsi="Arial"/>
          <w:sz w:val="16"/>
          <w:szCs w:val="16"/>
          <w:color w:val="auto"/>
        </w:rPr>
        <w:t>” means (a) any “reportable event”, as defined in Section 4043 of ERISA or the regulations issued thereunder with respect to a Plan (other than an event for which the 30-day notice period is waived); (b) any failure by any Plan to satisfy the minimum funding standard (within the meaning of Section 412 of the Code or Section 302 of ERISA) applicable to such Plan; (c) the filing pursuant to Section 412(c) of the Code or</w:t>
      </w:r>
    </w:p>
    <w:p>
      <w:pPr>
        <w:spacing w:after="0" w:line="2"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Section 302(c) of ERISA of an application for a waiver of the minimum funding standard with respect to any Plan; (d) the incurrence by the Borrower or any of its ERISA Affiliates of any liability under Title IV of ERISA with respect to the termination of any Plan; (e) the receipt by the Borrower or any ERISA Affiliate from the PBGC or a plan administrator of any notice relating to an intention to terminate any Plan or Plans or to appoint a trustee to administer any Plan; (f) the incurrence by the Borrower or any of its ERISA Affiliates of any liability with respect to the withdrawal or partial withdrawal from any Plan or Multiemployer Plan; or (g) the receipt by the Borrower or any ERISA Affiliate of any notice, or the receipt by any Multiemployer Plan from the Borrower or any ERISA Affiliate of any notice, concerning the imposition of Withdrawal Liability or a determination that a Multiemployer Plan is, or is expected to be, insolvent or in reorganization, within the meaning of Title IV of ERISA.</w:t>
      </w:r>
    </w:p>
    <w:p>
      <w:pPr>
        <w:spacing w:after="0" w:line="18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w:t>
      </w:r>
      <w:r>
        <w:rPr>
          <w:rFonts w:ascii="Arial" w:cs="Arial" w:eastAsia="Arial" w:hAnsi="Arial"/>
          <w:sz w:val="18"/>
          <w:szCs w:val="18"/>
          <w:color w:val="auto"/>
        </w:rPr>
        <w:t>” means a single currency of the Participating Member States.</w:t>
      </w:r>
    </w:p>
    <w:p>
      <w:pPr>
        <w:spacing w:after="0" w:line="225" w:lineRule="exact"/>
        <w:rPr>
          <w:sz w:val="20"/>
          <w:szCs w:val="20"/>
          <w:color w:val="auto"/>
        </w:rPr>
      </w:pPr>
    </w:p>
    <w:p>
      <w:pPr>
        <w:ind w:right="20"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w:t>
      </w:r>
      <w:r>
        <w:rPr>
          <w:rFonts w:ascii="Arial" w:cs="Arial" w:eastAsia="Arial" w:hAnsi="Arial"/>
          <w:sz w:val="18"/>
          <w:szCs w:val="18"/>
          <w:color w:val="auto"/>
        </w:rPr>
        <w:t>”, when used in reference to any Loan or Borrowing, refers to whether such Loan, or the Loans constituting such Borrowing, are bearing interest at a rate determined by reference to the Adjusted LIBO Rate.</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Article VII</w:t>
      </w:r>
      <w:r>
        <w:rPr>
          <w:rFonts w:ascii="Arial" w:cs="Arial" w:eastAsia="Arial" w:hAnsi="Arial"/>
          <w:sz w:val="18"/>
          <w:szCs w:val="18"/>
          <w:color w:val="auto"/>
        </w:rPr>
        <w: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274" w:right="339" w:bottom="1440" w:gutter="0" w:footer="0" w:header="0"/>
        </w:sectPr>
      </w:pPr>
    </w:p>
    <w:bookmarkStart w:id="23" w:name="page24"/>
    <w:bookmarkEnd w:id="23"/>
    <w:p>
      <w:pPr>
        <w:ind w:right="20" w:firstLine="898"/>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u w:val="single" w:color="auto"/>
          <w:color w:val="auto"/>
        </w:rPr>
        <w:t>Excluded Taxes</w:t>
      </w:r>
      <w:r>
        <w:rPr>
          <w:rFonts w:ascii="Arial" w:cs="Arial" w:eastAsia="Arial" w:hAnsi="Arial"/>
          <w:sz w:val="16"/>
          <w:szCs w:val="16"/>
          <w:color w:val="auto"/>
        </w:rPr>
        <w:t xml:space="preserve">” means, with respect to the Administrative Agent, any Lender, the Issuing Bank or any other recipient of any payment to be made by or on account of any obligation of the Borrower hereunder, (a) income, corporate, franchise or other similar taxes imposed on (or measured by) its net income by the United States of America (or any state or political subdivision thereof), or by the jurisdiction (or any political subdivision thereof) under the laws of which such recipient is organized or in which its principal office is located or, in the case of any Lender, in which its applicable lending office is located, (b) any branch profits taxes imposed by the United States of America or any similar tax imposed by any other jurisdiction in which the Borrower is located, (c) in the case of a Lender, any U.S. withholding tax imposed on amounts payable to such Lender (i) at the time such Lender (other than an assignee pursuant to a request by the Borrower under </w:t>
      </w:r>
      <w:r>
        <w:rPr>
          <w:rFonts w:ascii="Arial" w:cs="Arial" w:eastAsia="Arial" w:hAnsi="Arial"/>
          <w:sz w:val="16"/>
          <w:szCs w:val="16"/>
          <w:u w:val="single" w:color="auto"/>
          <w:color w:val="auto"/>
        </w:rPr>
        <w:t>Section 2.18(b)</w:t>
      </w:r>
      <w:r>
        <w:rPr>
          <w:rFonts w:ascii="Arial" w:cs="Arial" w:eastAsia="Arial" w:hAnsi="Arial"/>
          <w:sz w:val="16"/>
          <w:szCs w:val="16"/>
          <w:color w:val="auto"/>
        </w:rPr>
        <w:t xml:space="preserve">) becomes a party to this Agreement or designates a new lending office, except to the extent that such Lender’s assignor or such Lender was entitled to receive additional amounts from the Borrower with respect to such withholding tax pursuant to </w:t>
      </w:r>
      <w:r>
        <w:rPr>
          <w:rFonts w:ascii="Arial" w:cs="Arial" w:eastAsia="Arial" w:hAnsi="Arial"/>
          <w:sz w:val="16"/>
          <w:szCs w:val="16"/>
          <w:u w:val="single" w:color="auto"/>
          <w:color w:val="auto"/>
        </w:rPr>
        <w:t>Section 2.16</w:t>
      </w:r>
      <w:r>
        <w:rPr>
          <w:rFonts w:ascii="Arial" w:cs="Arial" w:eastAsia="Arial" w:hAnsi="Arial"/>
          <w:sz w:val="16"/>
          <w:szCs w:val="16"/>
          <w:color w:val="auto"/>
        </w:rPr>
        <w:t>, at the time of such assignment or designation (other than to the extent such withholding is as a result of a CAM Exchange), or</w:t>
      </w:r>
    </w:p>
    <w:p>
      <w:pPr>
        <w:spacing w:after="0" w:line="6" w:lineRule="exact"/>
        <w:rPr>
          <w:sz w:val="20"/>
          <w:szCs w:val="20"/>
          <w:color w:val="auto"/>
        </w:rPr>
      </w:pPr>
    </w:p>
    <w:p>
      <w:pPr>
        <w:ind w:right="160" w:firstLine="8"/>
        <w:spacing w:after="0" w:line="255" w:lineRule="auto"/>
        <w:tabs>
          <w:tab w:leader="none" w:pos="265"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that is attributable to such Lender’s failure or inability (other than as a result of a Change in Law occurring after the date such Lender becomes a party to this Agreement) to comply with </w:t>
      </w:r>
      <w:r>
        <w:rPr>
          <w:rFonts w:ascii="Arial" w:cs="Arial" w:eastAsia="Arial" w:hAnsi="Arial"/>
          <w:sz w:val="18"/>
          <w:szCs w:val="18"/>
          <w:u w:val="single" w:color="auto"/>
          <w:color w:val="auto"/>
        </w:rPr>
        <w:t>Section 2.16(f)</w:t>
      </w:r>
      <w:r>
        <w:rPr>
          <w:rFonts w:ascii="Arial" w:cs="Arial" w:eastAsia="Arial" w:hAnsi="Arial"/>
          <w:sz w:val="18"/>
          <w:szCs w:val="18"/>
          <w:color w:val="auto"/>
        </w:rPr>
        <w:t>, (d) any U.S. federal, state or local backup withholding Taxes imposed on payments made under any Loan Document, and (e) any U.S. federal withholding tax that is imposed pursuant to FATCA.</w:t>
      </w:r>
    </w:p>
    <w:p>
      <w:pPr>
        <w:spacing w:after="0" w:line="1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 xml:space="preserve"> to this Agreement.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Lenders</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 xml:space="preserve"> to this Agreement.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Loans</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 xml:space="preserve"> to this Agreement.</w:t>
      </w:r>
    </w:p>
    <w:p>
      <w:pPr>
        <w:spacing w:after="0" w:line="225" w:lineRule="exact"/>
        <w:rPr>
          <w:sz w:val="20"/>
          <w:szCs w:val="20"/>
          <w:color w:val="auto"/>
        </w:rPr>
      </w:pPr>
    </w:p>
    <w:p>
      <w:pPr>
        <w:ind w:right="120" w:firstLine="89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Extraordinary Receipts</w:t>
      </w:r>
      <w:r>
        <w:rPr>
          <w:rFonts w:ascii="Arial" w:cs="Arial" w:eastAsia="Arial" w:hAnsi="Arial"/>
          <w:sz w:val="17"/>
          <w:szCs w:val="17"/>
          <w:color w:val="auto"/>
        </w:rPr>
        <w:t xml:space="preserve">” means any cash received by or paid to any Obligor on account of any foreign, United States, state or local tax refunds, pension plan reversions, judgments, proceeds of settlements or other consideration of any kind in connection with any cause of action, condemnation awards (and payments in lieu thereof), indemnity payments received not in the ordinary course of business and any purchase price adjustment received not in the ordinary course of business in connection with any purchase agreement and proceeds of insurance (excluding, however, for the avoidance of doubt, proceeds of any issuance of Equity Interests and issuances of Indebtedness by any Obligor);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Extraordinary Receipts shall not include any (x) amounts that the Borrower receives from the Administrative Agent or any Lender pursuant to </w:t>
      </w:r>
      <w:r>
        <w:rPr>
          <w:rFonts w:ascii="Arial" w:cs="Arial" w:eastAsia="Arial" w:hAnsi="Arial"/>
          <w:sz w:val="17"/>
          <w:szCs w:val="17"/>
          <w:u w:val="single" w:color="auto"/>
          <w:color w:val="auto"/>
        </w:rPr>
        <w:t>Section 2.16(f)</w:t>
      </w:r>
      <w:r>
        <w:rPr>
          <w:rFonts w:ascii="Arial" w:cs="Arial" w:eastAsia="Arial" w:hAnsi="Arial"/>
          <w:sz w:val="17"/>
          <w:szCs w:val="17"/>
          <w:color w:val="auto"/>
        </w:rPr>
        <w:t>, or (y) cash receipts to the extent received from proceeds of insurance, condemnation awards (or payments in lieu thereof), indemnity payments or payments in respect of judgments or settlements of claims, litigation or proceedings to the extent that such proceeds, awards or payments are received by any Person in respect of any unaffiliated third party claim against or loss by such Person and promptly applied to pay (or to reimburse such Person for its prior payment of) such claim or loss and the costs and expenses of such Person with respect thereto.</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274" w:right="339" w:bottom="1440" w:gutter="0" w:footer="0" w:header="0"/>
        </w:sectPr>
      </w:pPr>
    </w:p>
    <w:bookmarkStart w:id="24" w:name="page25"/>
    <w:bookmarkEnd w:id="24"/>
    <w:p>
      <w:pPr>
        <w:ind w:right="400" w:firstLine="898"/>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FATCA</w:t>
      </w:r>
      <w:r>
        <w:rPr>
          <w:rFonts w:ascii="Arial" w:cs="Arial" w:eastAsia="Arial" w:hAnsi="Arial"/>
          <w:sz w:val="18"/>
          <w:szCs w:val="18"/>
          <w:color w:val="auto"/>
        </w:rPr>
        <w:t>” means Section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w:t>
      </w:r>
    </w:p>
    <w:p>
      <w:pPr>
        <w:spacing w:after="0" w:line="184" w:lineRule="exact"/>
        <w:rPr>
          <w:sz w:val="20"/>
          <w:szCs w:val="20"/>
          <w:color w:val="auto"/>
        </w:rPr>
      </w:pPr>
    </w:p>
    <w:p>
      <w:pPr>
        <w:ind w:right="80" w:firstLine="89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Effective Rate</w:t>
      </w:r>
      <w:r>
        <w:rPr>
          <w:rFonts w:ascii="Arial" w:cs="Arial" w:eastAsia="Arial" w:hAnsi="Arial"/>
          <w:sz w:val="18"/>
          <w:szCs w:val="18"/>
          <w:color w:val="auto"/>
        </w:rPr>
        <w:t>” means, for any day, the weighted average (rounded upwards, if necessary, to the next 1/100 of 1%) of the rates on overnight Federal funds transactions with members of the Federal Reserve System arranged by Federal funds brokers, as published on the next succeeding Business Day by the Federal Reserve Bank of New York, or, if such rate is not so published for any day that is a Business Day, the average (rounded upwards, if necessary, to the next 1/100 of 1%) of the quotations for such day for such transactions received by the Administrative Agent from three Federal funds brokers of recognized standing selected by it.</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Maturity Date</w:t>
      </w:r>
      <w:r>
        <w:rPr>
          <w:rFonts w:ascii="Arial" w:cs="Arial" w:eastAsia="Arial" w:hAnsi="Arial"/>
          <w:sz w:val="18"/>
          <w:szCs w:val="18"/>
          <w:color w:val="auto"/>
        </w:rPr>
        <w:t>” means June 25, 2019.</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Officer</w:t>
      </w:r>
      <w:r>
        <w:rPr>
          <w:rFonts w:ascii="Arial" w:cs="Arial" w:eastAsia="Arial" w:hAnsi="Arial"/>
          <w:sz w:val="18"/>
          <w:szCs w:val="18"/>
          <w:color w:val="auto"/>
        </w:rPr>
        <w:t>” means the chief financial officer, principal accounting officer, treasurer or controller of the Borrower.</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Financing Subsidiary</w:t>
      </w:r>
      <w:r>
        <w:rPr>
          <w:rFonts w:ascii="Arial" w:cs="Arial" w:eastAsia="Arial" w:hAnsi="Arial"/>
          <w:sz w:val="18"/>
          <w:szCs w:val="18"/>
          <w:color w:val="auto"/>
        </w:rPr>
        <w:t>” means an SPE Subsidiary or an SBIC Subsidiary.</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Currency</w:t>
      </w:r>
      <w:r>
        <w:rPr>
          <w:rFonts w:ascii="Arial" w:cs="Arial" w:eastAsia="Arial" w:hAnsi="Arial"/>
          <w:sz w:val="18"/>
          <w:szCs w:val="18"/>
          <w:color w:val="auto"/>
        </w:rPr>
        <w:t>” means at any time any Currency other than Dollars.</w:t>
      </w:r>
    </w:p>
    <w:p>
      <w:pPr>
        <w:spacing w:after="0" w:line="225" w:lineRule="exact"/>
        <w:rPr>
          <w:sz w:val="20"/>
          <w:szCs w:val="20"/>
          <w:color w:val="auto"/>
        </w:rPr>
      </w:pPr>
    </w:p>
    <w:p>
      <w:pPr>
        <w:ind w:right="160" w:firstLine="89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Currency Equivalent</w:t>
      </w:r>
      <w:r>
        <w:rPr>
          <w:rFonts w:ascii="Arial" w:cs="Arial" w:eastAsia="Arial" w:hAnsi="Arial"/>
          <w:sz w:val="18"/>
          <w:szCs w:val="18"/>
          <w:color w:val="auto"/>
        </w:rPr>
        <w:t>” means, with respect to any amount in Dollars, the amount of any Foreign Currency that could be purchased with such amount of Dollars using the reciprocal of the foreign exchange rate(s) specified in the definition of the term “Dollar Equivalent”, as determined by the Administrative Agent.</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Lender</w:t>
      </w:r>
      <w:r>
        <w:rPr>
          <w:rFonts w:ascii="Arial" w:cs="Arial" w:eastAsia="Arial" w:hAnsi="Arial"/>
          <w:sz w:val="18"/>
          <w:szCs w:val="18"/>
          <w:color w:val="auto"/>
        </w:rPr>
        <w:t>” means any Lender that is not a “United States person” as defined under Section 7701(a)(30) of the Code.</w:t>
      </w:r>
    </w:p>
    <w:p>
      <w:pPr>
        <w:spacing w:after="0" w:line="225" w:lineRule="exact"/>
        <w:rPr>
          <w:sz w:val="20"/>
          <w:szCs w:val="20"/>
          <w:color w:val="auto"/>
        </w:rPr>
      </w:pPr>
    </w:p>
    <w:p>
      <w:pPr>
        <w:ind w:right="200" w:firstLine="89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any (a) direct or indirect Subsidiary of the Borrower that is resident or organized under the laws of any jurisdiction other than the United States or its states, territories or possessions and that is treated as a corporation for United States federal income tax purposes, (b) direct or indirect Subsidiary of the Borrower which is a “controlled foreign corporation” within the meaning of the Code or (c) direct or indirect Subsidiary that is disregarded as an entity that is separate from its owner for United States federal income tax purposes and substantially all of its assets consist of the Capital Stock of one or more direct or indirect Foreign Subsidiaries.</w:t>
      </w:r>
    </w:p>
    <w:p>
      <w:pPr>
        <w:spacing w:after="0" w:line="188" w:lineRule="exact"/>
        <w:rPr>
          <w:sz w:val="20"/>
          <w:szCs w:val="20"/>
          <w:color w:val="auto"/>
        </w:rPr>
      </w:pPr>
    </w:p>
    <w:p>
      <w:pPr>
        <w:ind w:right="180" w:firstLine="89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Fronting Exposure</w:t>
      </w:r>
      <w:r>
        <w:rPr>
          <w:rFonts w:ascii="Arial" w:cs="Arial" w:eastAsia="Arial" w:hAnsi="Arial"/>
          <w:sz w:val="16"/>
          <w:szCs w:val="16"/>
          <w:color w:val="auto"/>
        </w:rPr>
        <w:t>” means, at any time there is a Defaulting Lender, with respect to any Issuing Bank, such Defaulting Lender’s Applicable Percentage of the outstanding LC Exposure with respect to Letters of Credit issued by such Issuing Bank other than LC Exposure as to which such Defaulting Lender’s participation obligation has been reallocated to other Lenders or Cash Collateralized in accordance with the terms hereof.</w:t>
      </w:r>
    </w:p>
    <w:p>
      <w:pPr>
        <w:spacing w:after="0" w:line="8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274" w:right="339" w:bottom="1440" w:gutter="0" w:footer="0" w:header="0"/>
        </w:sectPr>
      </w:pPr>
    </w:p>
    <w:bookmarkStart w:id="25" w:name="page26"/>
    <w:bookmarkEnd w:id="25"/>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of America.</w:t>
      </w:r>
    </w:p>
    <w:p>
      <w:pPr>
        <w:spacing w:after="0" w:line="225" w:lineRule="exact"/>
        <w:rPr>
          <w:sz w:val="20"/>
          <w:szCs w:val="20"/>
          <w:color w:val="auto"/>
        </w:rPr>
      </w:pPr>
    </w:p>
    <w:p>
      <w:pPr>
        <w:ind w:right="40" w:firstLine="89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of America, or of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body exercising such powers or functions, such as the European Union or the European Central Bank).</w:t>
      </w:r>
    </w:p>
    <w:p>
      <w:pPr>
        <w:spacing w:after="0" w:line="187" w:lineRule="exact"/>
        <w:rPr>
          <w:sz w:val="20"/>
          <w:szCs w:val="20"/>
          <w:color w:val="auto"/>
        </w:rPr>
      </w:pPr>
    </w:p>
    <w:p>
      <w:pPr>
        <w:ind w:right="120" w:firstLine="89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w:t>
      </w:r>
      <w:r>
        <w:rPr>
          <w:rFonts w:ascii="Arial" w:cs="Arial" w:eastAsia="Arial" w:hAnsi="Arial"/>
          <w:sz w:val="16"/>
          <w:szCs w:val="16"/>
          <w:color w:val="auto"/>
        </w:rPr>
        <w:t>” of or by any Person (the “</w:t>
      </w:r>
      <w:r>
        <w:rPr>
          <w:rFonts w:ascii="Arial" w:cs="Arial" w:eastAsia="Arial" w:hAnsi="Arial"/>
          <w:sz w:val="16"/>
          <w:szCs w:val="16"/>
          <w:u w:val="single" w:color="auto"/>
          <w:color w:val="auto"/>
        </w:rPr>
        <w:t>guarantor</w:t>
      </w:r>
      <w:r>
        <w:rPr>
          <w:rFonts w:ascii="Arial" w:cs="Arial" w:eastAsia="Arial" w:hAnsi="Arial"/>
          <w:sz w:val="16"/>
          <w:szCs w:val="16"/>
          <w:color w:val="auto"/>
        </w:rPr>
        <w:t>”) means any obligation, contingent or otherwise, of the guarantor guaranteeing or having the economic effect of guaranteeing any Indebtedness or other obligation of any other Person (the “</w:t>
      </w:r>
      <w:r>
        <w:rPr>
          <w:rFonts w:ascii="Arial" w:cs="Arial" w:eastAsia="Arial" w:hAnsi="Arial"/>
          <w:sz w:val="16"/>
          <w:szCs w:val="16"/>
          <w:u w:val="single" w:color="auto"/>
          <w:color w:val="auto"/>
        </w:rPr>
        <w:t>primary obligor</w:t>
      </w:r>
      <w:r>
        <w:rPr>
          <w:rFonts w:ascii="Arial" w:cs="Arial" w:eastAsia="Arial" w:hAnsi="Arial"/>
          <w:sz w:val="16"/>
          <w:szCs w:val="16"/>
          <w:color w:val="auto"/>
        </w:rPr>
        <w:t>”)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w:t>
      </w:r>
    </w:p>
    <w:p>
      <w:pPr>
        <w:spacing w:after="0" w:line="2"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to maintain working capital, equity capital or any other financial statement condition or liquidity of the primary obligor so as to enable the primary</w:t>
      </w:r>
    </w:p>
    <w:p>
      <w:pPr>
        <w:spacing w:after="0" w:line="20" w:lineRule="exact"/>
        <w:rPr>
          <w:rFonts w:ascii="Arial" w:cs="Arial" w:eastAsia="Arial" w:hAnsi="Arial"/>
          <w:sz w:val="17"/>
          <w:szCs w:val="17"/>
          <w:color w:val="auto"/>
        </w:rPr>
      </w:pPr>
    </w:p>
    <w:p>
      <w:pPr>
        <w:jc w:val="both"/>
        <w:ind w:right="60"/>
        <w:spacing w:after="0" w:line="253" w:lineRule="auto"/>
        <w:rPr>
          <w:rFonts w:ascii="Arial" w:cs="Arial" w:eastAsia="Arial" w:hAnsi="Arial"/>
          <w:sz w:val="17"/>
          <w:szCs w:val="17"/>
          <w:color w:val="auto"/>
        </w:rPr>
      </w:pPr>
      <w:r>
        <w:rPr>
          <w:rFonts w:ascii="Arial" w:cs="Arial" w:eastAsia="Arial" w:hAnsi="Arial"/>
          <w:sz w:val="18"/>
          <w:szCs w:val="18"/>
          <w:color w:val="auto"/>
        </w:rPr>
        <w:t xml:space="preserve">obligor to pay such Indebtedness or other obligation or (d) as an account party in respect of any letter of credit or letter of guaranty issued to support such Indebtedness or obligation;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 Guarantee shall not include (i) endorsements for collection or deposit in the ordinary course of business or (ii) customary indemnification agreements entered into in the ordinary course of business, provided that such indemnification obligations are unsecured, such Person has determined that any liability thereunder is remote and such indemnification obligations are not the functional equivalent of the guaranty of a payment obligation of the primary obligor.</w:t>
      </w:r>
    </w:p>
    <w:p>
      <w:pPr>
        <w:spacing w:after="0" w:line="191" w:lineRule="exact"/>
        <w:rPr>
          <w:sz w:val="20"/>
          <w:szCs w:val="20"/>
          <w:color w:val="auto"/>
        </w:rPr>
      </w:pPr>
    </w:p>
    <w:p>
      <w:pPr>
        <w:ind w:right="240" w:firstLine="89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 and Security Agreement</w:t>
      </w:r>
      <w:r>
        <w:rPr>
          <w:rFonts w:ascii="Arial" w:cs="Arial" w:eastAsia="Arial" w:hAnsi="Arial"/>
          <w:sz w:val="18"/>
          <w:szCs w:val="18"/>
          <w:color w:val="auto"/>
        </w:rPr>
        <w:t>” means that certain Second Amended and Restated Guarantee and Security Agreement dated as of the date hereof among the Borrower, the Administrative Agent, each Subsidiary of the Borrower from time to time party thereto, each holder (or a representative or trustee therefor) from time to time of any Secured Longer-Term Indebtedness or Secured Shorter-Term Indebtedness, and the Collateral Agent, as the same shall be modified and supplemented and in effect from time to time.</w:t>
      </w:r>
    </w:p>
    <w:p>
      <w:pPr>
        <w:spacing w:after="0" w:line="187" w:lineRule="exact"/>
        <w:rPr>
          <w:sz w:val="20"/>
          <w:szCs w:val="20"/>
          <w:color w:val="auto"/>
        </w:rPr>
      </w:pPr>
    </w:p>
    <w:p>
      <w:pPr>
        <w:ind w:right="240" w:firstLine="89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 Assumption Agreement</w:t>
      </w:r>
      <w:r>
        <w:rPr>
          <w:rFonts w:ascii="Arial" w:cs="Arial" w:eastAsia="Arial" w:hAnsi="Arial"/>
          <w:sz w:val="16"/>
          <w:szCs w:val="16"/>
          <w:color w:val="auto"/>
        </w:rPr>
        <w:t xml:space="preserve">” means a Guarantee Assumption Agreement substantially in the form of Exhibit B to the Guarantee and Security Agreement between the Collateral Agent and an entity that pursuant to </w:t>
      </w:r>
      <w:r>
        <w:rPr>
          <w:rFonts w:ascii="Arial" w:cs="Arial" w:eastAsia="Arial" w:hAnsi="Arial"/>
          <w:sz w:val="16"/>
          <w:szCs w:val="16"/>
          <w:u w:val="single" w:color="auto"/>
          <w:color w:val="auto"/>
        </w:rPr>
        <w:t>Section 5.08</w:t>
      </w:r>
      <w:r>
        <w:rPr>
          <w:rFonts w:ascii="Arial" w:cs="Arial" w:eastAsia="Arial" w:hAnsi="Arial"/>
          <w:sz w:val="16"/>
          <w:szCs w:val="16"/>
          <w:color w:val="auto"/>
        </w:rPr>
        <w:t xml:space="preserve"> is required to become a “Subsidiary Guarantor” under the Guarantee and Security Agreement (with such changes as the Administrative Agent shall request consistent with the requirements of </w:t>
      </w:r>
      <w:r>
        <w:rPr>
          <w:rFonts w:ascii="Arial" w:cs="Arial" w:eastAsia="Arial" w:hAnsi="Arial"/>
          <w:sz w:val="16"/>
          <w:szCs w:val="16"/>
          <w:u w:val="single" w:color="auto"/>
          <w:color w:val="auto"/>
        </w:rPr>
        <w:t>Section 5.08</w:t>
      </w:r>
      <w:r>
        <w:rPr>
          <w:rFonts w:ascii="Arial" w:cs="Arial" w:eastAsia="Arial" w:hAnsi="Arial"/>
          <w:sz w:val="16"/>
          <w:szCs w:val="16"/>
          <w:color w:val="auto"/>
        </w:rPr>
        <w:t>).</w:t>
      </w:r>
    </w:p>
    <w:p>
      <w:pPr>
        <w:spacing w:after="0" w:line="149" w:lineRule="exact"/>
        <w:rPr>
          <w:sz w:val="20"/>
          <w:szCs w:val="20"/>
          <w:color w:val="auto"/>
        </w:rPr>
      </w:pPr>
    </w:p>
    <w:p>
      <w:pPr>
        <w:ind w:right="560"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Hedging Agreement</w:t>
      </w:r>
      <w:r>
        <w:rPr>
          <w:rFonts w:ascii="Arial" w:cs="Arial" w:eastAsia="Arial" w:hAnsi="Arial"/>
          <w:sz w:val="18"/>
          <w:szCs w:val="18"/>
          <w:color w:val="auto"/>
        </w:rPr>
        <w:t>” means any interest rate protection agreement, foreign currency exchange protection agreement, commodity price protection agreement or other interest or currency exchange rate or commodity price hedging arrangement.</w:t>
      </w:r>
    </w:p>
    <w:p>
      <w:pPr>
        <w:spacing w:after="0" w:line="170" w:lineRule="exact"/>
        <w:rPr>
          <w:sz w:val="20"/>
          <w:szCs w:val="20"/>
          <w:color w:val="auto"/>
        </w:rPr>
      </w:pPr>
    </w:p>
    <w:p>
      <w:pPr>
        <w:ind w:right="280"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Immaterial Subsidiaries</w:t>
      </w:r>
      <w:r>
        <w:rPr>
          <w:rFonts w:ascii="Arial" w:cs="Arial" w:eastAsia="Arial" w:hAnsi="Arial"/>
          <w:sz w:val="18"/>
          <w:szCs w:val="18"/>
          <w:color w:val="auto"/>
        </w:rPr>
        <w:t xml:space="preserve">” means those Subsidiaries of the Borrower that are “designated” as Immaterial Subsidiaries by the Borrower from time to time (it being understood that the Borrower may at any time change any such designation);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274" w:right="339" w:bottom="1440" w:gutter="0" w:footer="0" w:header="0"/>
        </w:sectPr>
      </w:pPr>
    </w:p>
    <w:bookmarkStart w:id="26" w:name="page27"/>
    <w:bookmarkEnd w:id="26"/>
    <w:p>
      <w:pPr>
        <w:ind w:right="3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such designated Immaterial Subsidiaries shall collectively meet all of the following criteria as of the date of the most recent balance sheet required to be delivered pursuant to </w:t>
      </w:r>
      <w:r>
        <w:rPr>
          <w:rFonts w:ascii="Arial" w:cs="Arial" w:eastAsia="Arial" w:hAnsi="Arial"/>
          <w:sz w:val="18"/>
          <w:szCs w:val="18"/>
          <w:u w:val="single" w:color="auto"/>
          <w:color w:val="auto"/>
        </w:rPr>
        <w:t>Section 5.01</w:t>
      </w:r>
      <w:r>
        <w:rPr>
          <w:rFonts w:ascii="Arial" w:cs="Arial" w:eastAsia="Arial" w:hAnsi="Arial"/>
          <w:sz w:val="18"/>
          <w:szCs w:val="18"/>
          <w:color w:val="auto"/>
        </w:rPr>
        <w:t>: (a) the aggregate assets of such Subsidiaries and their Subsidiaries (on a consolidated basis) as of such date do not exceed an amount equal to 3% of the consolidated assets of the Borrower and its Subsidiaries as of such date; and (b) the aggregate revenues of such Subsidiaries and their Subsidiaries (on a consolidated basis) for the fiscal quarter ending on such date do not exceed an amount equal to 3% of the consolidated revenues of the Borrower and its Subsidiaries for such period.</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Increasing Lender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2.08(e)</w:t>
      </w:r>
      <w:r>
        <w:rPr>
          <w:rFonts w:ascii="Arial" w:cs="Arial" w:eastAsia="Arial" w:hAnsi="Arial"/>
          <w:sz w:val="18"/>
          <w:szCs w:val="18"/>
          <w:color w:val="auto"/>
        </w:rPr>
        <w:t>.</w:t>
      </w:r>
    </w:p>
    <w:p>
      <w:pPr>
        <w:spacing w:after="0" w:line="225" w:lineRule="exact"/>
        <w:rPr>
          <w:sz w:val="20"/>
          <w:szCs w:val="20"/>
          <w:color w:val="auto"/>
        </w:rPr>
      </w:pPr>
    </w:p>
    <w:p>
      <w:pPr>
        <w:ind w:right="80" w:firstLine="89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of any Person means, without duplication, (a) all obligations of such Person for borrowed money or with respect to deposits or advances of any kind, (b) 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(excluding accounts payable and accrued expenses incurred in the ordinary course of business), (e) all Indebtedness of others secured by any Lien on property owned or acquired by such Person, whether or not the Indebtedness secured thereby has been assumed (with the value of such debt being the lower of the outstanding amount of such debt and the fair market value of the property subject to such Lien), (f) all Guarantees by such Person of Indebtedness of others, (g) all Capital Lease Obligations of such Person, (h) all obligations, contingent or otherwise, of such Person as an account party in respect of letters of credit and letters of guaranty and (i) all obligations, contingent or otherwise, of such Person in respect of bankers’ acceptances.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Notwithstanding the foregoing, “Indebtedness” shall not include (x) purchase price holdbacks arising in the ordinary course of business in respect of a portion of the purchase price of an asset or Investment to satisfy unperformed obligations of the seller of such asset or Investment or (y) a commitment arising in the ordinary course of business to make a future Portfolio Investment, but shall include any SBIC Equity Commitment.</w:t>
      </w:r>
    </w:p>
    <w:p>
      <w:pPr>
        <w:spacing w:after="0" w:line="171" w:lineRule="exact"/>
        <w:rPr>
          <w:sz w:val="20"/>
          <w:szCs w:val="20"/>
          <w:color w:val="auto"/>
        </w:rPr>
      </w:pPr>
    </w:p>
    <w:p>
      <w:pPr>
        <w:ind w:right="240" w:firstLine="89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Indemnified Taxes</w:t>
      </w:r>
      <w:r>
        <w:rPr>
          <w:rFonts w:ascii="Arial" w:cs="Arial" w:eastAsia="Arial" w:hAnsi="Arial"/>
          <w:sz w:val="16"/>
          <w:szCs w:val="16"/>
          <w:color w:val="auto"/>
        </w:rPr>
        <w:t xml:space="preserve">” means (a) Taxes, other than Excluded Taxes, imposed on or with respect to any payment made by or on account of any obligation of the Borrower or any Obligor under any Loan Document and (b) to the extent not otherwise described in </w:t>
      </w:r>
      <w:r>
        <w:rPr>
          <w:rFonts w:ascii="Arial" w:cs="Arial" w:eastAsia="Arial" w:hAnsi="Arial"/>
          <w:sz w:val="16"/>
          <w:szCs w:val="16"/>
          <w:u w:val="single" w:color="auto"/>
          <w:color w:val="auto"/>
        </w:rPr>
        <w:t>clause (a)</w:t>
      </w:r>
      <w:r>
        <w:rPr>
          <w:rFonts w:ascii="Arial" w:cs="Arial" w:eastAsia="Arial" w:hAnsi="Arial"/>
          <w:sz w:val="16"/>
          <w:szCs w:val="16"/>
          <w:color w:val="auto"/>
        </w:rPr>
        <w:t>, Other Taxes.</w:t>
      </w:r>
    </w:p>
    <w:p>
      <w:pPr>
        <w:spacing w:after="0" w:line="124" w:lineRule="exact"/>
        <w:rPr>
          <w:sz w:val="20"/>
          <w:szCs w:val="20"/>
          <w:color w:val="auto"/>
        </w:rPr>
      </w:pPr>
    </w:p>
    <w:p>
      <w:pPr>
        <w:ind w:right="320" w:firstLine="89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Independent</w:t>
      </w:r>
      <w:r>
        <w:rPr>
          <w:rFonts w:ascii="Arial" w:cs="Arial" w:eastAsia="Arial" w:hAnsi="Arial"/>
          <w:sz w:val="16"/>
          <w:szCs w:val="16"/>
          <w:color w:val="auto"/>
        </w:rPr>
        <w:t>” when used with respect to any specified Person means that such Person (a) does not have any direct financial interest or any material indirect financial interest in the Borrower or any of its Subsidiaries or Affiliates (including its investment advisor or any Affiliate thereof) and</w:t>
      </w:r>
    </w:p>
    <w:p>
      <w:pPr>
        <w:ind w:right="60" w:firstLine="8"/>
        <w:spacing w:after="0" w:line="260" w:lineRule="auto"/>
        <w:tabs>
          <w:tab w:leader="none" w:pos="2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 not connected with the Borrower or of its Subsidiaries or Affiliates (including its investment advisor or any Affiliate thereof) as an officer, employee, promoter, underwriter, trustee, partner, director or Person performing similar functions.</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274" w:right="339" w:bottom="1440" w:gutter="0" w:footer="0" w:header="0"/>
        </w:sectPr>
      </w:pPr>
    </w:p>
    <w:bookmarkStart w:id="27" w:name="page28"/>
    <w:bookmarkEnd w:id="27"/>
    <w:p>
      <w:pPr>
        <w:ind w:right="20" w:firstLine="898"/>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Industry Classification Group</w:t>
      </w:r>
      <w:r>
        <w:rPr>
          <w:rFonts w:ascii="Arial" w:cs="Arial" w:eastAsia="Arial" w:hAnsi="Arial"/>
          <w:sz w:val="18"/>
          <w:szCs w:val="18"/>
          <w:color w:val="auto"/>
        </w:rPr>
        <w:t xml:space="preserve">” means (a) any of the classification groups set forth in </w:t>
      </w:r>
      <w:r>
        <w:rPr>
          <w:rFonts w:ascii="Arial" w:cs="Arial" w:eastAsia="Arial" w:hAnsi="Arial"/>
          <w:sz w:val="18"/>
          <w:szCs w:val="18"/>
          <w:u w:val="single" w:color="auto"/>
          <w:color w:val="auto"/>
        </w:rPr>
        <w:t>Schedule 1.01(c)</w:t>
      </w:r>
      <w:r>
        <w:rPr>
          <w:rFonts w:ascii="Arial" w:cs="Arial" w:eastAsia="Arial" w:hAnsi="Arial"/>
          <w:sz w:val="18"/>
          <w:szCs w:val="18"/>
          <w:color w:val="auto"/>
        </w:rPr>
        <w:t xml:space="preserve"> hereto, together with any such classification groups that may be subsequently established by Moody’s and provided by the Borrower to the Lenders, and (b) up to three additional industry group classifications established by the Borrower pursuant to </w:t>
      </w:r>
      <w:r>
        <w:rPr>
          <w:rFonts w:ascii="Arial" w:cs="Arial" w:eastAsia="Arial" w:hAnsi="Arial"/>
          <w:sz w:val="18"/>
          <w:szCs w:val="18"/>
          <w:u w:val="single" w:color="auto"/>
          <w:color w:val="auto"/>
        </w:rPr>
        <w:t>Section 5.12</w:t>
      </w:r>
      <w:r>
        <w:rPr>
          <w:rFonts w:ascii="Arial" w:cs="Arial" w:eastAsia="Arial" w:hAnsi="Arial"/>
          <w:sz w:val="18"/>
          <w:szCs w:val="18"/>
          <w:color w:val="auto"/>
        </w:rPr>
        <w:t>.</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Election Request</w:t>
      </w:r>
      <w:r>
        <w:rPr>
          <w:rFonts w:ascii="Arial" w:cs="Arial" w:eastAsia="Arial" w:hAnsi="Arial"/>
          <w:sz w:val="16"/>
          <w:szCs w:val="16"/>
          <w:color w:val="auto"/>
        </w:rPr>
        <w:t xml:space="preserve">” means a request by the Borrower to convert or continue a Syndicated Borrowing in accordance with </w:t>
      </w:r>
      <w:r>
        <w:rPr>
          <w:rFonts w:ascii="Arial" w:cs="Arial" w:eastAsia="Arial" w:hAnsi="Arial"/>
          <w:sz w:val="16"/>
          <w:szCs w:val="16"/>
          <w:u w:val="single" w:color="auto"/>
          <w:color w:val="auto"/>
        </w:rPr>
        <w:t>Section 2.07</w:t>
      </w:r>
      <w:r>
        <w:rPr>
          <w:rFonts w:ascii="Arial" w:cs="Arial" w:eastAsia="Arial" w:hAnsi="Arial"/>
          <w:sz w:val="16"/>
          <w:szCs w:val="16"/>
          <w:color w:val="auto"/>
        </w:rPr>
        <w:t>.</w:t>
      </w:r>
    </w:p>
    <w:p>
      <w:pPr>
        <w:spacing w:after="0" w:line="248" w:lineRule="exact"/>
        <w:rPr>
          <w:sz w:val="20"/>
          <w:szCs w:val="20"/>
          <w:color w:val="auto"/>
        </w:rPr>
      </w:pPr>
    </w:p>
    <w:p>
      <w:pPr>
        <w:ind w:right="20" w:firstLine="89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means (a) with respect to any Syndicated ABR Loan, each Quarterly Date, (b) with respect to any Eurocurrency Loan, the last day of each Interest Period therefor and, in the case of any Interest Period of more than three months’ duration, each day prior to the last day of such Interest Period that occurs at three-month intervals after the first day of such Interest Period and (c) with respect to any Swingline Loan, the day that such Loan is required to be repaid.</w:t>
      </w:r>
    </w:p>
    <w:p>
      <w:pPr>
        <w:spacing w:after="0" w:line="187" w:lineRule="exact"/>
        <w:rPr>
          <w:sz w:val="20"/>
          <w:szCs w:val="20"/>
          <w:color w:val="auto"/>
        </w:rPr>
      </w:pPr>
    </w:p>
    <w:p>
      <w:pPr>
        <w:ind w:right="40" w:firstLine="89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Period</w:t>
      </w:r>
      <w:r>
        <w:rPr>
          <w:rFonts w:ascii="Arial" w:cs="Arial" w:eastAsia="Arial" w:hAnsi="Arial"/>
          <w:sz w:val="17"/>
          <w:szCs w:val="17"/>
          <w:color w:val="auto"/>
        </w:rPr>
        <w:t xml:space="preserve">” means, for any Eurocurrency Loan or Borrowing, the period commencing on the date of such Loan or Borrowing and ending on the numerically corresponding day in the calendar month that is one, two, three or six months thereafter or, with respect to such portion of any Eurocurrency Loan or Borrowing denominated in a Foreign Currency that is scheduled to be repaid on the Final Maturity Date, a period of less than one month’s duration commencing on the date of such Loan or Borrowing and ending on the Final Maturity Date, as specified in the applicable Borrowing Request or Interest Election Request;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 (ii) any Interest Period (other than an Interest Period pertaining to a Eurocurrency Borrowing denominated in a Foreign Currency that ends on the Final Maturity Date that is permitted to be of less than one month’s duration as provided in this definition)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Loan initially shall be the date on which such Loan is made and thereafter shall be the effective date of the most recent conversion or continuation of such Loan, and the date of a Syndicated Borrowing comprising Loans that have been converted or continued shall be the effective date of the most recent conversion or continuation of such Loans.</w:t>
      </w:r>
    </w:p>
    <w:p>
      <w:pPr>
        <w:spacing w:after="0" w:line="18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International Sanctions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3.15</w:t>
      </w:r>
      <w:r>
        <w:rPr>
          <w:rFonts w:ascii="Arial" w:cs="Arial" w:eastAsia="Arial" w:hAnsi="Arial"/>
          <w:sz w:val="18"/>
          <w:szCs w:val="18"/>
          <w:color w:val="auto"/>
        </w:rPr>
        <w:t>.</w:t>
      </w:r>
    </w:p>
    <w:p>
      <w:pPr>
        <w:spacing w:after="0" w:line="225" w:lineRule="exact"/>
        <w:rPr>
          <w:sz w:val="20"/>
          <w:szCs w:val="20"/>
          <w:color w:val="auto"/>
        </w:rPr>
      </w:pPr>
    </w:p>
    <w:p>
      <w:pPr>
        <w:ind w:firstLine="89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w:t>
      </w:r>
      <w:r>
        <w:rPr>
          <w:rFonts w:ascii="Arial" w:cs="Arial" w:eastAsia="Arial" w:hAnsi="Arial"/>
          <w:sz w:val="18"/>
          <w:szCs w:val="18"/>
          <w:color w:val="auto"/>
        </w:rPr>
        <w:t>” means, for any Person: (a) Equity Interests, bonds, notes, debentures or other securities of any other Person or any agreement to acquire any Equity Interests, bonds, notes, debentures or other securities of any other Person (including any “short sale” or any sale of any securities at a time when such securities are not owned by the Person entering into such sale); (b) deposits, advances, loans or other extensions of credit made to any other Person (including purchases of property from another Person subject to an understanding or agreement, contingent or otherwise, to resell such property to such Person); or (c) Hedging Agreements.</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274" w:right="339" w:bottom="1440" w:gutter="0" w:footer="0" w:header="0"/>
        </w:sectPr>
      </w:pPr>
    </w:p>
    <w:bookmarkStart w:id="28" w:name="page29"/>
    <w:bookmarkEnd w:id="28"/>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means the Investment Company Act of 1940, as amended from time to time.</w:t>
      </w:r>
    </w:p>
    <w:p>
      <w:pPr>
        <w:spacing w:after="0" w:line="225" w:lineRule="exact"/>
        <w:rPr>
          <w:sz w:val="20"/>
          <w:szCs w:val="20"/>
          <w:color w:val="auto"/>
        </w:rPr>
      </w:pPr>
    </w:p>
    <w:p>
      <w:pPr>
        <w:ind w:right="620" w:firstLine="89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Investment Policies</w:t>
      </w:r>
      <w:r>
        <w:rPr>
          <w:rFonts w:ascii="Arial" w:cs="Arial" w:eastAsia="Arial" w:hAnsi="Arial"/>
          <w:sz w:val="16"/>
          <w:szCs w:val="16"/>
          <w:color w:val="auto"/>
        </w:rPr>
        <w:t>” means the investment objectives, policies, restrictions and limitations set forth in the “BUSINESS” section of its Registration Statement, and as the same may be changed, altered, expanded, amended, modified, terminated or restated from time to time.</w:t>
      </w:r>
    </w:p>
    <w:p>
      <w:pPr>
        <w:spacing w:after="0" w:line="12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jc w:val="both"/>
        <w:ind w:right="160" w:firstLine="89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Bank</w:t>
      </w:r>
      <w:r>
        <w:rPr>
          <w:rFonts w:ascii="Arial" w:cs="Arial" w:eastAsia="Arial" w:hAnsi="Arial"/>
          <w:sz w:val="18"/>
          <w:szCs w:val="18"/>
          <w:color w:val="auto"/>
        </w:rPr>
        <w:t xml:space="preserve">” means SunTrust, in its capacity as the issuer of Letters of Credit hereunder, and its successors in such capacity as provided in </w:t>
      </w:r>
      <w:r>
        <w:rPr>
          <w:rFonts w:ascii="Arial" w:cs="Arial" w:eastAsia="Arial" w:hAnsi="Arial"/>
          <w:sz w:val="18"/>
          <w:szCs w:val="18"/>
          <w:u w:val="single" w:color="auto"/>
          <w:color w:val="auto"/>
        </w:rPr>
        <w:t>Section 2.05(j)</w:t>
      </w:r>
      <w:r>
        <w:rPr>
          <w:rFonts w:ascii="Arial" w:cs="Arial" w:eastAsia="Arial" w:hAnsi="Arial"/>
          <w:sz w:val="18"/>
          <w:szCs w:val="18"/>
          <w:color w:val="auto"/>
        </w:rPr>
        <w:t>. In the case of any Letter of Credit to be issued in an Agreed Foreign Currency, SunTrust may designate any of its affiliates as the “Issuing Bank” for purposes of such Letter of Credit.</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Disbursement</w:t>
      </w:r>
      <w:r>
        <w:rPr>
          <w:rFonts w:ascii="Arial" w:cs="Arial" w:eastAsia="Arial" w:hAnsi="Arial"/>
          <w:sz w:val="18"/>
          <w:szCs w:val="18"/>
          <w:color w:val="auto"/>
        </w:rPr>
        <w:t>” means a payment made by the Issuing Bank pursuant to a Letter of Credit.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Exposure</w:t>
      </w:r>
      <w:r>
        <w:rPr>
          <w:rFonts w:ascii="Arial" w:cs="Arial" w:eastAsia="Arial" w:hAnsi="Arial"/>
          <w:sz w:val="18"/>
          <w:szCs w:val="18"/>
          <w:color w:val="auto"/>
        </w:rPr>
        <w:t>” means, at any time, the sum of the Dollar LC Exposure and the Multicurrency LC Exposure.</w:t>
      </w:r>
    </w:p>
    <w:p>
      <w:pPr>
        <w:spacing w:after="0" w:line="225" w:lineRule="exact"/>
        <w:rPr>
          <w:sz w:val="20"/>
          <w:szCs w:val="20"/>
          <w:color w:val="auto"/>
        </w:rPr>
      </w:pPr>
    </w:p>
    <w:p>
      <w:pPr>
        <w:ind w:right="200"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means, collectively, the Dollar Lenders and the Multicurrency Lenders. Unless the context otherwise requires, the term “Lenders” includes the Swingline Lender.</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any letter of credit issued pursuant to this Agreement.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Collateral Account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2.05(k)</w:t>
      </w:r>
      <w:r>
        <w:rPr>
          <w:rFonts w:ascii="Arial" w:cs="Arial" w:eastAsia="Arial" w:hAnsi="Arial"/>
          <w:sz w:val="18"/>
          <w:szCs w:val="18"/>
          <w:color w:val="auto"/>
        </w:rPr>
        <w:t>.</w:t>
      </w:r>
    </w:p>
    <w:p>
      <w:pPr>
        <w:spacing w:after="0" w:line="225" w:lineRule="exact"/>
        <w:rPr>
          <w:sz w:val="20"/>
          <w:szCs w:val="20"/>
          <w:color w:val="auto"/>
        </w:rPr>
      </w:pPr>
    </w:p>
    <w:p>
      <w:pPr>
        <w:ind w:right="100" w:firstLine="89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Documents</w:t>
      </w:r>
      <w:r>
        <w:rPr>
          <w:rFonts w:ascii="Arial" w:cs="Arial" w:eastAsia="Arial" w:hAnsi="Arial"/>
          <w:sz w:val="18"/>
          <w:szCs w:val="18"/>
          <w:color w:val="auto"/>
        </w:rPr>
        <w:t>” means, with respect to any Letter of Credit, collectively, any application therefor and any other agreements, instruments, guarantees or other documents (whether general in application or applicable only to such Letter of Credit) governing or providing for (a) the rights and obligations of the parties concerned or at risk with respect to such Letter of Credit or (b) any collateral security for any of such obligations, each as the same may be modified and supplemented and in effect from time to time.</w:t>
      </w:r>
    </w:p>
    <w:p>
      <w:pPr>
        <w:spacing w:after="0" w:line="187" w:lineRule="exact"/>
        <w:rPr>
          <w:sz w:val="20"/>
          <w:szCs w:val="20"/>
          <w:color w:val="auto"/>
        </w:rPr>
      </w:pPr>
    </w:p>
    <w:p>
      <w:pPr>
        <w:ind w:right="120"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 Quoted Currency</w:t>
      </w:r>
      <w:r>
        <w:rPr>
          <w:rFonts w:ascii="Arial" w:cs="Arial" w:eastAsia="Arial" w:hAnsi="Arial"/>
          <w:sz w:val="18"/>
          <w:szCs w:val="18"/>
          <w:color w:val="auto"/>
        </w:rPr>
        <w:t>” means each of the following currencies: Dollars; Euro; English Pounds Sterling; Japanese Yen; and Swiss Franc; in each case as long as there is a published LIBO rate with respect thereto.</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 Rate</w:t>
      </w:r>
      <w:r>
        <w:rPr>
          <w:rFonts w:ascii="Arial" w:cs="Arial" w:eastAsia="Arial" w:hAnsi="Arial"/>
          <w:sz w:val="18"/>
          <w:szCs w:val="18"/>
          <w:color w:val="auto"/>
        </w:rPr>
        <w:t>” means, for any Interest Period, the greater of (i) zero percent (0%) and (ii):</w:t>
      </w:r>
    </w:p>
    <w:p>
      <w:pPr>
        <w:spacing w:after="0" w:line="225" w:lineRule="exact"/>
        <w:rPr>
          <w:sz w:val="20"/>
          <w:szCs w:val="20"/>
          <w:color w:val="auto"/>
        </w:rPr>
      </w:pPr>
    </w:p>
    <w:p>
      <w:pPr>
        <w:jc w:val="both"/>
        <w:ind w:right="80" w:firstLine="906"/>
        <w:spacing w:after="0" w:line="259" w:lineRule="auto"/>
        <w:tabs>
          <w:tab w:leader="none" w:pos="1143"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the case of Eurocurrency Borrowings denominated in a LIBO Quoted Currency, the ICE Benchmark Administration Limited London interbank offered rate per annum for deposits in the relevant Currency for a period equal to the Interest Period as displayed in the Bloomberg Financial Markets System (or such other page on that service or such other service designated by the ICE Benchmark Administration Limited for the display of such Administration’s London interbank offered rate for deposits in the</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274" w:right="339" w:bottom="1440" w:gutter="0" w:footer="0" w:header="0"/>
        </w:sectPr>
      </w:pPr>
    </w:p>
    <w:bookmarkStart w:id="29" w:name="page30"/>
    <w:bookmarkEnd w:id="29"/>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relevant Currency) as of 11:00 a.m., London time on the day that is two Business Days prior to the first day of the Interest Period (or, solely with respect to Eurocurrency Borrowings in Pounds Sterling, on the first day of the Interest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Administrative Agent determines that the relevant foregoing sources are unavailable for the relevant Interest Period, LIBO Rate shall mean, for any LIBO Quoted Currency, the rate of interest determined by the Administrative Agent to be the average (rounded upward, if necessary, to the nearest 1/100th of 1%) of the rate per annum at which the Administrative Agent could borrow funds if it were to do so by asking for and then accepting interbank offers two (2) business days’ preceding the first day of such Interest Period (or, solely with respect to Eurocurrency Borrowings denominated in Pounds Sterling, on the first day of such Interest Period) in the London interbank market for the relevant Currency as of 11:00 a.m. for delivery on the first day of such Interest Period, for the number of days comprised therein and in an amount comparable to the amount of the Administrative Agent’s portion of the relevant Eurocurrency Borrowing;</w:t>
      </w:r>
      <w:r>
        <w:rPr>
          <w:rFonts w:ascii="Arial" w:cs="Arial" w:eastAsia="Arial" w:hAnsi="Arial"/>
          <w:sz w:val="13"/>
          <w:szCs w:val="13"/>
          <w:color w:val="auto"/>
        </w:rPr>
        <w:t>1</w:t>
      </w:r>
    </w:p>
    <w:p>
      <w:pPr>
        <w:spacing w:after="0" w:line="165" w:lineRule="exact"/>
        <w:rPr>
          <w:sz w:val="20"/>
          <w:szCs w:val="20"/>
          <w:color w:val="auto"/>
        </w:rPr>
      </w:pPr>
    </w:p>
    <w:p>
      <w:pPr>
        <w:ind w:left="1160" w:hanging="254"/>
        <w:spacing w:after="0"/>
        <w:tabs>
          <w:tab w:leader="none" w:pos="11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 the case of Eurocurrency Borrowings denominated in Canadian Dollars, the CDOR Rate per annum;</w:t>
      </w:r>
    </w:p>
    <w:p>
      <w:pPr>
        <w:spacing w:after="0" w:line="225" w:lineRule="exact"/>
        <w:rPr>
          <w:rFonts w:ascii="Arial" w:cs="Arial" w:eastAsia="Arial" w:hAnsi="Arial"/>
          <w:sz w:val="18"/>
          <w:szCs w:val="18"/>
          <w:color w:val="auto"/>
        </w:rPr>
      </w:pPr>
    </w:p>
    <w:p>
      <w:pPr>
        <w:ind w:right="60" w:firstLine="906"/>
        <w:spacing w:after="0" w:line="257" w:lineRule="auto"/>
        <w:tabs>
          <w:tab w:leader="none" w:pos="1143"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 the case of Eurocurrency Borrowings denominated in Australian Dollars, the rate per annum equal to the Bank Bill Swap Reference Bid rate or a successor thereto approved by the Administrative Agent (“BBSY”) as published by Reuters (or such other page or commercially available source providing BBSY (Bid) quotations as may be designated by the Administrative Agent from time to time) at or about 10:30 a.m. (Melbourne, Australia time) on the day that is two Business Days prior to the first day of the Interest Period (or if such day is not a Business Day, then on the immediately preceding Business Day) with a term equivalent to such Interest Period;</w:t>
      </w:r>
    </w:p>
    <w:p>
      <w:pPr>
        <w:spacing w:after="0" w:line="187" w:lineRule="exact"/>
        <w:rPr>
          <w:rFonts w:ascii="Arial" w:cs="Arial" w:eastAsia="Arial" w:hAnsi="Arial"/>
          <w:sz w:val="18"/>
          <w:szCs w:val="18"/>
          <w:color w:val="auto"/>
        </w:rPr>
      </w:pPr>
    </w:p>
    <w:p>
      <w:pPr>
        <w:ind w:firstLine="906"/>
        <w:spacing w:after="0" w:line="257" w:lineRule="auto"/>
        <w:tabs>
          <w:tab w:leader="none" w:pos="1153"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 the case of Eurocurrency Borrowings denominated in New Zealand Dollars, the rate per annum equal to the Bank Bill Reference Bid Rate or a successor thereto approved by the Administrative Agent (“BKBM”) as published by Reuters (or such other page or commercially available source providing BKBM (Bid) quotations as may be designated by the Administrative Agent from to time time) at or about 10:45 a.m. (Auckland, New Zealand time) on the day that is two Business Days prior to the first day of the Interest Period (or if such day is not a Business Day, then on the immediately preceding Business Day) with a term equivalent to such Interest Period;</w:t>
      </w:r>
    </w:p>
    <w:p>
      <w:pPr>
        <w:spacing w:after="0" w:line="187" w:lineRule="exact"/>
        <w:rPr>
          <w:rFonts w:ascii="Arial" w:cs="Arial" w:eastAsia="Arial" w:hAnsi="Arial"/>
          <w:sz w:val="18"/>
          <w:szCs w:val="18"/>
          <w:color w:val="auto"/>
        </w:rPr>
      </w:pPr>
    </w:p>
    <w:p>
      <w:pPr>
        <w:ind w:right="60" w:firstLine="906"/>
        <w:spacing w:after="0" w:line="257" w:lineRule="auto"/>
        <w:tabs>
          <w:tab w:leader="none" w:pos="1143"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 the case of Eurocurrency Borrowings denominated in Swedish Krona, the rate per annum equal to the Stockholm Interbank Offered Rate or a successor thereto approved by the Administrative Agent (“STIBOR”) as published by Reuters (or such other page or commercially available source providing STIBOR quotations as may be designated by the Administrative Agent from time to time) at or about 11:00 a.m. (Stockholm, Sweden time) on the day that is two Business Days prior to the first day of the Interest Period (or if such day is not a Business Day, then on the immediately preceding Business Day) with a term equivalent to such Interest Period; or</w:t>
      </w:r>
    </w:p>
    <w:p>
      <w:pPr>
        <w:spacing w:after="0" w:line="160" w:lineRule="exact"/>
        <w:rPr>
          <w:rFonts w:ascii="Arial" w:cs="Arial" w:eastAsia="Arial" w:hAnsi="Arial"/>
          <w:sz w:val="18"/>
          <w:szCs w:val="18"/>
          <w:color w:val="auto"/>
        </w:rPr>
      </w:pPr>
    </w:p>
    <w:p>
      <w:pPr>
        <w:ind w:left="220" w:right="140" w:hanging="216"/>
        <w:spacing w:after="0" w:line="286" w:lineRule="auto"/>
        <w:rPr>
          <w:rFonts w:ascii="Arial" w:cs="Arial" w:eastAsia="Arial" w:hAnsi="Arial"/>
          <w:sz w:val="18"/>
          <w:szCs w:val="18"/>
          <w:color w:val="auto"/>
        </w:rPr>
      </w:pPr>
      <w:r>
        <w:rPr>
          <w:rFonts w:ascii="Arial" w:cs="Arial" w:eastAsia="Arial" w:hAnsi="Arial"/>
          <w:sz w:val="15"/>
          <w:szCs w:val="15"/>
          <w:color w:val="auto"/>
        </w:rPr>
        <w:t xml:space="preserve">1 </w:t>
      </w:r>
      <w:r>
        <w:rPr>
          <w:rFonts w:ascii="Arial" w:cs="Arial" w:eastAsia="Arial" w:hAnsi="Arial"/>
          <w:sz w:val="17"/>
          <w:szCs w:val="17"/>
          <w:color w:val="auto"/>
        </w:rPr>
        <w:t>ICE Benchmark Administration Limited makes no warranty, express of implied, either as to the results to be obtained from the use of ICE LIBOR</w:t>
      </w:r>
      <w:r>
        <w:rPr>
          <w:rFonts w:ascii="Arial" w:cs="Arial" w:eastAsia="Arial" w:hAnsi="Arial"/>
          <w:sz w:val="15"/>
          <w:szCs w:val="15"/>
          <w:color w:val="auto"/>
        </w:rPr>
        <w:t xml:space="preserve"> </w:t>
      </w:r>
      <w:r>
        <w:rPr>
          <w:rFonts w:ascii="Arial" w:cs="Arial" w:eastAsia="Arial" w:hAnsi="Arial"/>
          <w:sz w:val="17"/>
          <w:szCs w:val="17"/>
          <w:color w:val="auto"/>
        </w:rPr>
        <w:t>and/or the figure at which ICE LIBOR stands at any particular time on any particular day or otherwise. ICE Benchmark Administration Limited makes no express or implied warranties of merchantability or fitness for a particular purpose in respect of any use of ICE LIBOR.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-467995</wp:posOffset>
            </wp:positionV>
            <wp:extent cx="7112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7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274" w:right="339" w:bottom="1440" w:gutter="0" w:footer="0" w:header="0"/>
        </w:sectPr>
      </w:pPr>
    </w:p>
    <w:bookmarkStart w:id="30" w:name="page31"/>
    <w:bookmarkEnd w:id="30"/>
    <w:p>
      <w:pPr>
        <w:ind w:right="560" w:firstLine="906"/>
        <w:spacing w:after="0" w:line="277" w:lineRule="auto"/>
        <w:tabs>
          <w:tab w:leader="none" w:pos="1123"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 all Non-LIBO Quoted Currencies (other than Canadian Dollars, Australian Dollars, New Zealand Dollars or Swedish Krona), the calculation of the applicable reference rate shall be determined in accordance with market practice.</w:t>
      </w:r>
    </w:p>
    <w:p>
      <w:pPr>
        <w:spacing w:after="0" w:line="170" w:lineRule="exact"/>
        <w:rPr>
          <w:sz w:val="20"/>
          <w:szCs w:val="20"/>
          <w:color w:val="auto"/>
        </w:rPr>
      </w:pPr>
    </w:p>
    <w:p>
      <w:pPr>
        <w:ind w:right="120" w:firstLine="89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Lien</w:t>
      </w:r>
      <w:r>
        <w:rPr>
          <w:rFonts w:ascii="Arial" w:cs="Arial" w:eastAsia="Arial" w:hAnsi="Arial"/>
          <w:sz w:val="16"/>
          <w:szCs w:val="16"/>
          <w:color w:val="auto"/>
        </w:rPr>
        <w:t>”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 except in favor of the issuer thereof (and, for the avoidance of doubt, in the case of Portfolio Investments that are loans or other debt obligations, customary restrictions on assignments or transfers thereof pursuant to the underlying documentation for such Portfolio Investment shall not be deemed to be a “Lien” and in the case of Investments that are securities, excluding customary drag-along, tag-along, right of first refusal and other similar rights in favor of the equity holders of the same issuer).</w:t>
      </w:r>
    </w:p>
    <w:p>
      <w:pPr>
        <w:spacing w:after="0" w:line="16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means, collectively, this Agreement, the Letter of Credit Documents and the Security Documents.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means the loans made by the Lenders to the Borrower pursuant to this Agreement.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 Stock</w:t>
      </w:r>
      <w:r>
        <w:rPr>
          <w:rFonts w:ascii="Arial" w:cs="Arial" w:eastAsia="Arial" w:hAnsi="Arial"/>
          <w:sz w:val="18"/>
          <w:szCs w:val="18"/>
          <w:color w:val="auto"/>
        </w:rPr>
        <w:t>” means “margin stock” within the meaning of Regulations T, U and X.</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Change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3.04(b)</w:t>
      </w:r>
      <w:r>
        <w:rPr>
          <w:rFonts w:ascii="Arial" w:cs="Arial" w:eastAsia="Arial" w:hAnsi="Arial"/>
          <w:sz w:val="18"/>
          <w:szCs w:val="18"/>
          <w:color w:val="auto"/>
        </w:rPr>
        <w:t>.</w:t>
      </w:r>
    </w:p>
    <w:p>
      <w:pPr>
        <w:spacing w:after="0" w:line="225" w:lineRule="exact"/>
        <w:rPr>
          <w:sz w:val="20"/>
          <w:szCs w:val="20"/>
          <w:color w:val="auto"/>
        </w:rPr>
      </w:pPr>
    </w:p>
    <w:p>
      <w:pPr>
        <w:jc w:val="both"/>
        <w:ind w:right="100" w:firstLine="89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means a material adverse effect on (a) the business, Portfolio Investments and other assets, liabilities and financial condition of the Borrower or the Borrower and its Subsidiaries (other than Financing Subsidiaries) taken as a whole (excluding in any case a decline in the net asset value of the Borrower or a change in general market conditions or values of the Portfolio Investments), or (b) the validity or enforceability of any of the Loan Documents or the rights or remedies of the Administrative Agent and the Lenders thereunder.</w:t>
      </w:r>
    </w:p>
    <w:p>
      <w:pPr>
        <w:spacing w:after="0" w:line="171" w:lineRule="exact"/>
        <w:rPr>
          <w:sz w:val="20"/>
          <w:szCs w:val="20"/>
          <w:color w:val="auto"/>
        </w:rPr>
      </w:pPr>
    </w:p>
    <w:p>
      <w:pPr>
        <w:ind w:right="120" w:firstLine="89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Indebtedness</w:t>
      </w:r>
      <w:r>
        <w:rPr>
          <w:rFonts w:ascii="Arial" w:cs="Arial" w:eastAsia="Arial" w:hAnsi="Arial"/>
          <w:sz w:val="18"/>
          <w:szCs w:val="18"/>
          <w:color w:val="auto"/>
        </w:rPr>
        <w:t>” means (a) Indebtedness (other than the Loans, Letters of Credit and Hedging Agreements), of any one or more of the Borrower and its Subsidiaries in an aggregate principal amount exceeding $15,000,000 and (b) obligations in respect of one or more Hedging Agreements under which the maximum aggregate amount (giving effect to any netting agreements) that the Borrower and its Subsidiaries would be required to pay if such Hedging Agreement(s) were terminated at such time would exceed $15,000,000.</w:t>
      </w:r>
    </w:p>
    <w:p>
      <w:pPr>
        <w:spacing w:after="0" w:line="187" w:lineRule="exact"/>
        <w:rPr>
          <w:sz w:val="20"/>
          <w:szCs w:val="20"/>
          <w:color w:val="auto"/>
        </w:rPr>
      </w:pPr>
    </w:p>
    <w:p>
      <w:pPr>
        <w:ind w:right="120" w:firstLine="89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Minimum Collateral Amount</w:t>
      </w:r>
      <w:r>
        <w:rPr>
          <w:rFonts w:ascii="Arial" w:cs="Arial" w:eastAsia="Arial" w:hAnsi="Arial"/>
          <w:sz w:val="17"/>
          <w:szCs w:val="17"/>
          <w:color w:val="auto"/>
        </w:rPr>
        <w:t>” means, at any time, with respect to Cash Collateral consisting of Cash or deposit account balances, an amount equal to 100% of the Fronting Exposure of Issuing Bank with respect to Letters of Credit issued and outstanding at such time.</w:t>
      </w:r>
    </w:p>
    <w:p>
      <w:pPr>
        <w:spacing w:after="0" w:line="7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274" w:right="339" w:bottom="1440" w:gutter="0" w:footer="0" w:header="0"/>
        </w:sectPr>
      </w:pPr>
    </w:p>
    <w:bookmarkStart w:id="31" w:name="page32"/>
    <w:bookmarkEnd w:id="31"/>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or any successor thereto.</w:t>
      </w:r>
    </w:p>
    <w:p>
      <w:pPr>
        <w:spacing w:after="0" w:line="225" w:lineRule="exact"/>
        <w:rPr>
          <w:sz w:val="20"/>
          <w:szCs w:val="20"/>
          <w:color w:val="auto"/>
        </w:rPr>
      </w:pPr>
    </w:p>
    <w:p>
      <w:pPr>
        <w:ind w:right="80" w:firstLine="89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Multicurrency Commitment</w:t>
      </w:r>
      <w:r>
        <w:rPr>
          <w:rFonts w:ascii="Arial" w:cs="Arial" w:eastAsia="Arial" w:hAnsi="Arial"/>
          <w:sz w:val="16"/>
          <w:szCs w:val="16"/>
          <w:color w:val="auto"/>
        </w:rPr>
        <w:t xml:space="preserve">” means, with respect to each Multicurrency Lender, the commitment of such Multicurrency Lender to make Syndicated Loans, and to acquire participations in Letters of Credit and Swingline Loans, denominated in Dollars and in Agreed Foreign Currencies hereunder, expressed as an amount representing the maximum aggregate amount of such Lender’s Revolving Multicurrency Credit Exposure hereunder, as such commitment may be (a) reduced or increased from time to time pursuant to </w:t>
      </w:r>
      <w:r>
        <w:rPr>
          <w:rFonts w:ascii="Arial" w:cs="Arial" w:eastAsia="Arial" w:hAnsi="Arial"/>
          <w:sz w:val="16"/>
          <w:szCs w:val="16"/>
          <w:u w:val="single" w:color="auto"/>
          <w:color w:val="auto"/>
        </w:rPr>
        <w:t>Section 2.08</w:t>
      </w:r>
      <w:r>
        <w:rPr>
          <w:rFonts w:ascii="Arial" w:cs="Arial" w:eastAsia="Arial" w:hAnsi="Arial"/>
          <w:sz w:val="16"/>
          <w:szCs w:val="16"/>
          <w:color w:val="auto"/>
        </w:rPr>
        <w:t xml:space="preserve"> and (b) reduced or increased from time to time pursuant to assignments by or to such Lender pursuant to </w:t>
      </w:r>
      <w:r>
        <w:rPr>
          <w:rFonts w:ascii="Arial" w:cs="Arial" w:eastAsia="Arial" w:hAnsi="Arial"/>
          <w:sz w:val="16"/>
          <w:szCs w:val="16"/>
          <w:u w:val="single" w:color="auto"/>
          <w:color w:val="auto"/>
        </w:rPr>
        <w:t>Section 9.04</w:t>
      </w:r>
      <w:r>
        <w:rPr>
          <w:rFonts w:ascii="Arial" w:cs="Arial" w:eastAsia="Arial" w:hAnsi="Arial"/>
          <w:sz w:val="16"/>
          <w:szCs w:val="16"/>
          <w:color w:val="auto"/>
        </w:rPr>
        <w:t>. The initial amount of each Lender’s Multicurrency Commitment is set forth on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Schedule 1.01(b)</w:t>
      </w:r>
      <w:r>
        <w:rPr>
          <w:rFonts w:ascii="Arial" w:cs="Arial" w:eastAsia="Arial" w:hAnsi="Arial"/>
          <w:sz w:val="16"/>
          <w:szCs w:val="16"/>
          <w:color w:val="auto"/>
        </w:rPr>
        <w:t>, or in the Assignment and Assumption pursuant to which such Lender shall have assumed its Multicurrency commitment, as applicable.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initial aggregate amount of the Lenders’ Multicurrency Commitments is $425,000,000.</w:t>
      </w:r>
    </w:p>
    <w:p>
      <w:pPr>
        <w:spacing w:after="0" w:line="211" w:lineRule="exact"/>
        <w:rPr>
          <w:sz w:val="20"/>
          <w:szCs w:val="20"/>
          <w:color w:val="auto"/>
        </w:rPr>
      </w:pPr>
    </w:p>
    <w:p>
      <w:pPr>
        <w:ind w:right="200" w:firstLine="89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LC Exposure</w:t>
      </w:r>
      <w:r>
        <w:rPr>
          <w:rFonts w:ascii="Arial" w:cs="Arial" w:eastAsia="Arial" w:hAnsi="Arial"/>
          <w:sz w:val="18"/>
          <w:szCs w:val="18"/>
          <w:color w:val="auto"/>
        </w:rPr>
        <w:t xml:space="preserve">” means, at any time, the sum of (a) the aggregate undrawn amount of all outstanding Multicurrency Letters of Credit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aggregate amount of all LC Disbursements in respect of such Letters of Credit that have not yet been reimbursed by or on behalf of the Borrower at such time. The Multicurrency LC Exposure of any Lender at any time shall be its Applicable Multicurrency Percentage of the total Multicurrency LC Exposure at such time.</w:t>
      </w:r>
    </w:p>
    <w:p>
      <w:pPr>
        <w:spacing w:after="0" w:line="187" w:lineRule="exact"/>
        <w:rPr>
          <w:sz w:val="20"/>
          <w:szCs w:val="20"/>
          <w:color w:val="auto"/>
        </w:rPr>
      </w:pPr>
    </w:p>
    <w:p>
      <w:pPr>
        <w:ind w:right="160" w:firstLine="89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Multicurrency Lender</w:t>
      </w:r>
      <w:r>
        <w:rPr>
          <w:rFonts w:ascii="Arial" w:cs="Arial" w:eastAsia="Arial" w:hAnsi="Arial"/>
          <w:sz w:val="16"/>
          <w:szCs w:val="16"/>
          <w:color w:val="auto"/>
        </w:rPr>
        <w:t xml:space="preserve">” means the Persons listed on </w:t>
      </w:r>
      <w:r>
        <w:rPr>
          <w:rFonts w:ascii="Arial" w:cs="Arial" w:eastAsia="Arial" w:hAnsi="Arial"/>
          <w:sz w:val="16"/>
          <w:szCs w:val="16"/>
          <w:u w:val="single" w:color="auto"/>
          <w:color w:val="auto"/>
        </w:rPr>
        <w:t>Schedule 1.01(b)</w:t>
      </w:r>
      <w:r>
        <w:rPr>
          <w:rFonts w:ascii="Arial" w:cs="Arial" w:eastAsia="Arial" w:hAnsi="Arial"/>
          <w:sz w:val="16"/>
          <w:szCs w:val="16"/>
          <w:color w:val="auto"/>
        </w:rPr>
        <w:t xml:space="preserve"> as having Multicurrency Commitments and any other Person that shall have become a party hereto pursuant to an Assignment and Assumption that provides for it to assume a Multicurrency Commitment or to acquire Revolving Multicurrency Credit Exposure, other than any such Person that ceases to be a party hereto pursuant to an Assignment and Assumption.</w:t>
      </w:r>
    </w:p>
    <w:p>
      <w:pPr>
        <w:spacing w:after="0" w:line="14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Letters of Credit</w:t>
      </w:r>
      <w:r>
        <w:rPr>
          <w:rFonts w:ascii="Arial" w:cs="Arial" w:eastAsia="Arial" w:hAnsi="Arial"/>
          <w:sz w:val="18"/>
          <w:szCs w:val="18"/>
          <w:color w:val="auto"/>
        </w:rPr>
        <w:t>” means Letters of Credit that utilize the Multicurrency Commitments.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Loan</w:t>
      </w:r>
      <w:r>
        <w:rPr>
          <w:rFonts w:ascii="Arial" w:cs="Arial" w:eastAsia="Arial" w:hAnsi="Arial"/>
          <w:sz w:val="18"/>
          <w:szCs w:val="18"/>
          <w:color w:val="auto"/>
        </w:rPr>
        <w:t>” means a Loan denominated in Dollars or an Agreed Foreign Currency.</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 multiemployer plan as defined in Section 4001(a)(3) of ERISA.</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National Currency</w:t>
      </w:r>
      <w:r>
        <w:rPr>
          <w:rFonts w:ascii="Arial" w:cs="Arial" w:eastAsia="Arial" w:hAnsi="Arial"/>
          <w:sz w:val="18"/>
          <w:szCs w:val="18"/>
          <w:color w:val="auto"/>
        </w:rPr>
        <w:t>” means the currency, other than the Euro, of a Participating Member State.</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Cash Proceeds</w:t>
      </w:r>
      <w:r>
        <w:rPr>
          <w:rFonts w:ascii="Arial" w:cs="Arial" w:eastAsia="Arial" w:hAnsi="Arial"/>
          <w:sz w:val="18"/>
          <w:szCs w:val="18"/>
          <w:color w:val="auto"/>
        </w:rPr>
        <w:t>” means:</w:t>
      </w:r>
    </w:p>
    <w:p>
      <w:pPr>
        <w:spacing w:after="0" w:line="225" w:lineRule="exact"/>
        <w:rPr>
          <w:sz w:val="20"/>
          <w:szCs w:val="20"/>
          <w:color w:val="auto"/>
        </w:rPr>
      </w:pPr>
    </w:p>
    <w:p>
      <w:pPr>
        <w:jc w:val="both"/>
        <w:ind w:right="20" w:firstLine="906"/>
        <w:spacing w:after="0" w:line="263" w:lineRule="auto"/>
        <w:tabs>
          <w:tab w:leader="none" w:pos="1143"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with respect to any Disposition by the Borrower or any of its Subsidiaries (other than Financing Subsidiaries), or any Extraordinary Receipt received or paid to the account of the Borrower or any of its Subsidiaries (other than Financing Subsidiaries) (in each case, which requires a payment of the Loans under </w:t>
      </w:r>
      <w:r>
        <w:rPr>
          <w:rFonts w:ascii="Arial" w:cs="Arial" w:eastAsia="Arial" w:hAnsi="Arial"/>
          <w:sz w:val="18"/>
          <w:szCs w:val="18"/>
          <w:u w:val="single" w:color="auto"/>
          <w:color w:val="auto"/>
        </w:rPr>
        <w:t>Section 2.10(e)</w:t>
      </w:r>
      <w:r>
        <w:rPr>
          <w:rFonts w:ascii="Arial" w:cs="Arial" w:eastAsia="Arial" w:hAnsi="Arial"/>
          <w:sz w:val="18"/>
          <w:szCs w:val="18"/>
          <w:color w:val="auto"/>
        </w:rPr>
        <w:t>), an amount equal to (a) the sum of cash and Cash</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274" w:right="339" w:bottom="1440" w:gutter="0" w:footer="0" w:header="0"/>
        </w:sectPr>
      </w:pPr>
    </w:p>
    <w:bookmarkStart w:id="32" w:name="page33"/>
    <w:bookmarkEnd w:id="32"/>
    <w:p>
      <w:pPr>
        <w:jc w:val="both"/>
        <w:ind w:right="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Equivalents received in connection with such transaction (including any cash or Cash Equivalents received by way of deferred payment pursuant to, or by monetization of, a note receivable or otherwise, but only as and when so received)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the sum of (i) the principal amount of any Indebtedness that is secured by the applicable asset and that is required to be repaid in connection with such transaction (other than Indebtedness under the Loan Documents),</w:t>
      </w:r>
    </w:p>
    <w:p>
      <w:pPr>
        <w:spacing w:after="0" w:line="2" w:lineRule="exact"/>
        <w:rPr>
          <w:sz w:val="20"/>
          <w:szCs w:val="20"/>
          <w:color w:val="auto"/>
        </w:rPr>
      </w:pPr>
    </w:p>
    <w:p>
      <w:pPr>
        <w:ind w:right="160" w:firstLine="8"/>
        <w:spacing w:after="0" w:line="281" w:lineRule="auto"/>
        <w:tabs>
          <w:tab w:leader="none" w:pos="265"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the reasonable out-of-pocket fees, costs and expenses incurred by the Borrower or such Subsidiary in connection with such transaction, (iii) the taxes paid or reasonably estimated to be actually payable within two years of the date of the relevant transaction in connection with such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amount of any estimated taxes pursuant to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exceeds the amount of taxes actually required to be paid in cash in respect of such Disposition, the aggregate amount of such excess shall constitute Net Cash Proceeds (as of the date the Borrower determines such excess exists), (iv) any reasonable costs, fees, commissions, premiums and expenses incurred by the Borrower or any of its Subsidiaries in connection with such Disposition, and</w:t>
      </w:r>
    </w:p>
    <w:p>
      <w:pPr>
        <w:spacing w:after="0" w:line="2" w:lineRule="exact"/>
        <w:rPr>
          <w:rFonts w:ascii="Arial" w:cs="Arial" w:eastAsia="Arial" w:hAnsi="Arial"/>
          <w:sz w:val="16"/>
          <w:szCs w:val="16"/>
          <w:color w:val="auto"/>
        </w:rPr>
      </w:pPr>
    </w:p>
    <w:p>
      <w:pPr>
        <w:jc w:val="both"/>
        <w:ind w:right="40" w:firstLine="8"/>
        <w:spacing w:after="0" w:line="273" w:lineRule="auto"/>
        <w:tabs>
          <w:tab w:leader="none" w:pos="255" w:val="left"/>
        </w:tabs>
        <w:numPr>
          <w:ilvl w:val="0"/>
          <w:numId w:val="18"/>
        </w:numPr>
        <w:rPr>
          <w:rFonts w:ascii="Arial" w:cs="Arial" w:eastAsia="Arial" w:hAnsi="Arial"/>
          <w:sz w:val="17"/>
          <w:szCs w:val="17"/>
          <w:color w:val="auto"/>
        </w:rPr>
      </w:pPr>
      <w:r>
        <w:rPr>
          <w:rFonts w:ascii="Arial" w:cs="Arial" w:eastAsia="Arial" w:hAnsi="Arial"/>
          <w:sz w:val="17"/>
          <w:szCs w:val="17"/>
          <w:color w:val="auto"/>
        </w:rPr>
        <w:t xml:space="preserve">reserves for indemnification, purchase price adjustments or analogous arrangements reasonably estimated by the Borrower or the relevant Subsidiary in connection with such Disposition; provided that, if the amount of any estimated reserves pursuant to this </w:t>
      </w:r>
      <w:r>
        <w:rPr>
          <w:rFonts w:ascii="Arial" w:cs="Arial" w:eastAsia="Arial" w:hAnsi="Arial"/>
          <w:sz w:val="17"/>
          <w:szCs w:val="17"/>
          <w:u w:val="single" w:color="auto"/>
          <w:color w:val="auto"/>
        </w:rPr>
        <w:t>clause (v)</w:t>
      </w:r>
      <w:r>
        <w:rPr>
          <w:rFonts w:ascii="Arial" w:cs="Arial" w:eastAsia="Arial" w:hAnsi="Arial"/>
          <w:sz w:val="17"/>
          <w:szCs w:val="17"/>
          <w:color w:val="auto"/>
        </w:rPr>
        <w:t xml:space="preserve"> exceeds the amount actually required to be paid in cash in respect of indemnification, purchase price adjustments or analogous arrangements for such Disposition, the aggregate amount of such excess shall constitute Net Cash Proceeds (as of the date the Borrower determines such excess exists); and</w:t>
      </w:r>
    </w:p>
    <w:p>
      <w:pPr>
        <w:spacing w:after="0" w:line="176" w:lineRule="exact"/>
        <w:rPr>
          <w:rFonts w:ascii="Arial" w:cs="Arial" w:eastAsia="Arial" w:hAnsi="Arial"/>
          <w:sz w:val="17"/>
          <w:szCs w:val="17"/>
          <w:color w:val="auto"/>
        </w:rPr>
      </w:pPr>
    </w:p>
    <w:p>
      <w:pPr>
        <w:ind w:right="40" w:firstLine="906"/>
        <w:spacing w:after="0" w:line="253" w:lineRule="auto"/>
        <w:tabs>
          <w:tab w:leader="none" w:pos="1153" w:val="left"/>
        </w:tabs>
        <w:numPr>
          <w:ilvl w:val="1"/>
          <w:numId w:val="18"/>
        </w:numPr>
        <w:rPr>
          <w:rFonts w:ascii="Arial" w:cs="Arial" w:eastAsia="Arial" w:hAnsi="Arial"/>
          <w:sz w:val="18"/>
          <w:szCs w:val="18"/>
          <w:color w:val="auto"/>
        </w:rPr>
      </w:pPr>
      <w:r>
        <w:rPr>
          <w:rFonts w:ascii="Arial" w:cs="Arial" w:eastAsia="Arial" w:hAnsi="Arial"/>
          <w:sz w:val="18"/>
          <w:szCs w:val="18"/>
          <w:color w:val="auto"/>
        </w:rPr>
        <w:t xml:space="preserve">with respect to the sale or issuance of any Equity Interest by the Borrower or any of its Subsidiaries (other than any Financing Subsidiary) (including, for the avoidance of doubt, cash received by the Borrower or any of its Subsidiaries (other than any Financing Subsidiaries) for the sale by the Borrower or such Subsidiary of any Equity Interest of a Financing Subsidiary but specifically excluding any sale of any Equity Interest by a Financing Subsidiary or cash received by a Financing Subsidiary in connection with the sale of any Equity Interest), or the incurrence or issuance of any Indebtedness by the Borrower or any of its Subsidiaries (other than Financing Subsidiaries) (in each case, which requires a payment of the Loans under </w:t>
      </w:r>
      <w:r>
        <w:rPr>
          <w:rFonts w:ascii="Arial" w:cs="Arial" w:eastAsia="Arial" w:hAnsi="Arial"/>
          <w:sz w:val="18"/>
          <w:szCs w:val="18"/>
          <w:u w:val="single" w:color="auto"/>
          <w:color w:val="auto"/>
        </w:rPr>
        <w:t>Section 2.10(e)</w:t>
      </w:r>
      <w:r>
        <w:rPr>
          <w:rFonts w:ascii="Arial" w:cs="Arial" w:eastAsia="Arial" w:hAnsi="Arial"/>
          <w:sz w:val="18"/>
          <w:szCs w:val="18"/>
          <w:color w:val="auto"/>
        </w:rPr>
        <w:t xml:space="preserve">), an amount equal to (i) the sum of the cash and Cash Equivalents received in connection with such transaction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the sum of (1) reasonable out-of-pocket fees, costs and expenses, incurred by the Borrower or such Subsidiary in connection therewith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(2) any reasonable costs, fees, commissions, premiums, expenses, or underwriting discounts or commissions incurred by the Borrower or any of its Subsidiaries in connection with such sale or issuance.</w:t>
      </w:r>
    </w:p>
    <w:p>
      <w:pPr>
        <w:spacing w:after="0" w:line="19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Non-Defaulting Lender</w:t>
      </w:r>
      <w:r>
        <w:rPr>
          <w:rFonts w:ascii="Arial" w:cs="Arial" w:eastAsia="Arial" w:hAnsi="Arial"/>
          <w:sz w:val="18"/>
          <w:szCs w:val="18"/>
          <w:color w:val="auto"/>
        </w:rPr>
        <w:t>” means, at any time, a Lender that is not a Defaulting Lender at such time.</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Non-LIBO Quoted Currency</w:t>
      </w:r>
      <w:r>
        <w:rPr>
          <w:rFonts w:ascii="Arial" w:cs="Arial" w:eastAsia="Arial" w:hAnsi="Arial"/>
          <w:sz w:val="18"/>
          <w:szCs w:val="18"/>
          <w:color w:val="auto"/>
        </w:rPr>
        <w:t>” means any currency other than a LIBO Quoted Currency.</w:t>
      </w:r>
    </w:p>
    <w:p>
      <w:pPr>
        <w:spacing w:after="0" w:line="225" w:lineRule="exact"/>
        <w:rPr>
          <w:sz w:val="20"/>
          <w:szCs w:val="20"/>
          <w:color w:val="auto"/>
        </w:rPr>
      </w:pPr>
    </w:p>
    <w:p>
      <w:pPr>
        <w:ind w:right="520"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Non-Public Information</w:t>
      </w:r>
      <w:r>
        <w:rPr>
          <w:rFonts w:ascii="Arial" w:cs="Arial" w:eastAsia="Arial" w:hAnsi="Arial"/>
          <w:sz w:val="18"/>
          <w:szCs w:val="18"/>
          <w:color w:val="auto"/>
        </w:rPr>
        <w:t>” means material non-public information (within the meaning of United States federal, state or other applicable securities laws) with respect to Borrower or its Affiliates or their Securities.</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Obligor</w:t>
      </w:r>
      <w:r>
        <w:rPr>
          <w:rFonts w:ascii="Arial" w:cs="Arial" w:eastAsia="Arial" w:hAnsi="Arial"/>
          <w:sz w:val="18"/>
          <w:szCs w:val="18"/>
          <w:color w:val="auto"/>
        </w:rPr>
        <w:t>” means, collectively, the Borrower and the Subsidiary Guarantors.</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274" w:right="339" w:bottom="1440" w:gutter="0" w:footer="0" w:header="0"/>
        </w:sectPr>
      </w:pPr>
    </w:p>
    <w:bookmarkStart w:id="33" w:name="page34"/>
    <w:bookmarkEnd w:id="33"/>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OFAC</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3.15</w:t>
      </w:r>
      <w:r>
        <w:rPr>
          <w:rFonts w:ascii="Arial" w:cs="Arial" w:eastAsia="Arial" w:hAnsi="Arial"/>
          <w:sz w:val="18"/>
          <w:szCs w:val="18"/>
          <w:color w:val="auto"/>
        </w:rPr>
        <w: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Currency</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2.17</w:t>
      </w:r>
      <w:r>
        <w:rPr>
          <w:rFonts w:ascii="Arial" w:cs="Arial" w:eastAsia="Arial" w:hAnsi="Arial"/>
          <w:sz w:val="18"/>
          <w:szCs w:val="18"/>
          <w:color w:val="auto"/>
        </w:rPr>
        <w:t>.</w:t>
      </w:r>
    </w:p>
    <w:p>
      <w:pPr>
        <w:spacing w:after="0" w:line="225" w:lineRule="exact"/>
        <w:rPr>
          <w:sz w:val="20"/>
          <w:szCs w:val="20"/>
          <w:color w:val="auto"/>
        </w:rPr>
      </w:pPr>
    </w:p>
    <w:p>
      <w:pPr>
        <w:ind w:right="280"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Covered Indebtedness</w:t>
      </w:r>
      <w:r>
        <w:rPr>
          <w:rFonts w:ascii="Arial" w:cs="Arial" w:eastAsia="Arial" w:hAnsi="Arial"/>
          <w:sz w:val="18"/>
          <w:szCs w:val="18"/>
          <w:color w:val="auto"/>
        </w:rPr>
        <w:t>” means, collectively, Secured Longer-Term Indebtedness, Secured Shorter-Term Indebtedness and Unsecured Shorter-Term Indebtedness.</w:t>
      </w:r>
    </w:p>
    <w:p>
      <w:pPr>
        <w:spacing w:after="0" w:line="170" w:lineRule="exact"/>
        <w:rPr>
          <w:sz w:val="20"/>
          <w:szCs w:val="20"/>
          <w:color w:val="auto"/>
        </w:rPr>
      </w:pPr>
    </w:p>
    <w:p>
      <w:pPr>
        <w:ind w:right="540" w:firstLine="89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Permitted Indebtedness</w:t>
      </w:r>
      <w:r>
        <w:rPr>
          <w:rFonts w:ascii="Arial" w:cs="Arial" w:eastAsia="Arial" w:hAnsi="Arial"/>
          <w:sz w:val="16"/>
          <w:szCs w:val="16"/>
          <w:color w:val="auto"/>
        </w:rPr>
        <w:t>” means (a) accrued expenses and current trade accounts payable incurred in the ordinary course of the Borrower’s business which are not overdue for a period of more than 90 days or which are being contested in good faith by appropriate proceedings,</w:t>
      </w:r>
    </w:p>
    <w:p>
      <w:pPr>
        <w:ind w:right="40" w:firstLine="8"/>
        <w:spacing w:after="0" w:line="252" w:lineRule="auto"/>
        <w:tabs>
          <w:tab w:leader="none" w:pos="2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Indebtedness (other than Indebtedness for borrowed money) arising in connection with transactions in the ordinary course of the Borrower’s business in connection with its purchasing of securities, loans, derivatives transactions, reverse repurchase agreements or dollar rolls to the extent such transactions are permitted under the Investment Company Act and the Borrower’s Investment Policies, provided that such Indebtedness does not arise in connection with the purchase of Portfolio Investments other than Cash Equivalents and U.S. Government Securities and (c) Indebtedness in respect of judgments or awards that have been in force for less than the applicable period for taking an appeal so long as such judgments or awards do not constitute an Event of Default under </w:t>
      </w:r>
      <w:r>
        <w:rPr>
          <w:rFonts w:ascii="Arial" w:cs="Arial" w:eastAsia="Arial" w:hAnsi="Arial"/>
          <w:sz w:val="18"/>
          <w:szCs w:val="18"/>
          <w:u w:val="single" w:color="auto"/>
          <w:color w:val="auto"/>
        </w:rPr>
        <w:t>clause (l)</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Article VII</w:t>
      </w:r>
      <w:r>
        <w:rPr>
          <w:rFonts w:ascii="Arial" w:cs="Arial" w:eastAsia="Arial" w:hAnsi="Arial"/>
          <w:sz w:val="18"/>
          <w:szCs w:val="18"/>
          <w:color w:val="auto"/>
        </w:rPr>
        <w:t>.</w:t>
      </w:r>
    </w:p>
    <w:p>
      <w:pPr>
        <w:spacing w:after="0" w:line="194" w:lineRule="exact"/>
        <w:rPr>
          <w:sz w:val="20"/>
          <w:szCs w:val="20"/>
          <w:color w:val="auto"/>
        </w:rPr>
      </w:pPr>
    </w:p>
    <w:p>
      <w:pPr>
        <w:ind w:right="140" w:firstLine="89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Taxes</w:t>
      </w:r>
      <w:r>
        <w:rPr>
          <w:rFonts w:ascii="Arial" w:cs="Arial" w:eastAsia="Arial" w:hAnsi="Arial"/>
          <w:sz w:val="16"/>
          <w:szCs w:val="16"/>
          <w:color w:val="auto"/>
        </w:rPr>
        <w:t xml:space="preserve">” means any and all present or future stamp or documentary, intangible, recording, or filing Taxes, arising from any payment made under any Loan Document or from the execution, delivery or enforcement of, or otherwise with respect to, any Loan Document, excluding any such Taxes, resulting from an assignment by any Lender in accordance with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hereof (unless such assignment is made pursuant to </w:t>
      </w:r>
      <w:r>
        <w:rPr>
          <w:rFonts w:ascii="Arial" w:cs="Arial" w:eastAsia="Arial" w:hAnsi="Arial"/>
          <w:sz w:val="16"/>
          <w:szCs w:val="16"/>
          <w:u w:val="single" w:color="auto"/>
          <w:color w:val="auto"/>
        </w:rPr>
        <w:t>Section 2.18(b)</w:t>
      </w:r>
      <w:r>
        <w:rPr>
          <w:rFonts w:ascii="Arial" w:cs="Arial" w:eastAsia="Arial" w:hAnsi="Arial"/>
          <w:sz w:val="16"/>
          <w:szCs w:val="16"/>
          <w:color w:val="auto"/>
        </w:rPr>
        <w:t>).</w:t>
      </w:r>
    </w:p>
    <w:p>
      <w:pPr>
        <w:spacing w:after="0" w:line="14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9.04</w:t>
      </w:r>
      <w:r>
        <w:rPr>
          <w:rFonts w:ascii="Arial" w:cs="Arial" w:eastAsia="Arial" w:hAnsi="Arial"/>
          <w:sz w:val="18"/>
          <w:szCs w:val="18"/>
          <w:color w:val="auto"/>
        </w:rPr>
        <w: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9.04</w:t>
      </w:r>
      <w:r>
        <w:rPr>
          <w:rFonts w:ascii="Arial" w:cs="Arial" w:eastAsia="Arial" w:hAnsi="Arial"/>
          <w:sz w:val="18"/>
          <w:szCs w:val="18"/>
          <w:color w:val="auto"/>
        </w:rPr>
        <w:t>.</w:t>
      </w:r>
    </w:p>
    <w:p>
      <w:pPr>
        <w:spacing w:after="0" w:line="225" w:lineRule="exact"/>
        <w:rPr>
          <w:sz w:val="20"/>
          <w:szCs w:val="20"/>
          <w:color w:val="auto"/>
        </w:rPr>
      </w:pPr>
    </w:p>
    <w:p>
      <w:pPr>
        <w:ind w:right="100"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Member State</w:t>
      </w:r>
      <w:r>
        <w:rPr>
          <w:rFonts w:ascii="Arial" w:cs="Arial" w:eastAsia="Arial" w:hAnsi="Arial"/>
          <w:sz w:val="18"/>
          <w:szCs w:val="18"/>
          <w:color w:val="auto"/>
        </w:rPr>
        <w:t>” means any member state of the European Community that adopts or has adopted the Euro as its lawful currency in accordance with the legislation of the European Union relating to the European Monetary Union.</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PBGC</w:t>
      </w:r>
      <w:r>
        <w:rPr>
          <w:rFonts w:ascii="Arial" w:cs="Arial" w:eastAsia="Arial" w:hAnsi="Arial"/>
          <w:sz w:val="17"/>
          <w:szCs w:val="17"/>
          <w:color w:val="auto"/>
        </w:rPr>
        <w:t>” means the Pension Benefit Guaranty Corporation referred to and defined in ERISA and any successor entity performing similar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functions.</w:t>
      </w:r>
    </w:p>
    <w:p>
      <w:pPr>
        <w:spacing w:after="0" w:line="211" w:lineRule="exact"/>
        <w:rPr>
          <w:sz w:val="20"/>
          <w:szCs w:val="20"/>
          <w:color w:val="auto"/>
        </w:rPr>
      </w:pPr>
    </w:p>
    <w:p>
      <w:pPr>
        <w:ind w:left="9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Convertible Indebtedness</w:t>
      </w:r>
      <w:r>
        <w:rPr>
          <w:rFonts w:ascii="Arial" w:cs="Arial" w:eastAsia="Arial" w:hAnsi="Arial"/>
          <w:sz w:val="17"/>
          <w:szCs w:val="17"/>
          <w:color w:val="auto"/>
        </w:rPr>
        <w:t>” means Indebtedness that is convertible solely into Permitted Equity Interests of the Borrower.</w:t>
      </w:r>
    </w:p>
    <w:p>
      <w:pPr>
        <w:spacing w:after="0" w:line="237" w:lineRule="exact"/>
        <w:rPr>
          <w:sz w:val="20"/>
          <w:szCs w:val="20"/>
          <w:color w:val="auto"/>
        </w:rPr>
      </w:pPr>
    </w:p>
    <w:p>
      <w:pPr>
        <w:ind w:right="60" w:firstLine="89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Equity Interests</w:t>
      </w:r>
      <w:r>
        <w:rPr>
          <w:rFonts w:ascii="Arial" w:cs="Arial" w:eastAsia="Arial" w:hAnsi="Arial"/>
          <w:sz w:val="16"/>
          <w:szCs w:val="16"/>
          <w:color w:val="auto"/>
        </w:rPr>
        <w:t>” means common stock of the Borrower that after its issuance is not subject to any agreement between the holder of such common stock and the Borrower where the Borrower is required to purchase, redeem, retire, acquire, cancel or terminate any such common stock.</w:t>
      </w:r>
    </w:p>
    <w:p>
      <w:pPr>
        <w:spacing w:after="0" w:line="124" w:lineRule="exact"/>
        <w:rPr>
          <w:sz w:val="20"/>
          <w:szCs w:val="20"/>
          <w:color w:val="auto"/>
        </w:rPr>
      </w:pPr>
    </w:p>
    <w:p>
      <w:pPr>
        <w:ind w:right="320"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Indebtedness</w:t>
      </w:r>
      <w:r>
        <w:rPr>
          <w:rFonts w:ascii="Arial" w:cs="Arial" w:eastAsia="Arial" w:hAnsi="Arial"/>
          <w:sz w:val="18"/>
          <w:szCs w:val="18"/>
          <w:color w:val="auto"/>
        </w:rPr>
        <w:t>” means Permitted Convertible Indebtedness and any other unsecured Indebtedness, in each case designated by the Borrower as “Permitted Indebtedness” in writing to the Administrative Agent.</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274" w:right="339" w:bottom="1440" w:gutter="0" w:footer="0" w:header="0"/>
        </w:sectPr>
      </w:pPr>
    </w:p>
    <w:bookmarkStart w:id="34" w:name="page35"/>
    <w:bookmarkEnd w:id="34"/>
    <w:p>
      <w:pPr>
        <w:ind w:firstLine="898"/>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u w:val="single" w:color="auto"/>
          <w:color w:val="auto"/>
        </w:rPr>
        <w:t>Permitted Liens</w:t>
      </w:r>
      <w:r>
        <w:rPr>
          <w:rFonts w:ascii="Arial" w:cs="Arial" w:eastAsia="Arial" w:hAnsi="Arial"/>
          <w:sz w:val="16"/>
          <w:szCs w:val="16"/>
          <w:color w:val="auto"/>
        </w:rPr>
        <w:t xml:space="preserve">” means (a) Liens imposed by any Governmental Authority for taxes, assessments or charges not yet due or that are being contested in good faith and by appropriate proceedings if adequate reserves with respect thereto are maintained on the books of the Borrower in accordance with GAAP; (b) Liens of clearing agencies, broker-dealers and similar Liens incurred in the ordinary course of business, provided that such Liens (i) attach only to the securities (or proceeds) being purchased or sold and (ii) secure only obligations incurred in connection with such purchase or sale, and not any obligation in connection with margin financing; (c) Liens imposed by law, such as materialmen’s, mechanics’, carriers’, workmens’, storage and repairmen’s Liens and other similar Liens arising in the ordinary course of business and securing obligations (other than Indebtedness for borrowed money) not yet due or that are being contested in good faith and by appropriate proceedings if adequate reserves with respect thereto are maintained on the books of the Borrower in accordance with GAAP; (d) Liens incurred or pledges or deposits made to secure obligations incurred in the ordinary course of business under workers’ compensation laws, unemployment insurance or other similar social security legislation (other than in respect of employee benefit plans subject to ERISA) or to secure public or statutory obligations; (e) Liens securing the performance of, or payment in respect of, bids, insurance premiums, deductibles or co-insured amounts, tenders, government or utility contracts (other than for the repayment of borrowed money), surety, stay, customs and appeal bonds and other obligations of a similar nature incurred in the ordinary course of business; (f) Liens arising out of judgments or awards that have been in force for less than the applicable period for taking an appeal so long as such judgments or awards do not constitute an Event of Default under </w:t>
      </w:r>
      <w:r>
        <w:rPr>
          <w:rFonts w:ascii="Arial" w:cs="Arial" w:eastAsia="Arial" w:hAnsi="Arial"/>
          <w:sz w:val="16"/>
          <w:szCs w:val="16"/>
          <w:u w:val="single" w:color="auto"/>
          <w:color w:val="auto"/>
        </w:rPr>
        <w:t>clause</w:t>
      </w:r>
    </w:p>
    <w:p>
      <w:pPr>
        <w:spacing w:after="0" w:line="2" w:lineRule="exact"/>
        <w:rPr>
          <w:sz w:val="20"/>
          <w:szCs w:val="20"/>
          <w:color w:val="auto"/>
        </w:rPr>
      </w:pPr>
    </w:p>
    <w:p>
      <w:pPr>
        <w:ind w:right="40" w:firstLine="8"/>
        <w:spacing w:after="0" w:line="290" w:lineRule="auto"/>
        <w:tabs>
          <w:tab w:leader="none" w:pos="215" w:val="left"/>
        </w:tabs>
        <w:numPr>
          <w:ilvl w:val="0"/>
          <w:numId w:val="20"/>
        </w:numPr>
        <w:rPr>
          <w:rFonts w:ascii="Arial" w:cs="Arial" w:eastAsia="Arial" w:hAnsi="Arial"/>
          <w:sz w:val="16"/>
          <w:szCs w:val="16"/>
          <w:u w:val="single" w:color="auto"/>
          <w:color w:val="auto"/>
        </w:rPr>
      </w:pPr>
      <w:r>
        <w:rPr>
          <w:rFonts w:ascii="Arial" w:cs="Arial" w:eastAsia="Arial" w:hAnsi="Arial"/>
          <w:sz w:val="16"/>
          <w:szCs w:val="16"/>
          <w:color w:val="auto"/>
        </w:rPr>
        <w:t xml:space="preserve">of </w:t>
      </w:r>
      <w:r>
        <w:rPr>
          <w:rFonts w:ascii="Arial" w:cs="Arial" w:eastAsia="Arial" w:hAnsi="Arial"/>
          <w:sz w:val="16"/>
          <w:szCs w:val="16"/>
          <w:u w:val="single" w:color="auto"/>
          <w:color w:val="auto"/>
        </w:rPr>
        <w:t>Article VII</w:t>
      </w:r>
      <w:r>
        <w:rPr>
          <w:rFonts w:ascii="Arial" w:cs="Arial" w:eastAsia="Arial" w:hAnsi="Arial"/>
          <w:sz w:val="16"/>
          <w:szCs w:val="16"/>
          <w:color w:val="auto"/>
        </w:rPr>
        <w:t>; (g) customary rights of setoff and liens upon (i) deposits of cash in favor of banks or other depository institutions in which such cash is maintained in the ordinary course of business, (ii) cash and financial assets held in securities accounts in favor of banks and other financial institutions with which such accounts are maintained in the ordinary course of business and (iii) assets held by a custodian in favor of such custodian in the ordinary course of business securing payment of fees, indemnities and other similar obligations; (h) Liens arising solely from precautionary filings of financing statements under the Uniform Commercial Code of the applicable jurisdictions in respect of operating leases entered into by the Borrower or any of its Subsidiaries in the ordinary course of business; and (i) deposits of money securing leases to which Borrower is a party as lessee made in the ordinary course of business.</w:t>
      </w:r>
    </w:p>
    <w:p>
      <w:pPr>
        <w:spacing w:after="0" w:line="164" w:lineRule="exact"/>
        <w:rPr>
          <w:sz w:val="20"/>
          <w:szCs w:val="20"/>
          <w:color w:val="auto"/>
        </w:rPr>
      </w:pPr>
    </w:p>
    <w:p>
      <w:pPr>
        <w:ind w:right="40" w:firstLine="89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Policy Amendment</w:t>
      </w:r>
      <w:r>
        <w:rPr>
          <w:rFonts w:ascii="Arial" w:cs="Arial" w:eastAsia="Arial" w:hAnsi="Arial"/>
          <w:sz w:val="17"/>
          <w:szCs w:val="17"/>
          <w:color w:val="auto"/>
        </w:rPr>
        <w:t>” means any change, alteration, expansion, amendment, modification, termination or restatement of the Investment Policies, that is either (a) approved in writing by the Administrative Agent (with the consent of the Required Lenders), (b) required by applicable law, rule, regulation or Governmental Authority, or (c) not materially adverse to the rights, remedies or interests of the Lenders in the reasonable discretion of the Administrative Agent (for the avoidance of doubt, no change, alteration, expansion, amendment, modification, termination or restatement of the Investment Policies shall be deemed “material” if (i) investment size proportionately increases as the size of the Borrower’s capital base changes or (ii) the Borrower and its Subsidiaries, taken as a whole, invest up to 30% of their assets in non-U.S. companies).</w:t>
      </w:r>
    </w:p>
    <w:p>
      <w:pPr>
        <w:spacing w:after="0" w:line="178" w:lineRule="exact"/>
        <w:rPr>
          <w:sz w:val="20"/>
          <w:szCs w:val="20"/>
          <w:color w:val="auto"/>
        </w:rPr>
      </w:pPr>
    </w:p>
    <w:p>
      <w:pPr>
        <w:ind w:right="240" w:firstLine="89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SBIC Guarantee</w:t>
      </w:r>
      <w:r>
        <w:rPr>
          <w:rFonts w:ascii="Arial" w:cs="Arial" w:eastAsia="Arial" w:hAnsi="Arial"/>
          <w:sz w:val="18"/>
          <w:szCs w:val="18"/>
          <w:color w:val="auto"/>
        </w:rPr>
        <w:t>” means a guarantee by the Borrower of Indebtedness of an SBIC Subsidiary on the SBA’s then applicable form, provided that the recourse to the Borrower thereunder is expressly limited only to periods after the occurrence of an event or condition that is an impermissible change in the control of such SBIC Subsidiary (it being understood that, as provided</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274"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clause (s) of Article VII, it shall be an Event of Default hereunder if any such event or condition giving rise to such recourse occurs).</w:t>
      </w:r>
    </w:p>
    <w:p>
      <w:pPr>
        <w:spacing w:after="0" w:line="225" w:lineRule="exact"/>
        <w:rPr>
          <w:sz w:val="20"/>
          <w:szCs w:val="20"/>
          <w:color w:val="auto"/>
        </w:rPr>
      </w:pPr>
    </w:p>
    <w:p>
      <w:pPr>
        <w:ind w:right="1000"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Plan</w:t>
      </w:r>
      <w:r>
        <w:rPr>
          <w:rFonts w:ascii="Arial" w:cs="Arial" w:eastAsia="Arial" w:hAnsi="Arial"/>
          <w:sz w:val="17"/>
          <w:szCs w:val="17"/>
          <w:color w:val="auto"/>
        </w:rPr>
        <w:t>” means any employee pension benefit plan (other than a Multiemployer Plan) subject to the provisions of Title IV of ERISA or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Section 412 of the Code or Section 302 of ERISA, and in respect of which the Borrower or any ERISA Affiliate is (or, if such plan were terminated, would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under Section 4069 of ERISA be deemed to be) an “employer” as defined in Section 3(5) of ERISA.</w:t>
      </w:r>
    </w:p>
    <w:p>
      <w:pPr>
        <w:spacing w:after="0" w:line="21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xml:space="preserve">” means has the meaning set forth in </w:t>
      </w:r>
      <w:r>
        <w:rPr>
          <w:rFonts w:ascii="Arial" w:cs="Arial" w:eastAsia="Arial" w:hAnsi="Arial"/>
          <w:sz w:val="18"/>
          <w:szCs w:val="18"/>
          <w:u w:val="single" w:color="auto"/>
          <w:color w:val="auto"/>
        </w:rPr>
        <w:t>Section 5.01(i)</w:t>
      </w:r>
      <w:r>
        <w:rPr>
          <w:rFonts w:ascii="Arial" w:cs="Arial" w:eastAsia="Arial" w:hAnsi="Arial"/>
          <w:sz w:val="18"/>
          <w:szCs w:val="18"/>
          <w:color w:val="auto"/>
        </w:rPr>
        <w:t>.</w:t>
      </w:r>
    </w:p>
    <w:p>
      <w:pPr>
        <w:spacing w:after="0" w:line="225" w:lineRule="exact"/>
        <w:rPr>
          <w:sz w:val="20"/>
          <w:szCs w:val="20"/>
          <w:color w:val="auto"/>
        </w:rPr>
      </w:pPr>
    </w:p>
    <w:p>
      <w:pPr>
        <w:ind w:right="740"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Portfolio Investment</w:t>
      </w:r>
      <w:r>
        <w:rPr>
          <w:rFonts w:ascii="Arial" w:cs="Arial" w:eastAsia="Arial" w:hAnsi="Arial"/>
          <w:sz w:val="18"/>
          <w:szCs w:val="18"/>
          <w:color w:val="auto"/>
        </w:rPr>
        <w:t>” means any Investment held by the Obligors in their asset portfolio (and solely for purposes of determining the Borrowing Base, Cash).</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means the rate which SunTrust announces from time to time as its prime lending rate, as in effect from time to time.</w:t>
      </w:r>
    </w:p>
    <w:p>
      <w:pPr>
        <w:spacing w:after="0" w:line="225" w:lineRule="exact"/>
        <w:rPr>
          <w:sz w:val="20"/>
          <w:szCs w:val="20"/>
          <w:color w:val="auto"/>
        </w:rPr>
      </w:pPr>
    </w:p>
    <w:p>
      <w:pPr>
        <w:ind w:right="220"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Financial Center</w:t>
      </w:r>
      <w:r>
        <w:rPr>
          <w:rFonts w:ascii="Arial" w:cs="Arial" w:eastAsia="Arial" w:hAnsi="Arial"/>
          <w:sz w:val="18"/>
          <w:szCs w:val="18"/>
          <w:color w:val="auto"/>
        </w:rPr>
        <w:t>” means, in the case of any Currency, the principal financial center where such Currency is cleared and settled, as determined by the Administrative Agent.</w:t>
      </w:r>
    </w:p>
    <w:p>
      <w:pPr>
        <w:spacing w:after="0" w:line="170" w:lineRule="exact"/>
        <w:rPr>
          <w:sz w:val="20"/>
          <w:szCs w:val="20"/>
          <w:color w:val="auto"/>
        </w:rPr>
      </w:pPr>
    </w:p>
    <w:p>
      <w:pPr>
        <w:ind w:right="60" w:firstLine="89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Prohibited Assignees and Participants Side Letter</w:t>
      </w:r>
      <w:r>
        <w:rPr>
          <w:rFonts w:ascii="Arial" w:cs="Arial" w:eastAsia="Arial" w:hAnsi="Arial"/>
          <w:sz w:val="18"/>
          <w:szCs w:val="18"/>
          <w:color w:val="auto"/>
        </w:rPr>
        <w:t>” means that certain Side Letter, dated as of the date hereof, between the Borrower and the Administrative Agent (as amended, restated, modified or otherwise supplemented from time to time with the consent of the Administrative Agent and each Lender).</w:t>
      </w:r>
    </w:p>
    <w:p>
      <w:pPr>
        <w:spacing w:after="0" w:line="184" w:lineRule="exact"/>
        <w:rPr>
          <w:sz w:val="20"/>
          <w:szCs w:val="20"/>
          <w:color w:val="auto"/>
        </w:rPr>
      </w:pPr>
    </w:p>
    <w:p>
      <w:pPr>
        <w:ind w:right="180"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Lender</w:t>
      </w:r>
      <w:r>
        <w:rPr>
          <w:rFonts w:ascii="Arial" w:cs="Arial" w:eastAsia="Arial" w:hAnsi="Arial"/>
          <w:sz w:val="18"/>
          <w:szCs w:val="18"/>
          <w:color w:val="auto"/>
        </w:rPr>
        <w:t>” means Lenders that do not wish to receive Non-Public Information with respect to the Borrower or any of its Subsidiaries or their Securities.</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Quarterly Dates</w:t>
      </w:r>
      <w:r>
        <w:rPr>
          <w:rFonts w:ascii="Arial" w:cs="Arial" w:eastAsia="Arial" w:hAnsi="Arial"/>
          <w:sz w:val="17"/>
          <w:szCs w:val="17"/>
          <w:color w:val="auto"/>
        </w:rPr>
        <w:t>” means the last Business Day of March, June, September and December in each year, commencing on June 30, 2014.</w:t>
      </w:r>
    </w:p>
    <w:p>
      <w:pPr>
        <w:spacing w:after="0" w:line="237" w:lineRule="exact"/>
        <w:rPr>
          <w:sz w:val="20"/>
          <w:szCs w:val="20"/>
          <w:color w:val="auto"/>
        </w:rPr>
      </w:pPr>
    </w:p>
    <w:p>
      <w:pPr>
        <w:ind w:left="9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Quoted Investment</w:t>
      </w:r>
      <w:r>
        <w:rPr>
          <w:rFonts w:ascii="Arial" w:cs="Arial" w:eastAsia="Arial" w:hAnsi="Arial"/>
          <w:sz w:val="17"/>
          <w:szCs w:val="17"/>
          <w:color w:val="auto"/>
        </w:rPr>
        <w:t xml:space="preserve">” means a Portfolio Investment with a value that may be assigned by the Borrower pursuant to </w:t>
      </w:r>
      <w:r>
        <w:rPr>
          <w:rFonts w:ascii="Arial" w:cs="Arial" w:eastAsia="Arial" w:hAnsi="Arial"/>
          <w:sz w:val="17"/>
          <w:szCs w:val="17"/>
          <w:u w:val="single" w:color="auto"/>
          <w:color w:val="auto"/>
        </w:rPr>
        <w:t>Section 5.12(b)(ii)(A)</w:t>
      </w:r>
      <w:r>
        <w:rPr>
          <w:rFonts w:ascii="Arial" w:cs="Arial" w:eastAsia="Arial" w:hAnsi="Arial"/>
          <w:sz w:val="17"/>
          <w:szCs w:val="17"/>
          <w:color w:val="auto"/>
        </w:rPr>
        <w:t>.</w:t>
      </w:r>
    </w:p>
    <w:p>
      <w:pPr>
        <w:spacing w:after="0" w:line="23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9.04</w:t>
      </w:r>
      <w:r>
        <w:rPr>
          <w:rFonts w:ascii="Arial" w:cs="Arial" w:eastAsia="Arial" w:hAnsi="Arial"/>
          <w:sz w:val="18"/>
          <w:szCs w:val="18"/>
          <w:color w:val="auto"/>
        </w:rPr>
        <w: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means the Registration Statement filed by the Borrower with the Securities and Exchange Commission on April 19,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2007.</w:t>
      </w:r>
    </w:p>
    <w:p>
      <w:pPr>
        <w:spacing w:after="0" w:line="211" w:lineRule="exact"/>
        <w:rPr>
          <w:sz w:val="20"/>
          <w:szCs w:val="20"/>
          <w:color w:val="auto"/>
        </w:rPr>
      </w:pPr>
    </w:p>
    <w:p>
      <w:pPr>
        <w:ind w:right="40"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Regulations D, T, U and X</w:t>
      </w:r>
      <w:r>
        <w:rPr>
          <w:rFonts w:ascii="Arial" w:cs="Arial" w:eastAsia="Arial" w:hAnsi="Arial"/>
          <w:sz w:val="18"/>
          <w:szCs w:val="18"/>
          <w:color w:val="auto"/>
        </w:rPr>
        <w:t>” means, respectively, Regulations D, T, U and X of the Board of Governors of the Federal Reserve System (or any successor), as the same may be modified and supplemented and in effect from time to time.</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274" w:right="339" w:bottom="1440" w:gutter="0" w:footer="0" w:header="0"/>
        </w:sectPr>
      </w:pPr>
    </w:p>
    <w:bookmarkStart w:id="36" w:name="page37"/>
    <w:bookmarkEnd w:id="36"/>
    <w:p>
      <w:pPr>
        <w:ind w:right="740" w:firstLine="898"/>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specified Person, such Person’s Affiliates and the respective partners, directors, officers, employees, agents and advisors of such Person and such Person’s Affiliates.</w:t>
      </w:r>
    </w:p>
    <w:p>
      <w:pPr>
        <w:spacing w:after="0" w:line="170" w:lineRule="exact"/>
        <w:rPr>
          <w:sz w:val="20"/>
          <w:szCs w:val="20"/>
          <w:color w:val="auto"/>
        </w:rPr>
      </w:pPr>
    </w:p>
    <w:p>
      <w:pPr>
        <w:ind w:right="20" w:firstLine="89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xml:space="preserve">” means, at any time, Lenders having Revolving Credit Exposures and unused Commitments representing more than 50% of the sum of the total Revolving Credit Exposures and unused Commitments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Revolving Credit Exposures and unused Commitments of any Defaulting Lender shall be disregarded in the determination of Required Lenders. The Required Lenders of a Class (which shall include the terms “Required Dollar Lenders” and “Required Multicurrency Lenders”) means Lenders having Revolving Credit Exposures and unused Commitments of such Class representing more than 50% of the sum of the total Revolving Credit Exposures and unused Commitments of such Class at such time; provided that the Revolving Credit Exposures and unused Commitments of any Defaulting Lenders shall be disregarded in the determination of the Required Lenders of a Class.</w:t>
      </w:r>
    </w:p>
    <w:p>
      <w:pPr>
        <w:spacing w:after="0" w:line="195" w:lineRule="exact"/>
        <w:rPr>
          <w:sz w:val="20"/>
          <w:szCs w:val="20"/>
          <w:color w:val="auto"/>
        </w:rPr>
      </w:pPr>
    </w:p>
    <w:p>
      <w:pPr>
        <w:ind w:right="80" w:firstLine="89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w:t>
      </w:r>
      <w:r>
        <w:rPr>
          <w:rFonts w:ascii="Arial" w:cs="Arial" w:eastAsia="Arial" w:hAnsi="Arial"/>
          <w:sz w:val="18"/>
          <w:szCs w:val="18"/>
          <w:color w:val="auto"/>
        </w:rPr>
        <w:t>” means any dividend or other distribution (whether in cash, securities or other property) with respect to any shares of any class of capital stock of the Borrower or any of its Subsidiaries, or any payment (whether in cash, securities or other property), including any sinking fund or similar deposit, on account of the purchase, redemption, retirement, acquisition, cancellation or termination of any such shares of capital stock of the Borrower or any option, warrant or other right to acquire any such shares of capital stock of the Borrower (it being understood that none of: (w) the conversion features under convertible notes; (x) the triggering and/or settlement thereof; or (y) any cash payment made by the Borrower in respect thereof, shall constitute a Restricted Payment hereunder).</w:t>
      </w:r>
    </w:p>
    <w:p>
      <w:pPr>
        <w:spacing w:after="0" w:line="192" w:lineRule="exact"/>
        <w:rPr>
          <w:sz w:val="20"/>
          <w:szCs w:val="20"/>
          <w:color w:val="auto"/>
        </w:rPr>
      </w:pPr>
    </w:p>
    <w:p>
      <w:pPr>
        <w:ind w:right="120" w:firstLine="89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Return of Capital</w:t>
      </w:r>
      <w:r>
        <w:rPr>
          <w:rFonts w:ascii="Arial" w:cs="Arial" w:eastAsia="Arial" w:hAnsi="Arial"/>
          <w:sz w:val="16"/>
          <w:szCs w:val="16"/>
          <w:color w:val="auto"/>
        </w:rPr>
        <w:t xml:space="preserve">” means (a) any cash amount (and net cash proceeds of any noncash amount) received by any Obligor in respect of the outstanding principal of any Portfolio Investment (whether at stated maturity, by acceleration or otherwise), (b) without duplication of amounts received under </w:t>
      </w:r>
      <w:r>
        <w:rPr>
          <w:rFonts w:ascii="Arial" w:cs="Arial" w:eastAsia="Arial" w:hAnsi="Arial"/>
          <w:sz w:val="16"/>
          <w:szCs w:val="16"/>
          <w:u w:val="single" w:color="auto"/>
          <w:color w:val="auto"/>
        </w:rPr>
        <w:t>clause (a)</w:t>
      </w:r>
      <w:r>
        <w:rPr>
          <w:rFonts w:ascii="Arial" w:cs="Arial" w:eastAsia="Arial" w:hAnsi="Arial"/>
          <w:sz w:val="16"/>
          <w:szCs w:val="16"/>
          <w:color w:val="auto"/>
        </w:rPr>
        <w:t>, any net cash proceeds (including net cash proceeds of any noncash consideration) received by any Obligor from the sale of any property or assets pledged as collateral in respect of any Portfolio Investment to the extent such net cash proceeds are less than or equal to the outstanding principal balance of such Portfolio Investment, (c) any net cash amount (and net cash proceeds of any noncash amount) received by any Obligor in respect of any Portfolio Investment that is an Equity Interest (x) upon the liquidation or dissolution of the issuer of such Portfolio Investment, (y) as a distribution of capital made on or in respect of such Portfolio Investment, or (z) pursuant to the recapitalization or reclassification of the capital of the issuer of such Portfolio Investment or pursuant to the reorganization of such issuer or (d) any similar return of capital (net of any fees, costs and expenses) received by any Obligor in cash (and net cash proceeds of any noncash amount) in respect of any Portfolio Investment.</w:t>
      </w:r>
    </w:p>
    <w:p>
      <w:pPr>
        <w:spacing w:after="0" w:line="166" w:lineRule="exact"/>
        <w:rPr>
          <w:sz w:val="20"/>
          <w:szCs w:val="20"/>
          <w:color w:val="auto"/>
        </w:rPr>
      </w:pPr>
    </w:p>
    <w:p>
      <w:pPr>
        <w:ind w:right="320"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Exposure</w:t>
      </w:r>
      <w:r>
        <w:rPr>
          <w:rFonts w:ascii="Arial" w:cs="Arial" w:eastAsia="Arial" w:hAnsi="Arial"/>
          <w:sz w:val="18"/>
          <w:szCs w:val="18"/>
          <w:color w:val="auto"/>
        </w:rPr>
        <w:t>” means, with respect to any Lender at any time, the sum of the outstanding principal amount of such Lender’s Revolving Dollar Credit Exposure and Revolving Multicurrency Credit Exposure at such time.</w:t>
      </w:r>
    </w:p>
    <w:p>
      <w:pPr>
        <w:spacing w:after="0" w:line="170" w:lineRule="exact"/>
        <w:rPr>
          <w:sz w:val="20"/>
          <w:szCs w:val="20"/>
          <w:color w:val="auto"/>
        </w:rPr>
      </w:pPr>
    </w:p>
    <w:p>
      <w:pPr>
        <w:ind w:right="500" w:firstLine="89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Dollar Credit Exposure</w:t>
      </w:r>
      <w:r>
        <w:rPr>
          <w:rFonts w:ascii="Arial" w:cs="Arial" w:eastAsia="Arial" w:hAnsi="Arial"/>
          <w:sz w:val="17"/>
          <w:szCs w:val="17"/>
          <w:color w:val="auto"/>
        </w:rPr>
        <w:t>” means, with respect to any Lender at any time, the sum of the outstanding principal amount of such Lender’s Syndicated Loans, and its LC Exposure and Swingline Exposure, at such time made or incurred under the Dollar Commitments.</w:t>
      </w:r>
    </w:p>
    <w:p>
      <w:pPr>
        <w:spacing w:after="0" w:line="7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274" w:right="339" w:bottom="1440" w:gutter="0" w:footer="0" w:header="0"/>
        </w:sectPr>
      </w:pPr>
    </w:p>
    <w:bookmarkStart w:id="37" w:name="page38"/>
    <w:bookmarkEnd w:id="37"/>
    <w:p>
      <w:pPr>
        <w:ind w:right="320" w:firstLine="898"/>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u w:val="single" w:color="auto"/>
          <w:color w:val="auto"/>
        </w:rPr>
        <w:t>Revolving Multicurrency Credit Exposure</w:t>
      </w:r>
      <w:r>
        <w:rPr>
          <w:rFonts w:ascii="Arial" w:cs="Arial" w:eastAsia="Arial" w:hAnsi="Arial"/>
          <w:sz w:val="16"/>
          <w:szCs w:val="16"/>
          <w:color w:val="auto"/>
        </w:rPr>
        <w:t>” means, with respect to any Lender at any time, the sum of the outstanding principal amount of such Lender’s Syndicated Loans, and its LC Exposure and Swingline Exposure, at such time made or incurred under the Multicurrency Commitments.</w:t>
      </w:r>
    </w:p>
    <w:p>
      <w:pPr>
        <w:spacing w:after="0" w:line="124" w:lineRule="exact"/>
        <w:rPr>
          <w:sz w:val="20"/>
          <w:szCs w:val="20"/>
          <w:color w:val="auto"/>
        </w:rPr>
      </w:pPr>
    </w:p>
    <w:p>
      <w:pPr>
        <w:ind w:right="320"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Percentage</w:t>
      </w:r>
      <w:r>
        <w:rPr>
          <w:rFonts w:ascii="Arial" w:cs="Arial" w:eastAsia="Arial" w:hAnsi="Arial"/>
          <w:sz w:val="18"/>
          <w:szCs w:val="18"/>
          <w:color w:val="auto"/>
        </w:rPr>
        <w:t>” means, as of any date of determination, the result, expressed as a percentage, of the Revolving Credit Exposure on such date divided by the aggregate outstanding Covered Debt Amount on such date.</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RIC</w:t>
      </w:r>
      <w:r>
        <w:rPr>
          <w:rFonts w:ascii="Arial" w:cs="Arial" w:eastAsia="Arial" w:hAnsi="Arial"/>
          <w:sz w:val="18"/>
          <w:szCs w:val="18"/>
          <w:color w:val="auto"/>
        </w:rPr>
        <w:t>” means a person qualifying for treatment as a “regulated investment company” under the Code.</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S&amp;P</w:t>
      </w:r>
      <w:r>
        <w:rPr>
          <w:rFonts w:ascii="Arial" w:cs="Arial" w:eastAsia="Arial" w:hAnsi="Arial"/>
          <w:sz w:val="16"/>
          <w:szCs w:val="16"/>
          <w:color w:val="auto"/>
        </w:rPr>
        <w:t>” means Standard &amp; Poor’s Ratings Services, a division of The McGraw Hill Companies, Inc., a New York corporation, or any successor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21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SBA</w:t>
      </w:r>
      <w:r>
        <w:rPr>
          <w:rFonts w:ascii="Arial" w:cs="Arial" w:eastAsia="Arial" w:hAnsi="Arial"/>
          <w:sz w:val="18"/>
          <w:szCs w:val="18"/>
          <w:color w:val="auto"/>
        </w:rPr>
        <w:t>” means the United States Small Business Administration.</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SBIC Equity Commitment</w:t>
      </w:r>
      <w:r>
        <w:rPr>
          <w:rFonts w:ascii="Arial" w:cs="Arial" w:eastAsia="Arial" w:hAnsi="Arial"/>
          <w:sz w:val="17"/>
          <w:szCs w:val="17"/>
          <w:color w:val="auto"/>
        </w:rPr>
        <w:t>” means a commitment by the Borrower to make one or more capital contributions to an SBIC Subsidiary.</w:t>
      </w:r>
    </w:p>
    <w:p>
      <w:pPr>
        <w:spacing w:after="0" w:line="237" w:lineRule="exact"/>
        <w:rPr>
          <w:sz w:val="20"/>
          <w:szCs w:val="20"/>
          <w:color w:val="auto"/>
        </w:rPr>
      </w:pPr>
    </w:p>
    <w:p>
      <w:pPr>
        <w:ind w:right="60" w:firstLine="89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SBIC Subsidiary</w:t>
      </w:r>
      <w:r>
        <w:rPr>
          <w:rFonts w:ascii="Arial" w:cs="Arial" w:eastAsia="Arial" w:hAnsi="Arial"/>
          <w:sz w:val="16"/>
          <w:szCs w:val="16"/>
          <w:color w:val="auto"/>
        </w:rPr>
        <w:t>” means any direct or indirect Subsidiary (including such Subsidiary’s general partner or managing entity to the extent that the only material asset of such general partner or managing entity is its equity interest in the SBIC Subsidiary) of the Borrower licensed as a small business investment company under the Small Business Investment Act of 1958, as amended, (or that has applied for such a license and is actively pursuing the granting thereof by appropriate proceedings promptly instituted and diligently conducted) and which is designated by the Borrower (as provided below) as an SBIC Subsidiary, so long as (a) no portion of the Indebtedness or any other obligations (contingent or otherwise) of such Subsidiary: (i) is Guaranteed by any Obligor (other than a Permitted SBIC Guarantee or analogous commitment), (ii) is recourse to or obligates any Obligor in any way (other than in respect of any SBIC Equity Commitment, Permitted SBIC Guarantee or analogous commitment), or (iii) subjects any property of any Obligor, directly or indirectly, contingently or otherwise, to the satisfaction thereof, other than Equity Interests in any SBIC Subsidiary pledged to secure such Indebtedness, and (b) no Obligor has any obligation to maintain or preserve such Subsidiary’s financial condition or cause such entity to achieve certain levels of operating results (other than in respect of any SBIC Equity Commitment, Permitted SBIC Guarantee or analogous commitment). Any such designation by the Borrower shall be effected pursuant to a certificate of a Financial Officer delivered to the Administrative Agent, which certificate shall include a statement to the effect that, to the best of such officer’s knowledge, such designation complied with the foregoing conditions.</w:t>
      </w:r>
    </w:p>
    <w:p>
      <w:pPr>
        <w:spacing w:after="0" w:line="168" w:lineRule="exact"/>
        <w:rPr>
          <w:sz w:val="20"/>
          <w:szCs w:val="20"/>
          <w:color w:val="auto"/>
        </w:rPr>
      </w:pPr>
    </w:p>
    <w:p>
      <w:pPr>
        <w:ind w:right="540" w:firstLine="89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Secured Debt Amount</w:t>
      </w:r>
      <w:r>
        <w:rPr>
          <w:rFonts w:ascii="Arial" w:cs="Arial" w:eastAsia="Arial" w:hAnsi="Arial"/>
          <w:sz w:val="16"/>
          <w:szCs w:val="16"/>
          <w:color w:val="auto"/>
        </w:rPr>
        <w:t>” means, on any date, the aggregate amount of all Secured Longer-Term Indebtedness and Secured Shorter-Term Indebtedness on such date (other than the obligations owed under the Loan Documents, including the Revolving Credit Exposure).</w:t>
      </w:r>
    </w:p>
    <w:p>
      <w:pPr>
        <w:spacing w:after="0" w:line="5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274" w:right="339" w:bottom="1440" w:gutter="0" w:footer="0" w:header="0"/>
        </w:sectPr>
      </w:pPr>
    </w:p>
    <w:bookmarkStart w:id="38" w:name="page39"/>
    <w:bookmarkEnd w:id="38"/>
    <w:p>
      <w:pPr>
        <w:ind w:right="60" w:firstLine="898"/>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6"/>
          <w:szCs w:val="16"/>
          <w:u w:val="single" w:color="auto"/>
          <w:color w:val="auto"/>
        </w:rPr>
        <w:t>Secured Longer-Term Indebtedness</w:t>
      </w:r>
      <w:r>
        <w:rPr>
          <w:rFonts w:ascii="Arial" w:cs="Arial" w:eastAsia="Arial" w:hAnsi="Arial"/>
          <w:sz w:val="16"/>
          <w:szCs w:val="16"/>
          <w:color w:val="auto"/>
        </w:rPr>
        <w:t xml:space="preserve">” means, as at any date, Indebtedness (other than Indebtedness hereunder) of any Obligor (which may be Guaranteed by any other Obligor) that (a) has no scheduled amortization prior to, and a final maturity date not earlier than, six months after the Final Maturity Date (it being understood that none of: (w) the conversion features under convertible notes; (x) the triggering and/or settlement thereof; or (y) any cash payment made in respect thereof, shall constitute “amortization” for purposes of this </w:t>
      </w:r>
      <w:r>
        <w:rPr>
          <w:rFonts w:ascii="Arial" w:cs="Arial" w:eastAsia="Arial" w:hAnsi="Arial"/>
          <w:sz w:val="16"/>
          <w:szCs w:val="16"/>
          <w:u w:val="single" w:color="auto"/>
          <w:color w:val="auto"/>
        </w:rPr>
        <w:t>clause (a)</w:t>
      </w:r>
      <w:r>
        <w:rPr>
          <w:rFonts w:ascii="Arial" w:cs="Arial" w:eastAsia="Arial" w:hAnsi="Arial"/>
          <w:sz w:val="16"/>
          <w:szCs w:val="16"/>
          <w:color w:val="auto"/>
        </w:rPr>
        <w:t>), (b) is incurred pursuant to documentation containing</w:t>
      </w:r>
    </w:p>
    <w:p>
      <w:pPr>
        <w:spacing w:after="0" w:line="1" w:lineRule="exact"/>
        <w:rPr>
          <w:sz w:val="20"/>
          <w:szCs w:val="20"/>
          <w:color w:val="auto"/>
        </w:rPr>
      </w:pPr>
    </w:p>
    <w:p>
      <w:pPr>
        <w:ind w:right="20" w:firstLine="8"/>
        <w:spacing w:after="0" w:line="284" w:lineRule="auto"/>
        <w:tabs>
          <w:tab w:leader="none" w:pos="215"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financial covenants, covenants governing the borrowing base, if any, portfolio valuations and events of default (other than events of default customary in indentures or similar instruments that have no analogous provisions in this Agreement or credit agreements generally) that are no more restrictive upon the Borrower and its Subsidiaries than those set forth in this Agreement and (ii) other terms (other than interest) that are no more restrictive in any material respect upon the Borrower and its Subsidiaries, prior to the Termination Date, than those set forth in this Agreement (it being understood that put rights or repurchase or redemption obligations (x) in the case of convertible securities, in connection with the suspension or delisting of the capital stock of the Borrower or the failure of the Borrower to satisfy a continued listing rule with respect to its capital stock or (y) arising out of circumstances that would constitute a “fundamental change” (as such term is customarily defined in convertible note offerings) or an Event of Default under this Agreement shall not be deemed to be more restrictive for purposes of this definition));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upon the Borrower’s written request in connection with the incurrence of any Secured Longer-Term Indebtedness that otherwise would not meet the requirements of this clause (b), this Agreement will be deemed automatically amended (and, upon the request of the Administrative Agent or the Required Lenders, the Borrower shall promptly enter into a written amendment evidencing such amendment), </w:t>
      </w:r>
      <w:r>
        <w:rPr>
          <w:rFonts w:ascii="Arial" w:cs="Arial" w:eastAsia="Arial" w:hAnsi="Arial"/>
          <w:sz w:val="16"/>
          <w:szCs w:val="16"/>
          <w:i w:val="1"/>
          <w:iCs w:val="1"/>
          <w:color w:val="auto"/>
        </w:rPr>
        <w:t>mutatis mutandis</w:t>
      </w:r>
      <w:r>
        <w:rPr>
          <w:rFonts w:ascii="Arial" w:cs="Arial" w:eastAsia="Arial" w:hAnsi="Arial"/>
          <w:sz w:val="16"/>
          <w:szCs w:val="16"/>
          <w:color w:val="auto"/>
        </w:rPr>
        <w:t>, solely to the extent necessary such that the financial covenants, covenants governing the borrowing base, if any, portfolio valuations, events of default (other than events of default customary in indentures or similar instruments that have no analogous provisions in this Agreement or credit agreements generally) or other terms, as applicable, in this Agreement shall be as restrictive as such covenants in the Secured Longer-Term Indebtedness, and (c) is not secured by any assets of any Obligor other than pursuant to this Agreement or the Security Documents and the holders of which have either executed (i) a joinder agreement to the Guarantee and Security Agreement or (ii) such other document or agreement, in a form reasonably satisfactory to the Administrative Agent and the Collateral Agent, pursuant to which the holders of such Secured Longer-Term Indebtedness shall have become a party to the Guarantee and Security Agreement and assumed the obligations of a Financing Agent or Designated Indebtedness Holder (in each case, as defined in the Guarantee and Security Agreement).</w:t>
      </w:r>
    </w:p>
    <w:p>
      <w:pPr>
        <w:spacing w:after="0" w:line="171" w:lineRule="exact"/>
        <w:rPr>
          <w:sz w:val="20"/>
          <w:szCs w:val="20"/>
          <w:color w:val="auto"/>
        </w:rPr>
      </w:pPr>
    </w:p>
    <w:p>
      <w:pPr>
        <w:ind w:right="100" w:firstLine="89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Secured Shorter-Term Indebtedness</w:t>
      </w:r>
      <w:r>
        <w:rPr>
          <w:rFonts w:ascii="Arial" w:cs="Arial" w:eastAsia="Arial" w:hAnsi="Arial"/>
          <w:sz w:val="16"/>
          <w:szCs w:val="16"/>
          <w:color w:val="auto"/>
        </w:rPr>
        <w:t xml:space="preserve">” means, collectively, (a) any Indebtedness of the Borrower or any Subsidiary (other than a Financing Subsidiary) that is secured by any assets of any Obligor and that does not constitute Secured Longer-Term Indebtedness, (b) any Indebtedness that is not secured by any assets of any Obligor other than pursuant to this Agreement or the Security Documents and the holders of which have either executed (i) a joinder agreement to the Guarantee and Security Agreement or (ii) such other document or agreement, in a form reasonably satisfactory to the Administrative Agent and the Collateral Agent, pursuant to which the holders of such Secured Shorter-Term Indebtedness shall have become a party to the Guarantee and Security Agreement and assumed the obligations of a Financing Agent or Designated Indebtedness Holder (in each case, as defined in the Guarantee and Security Agreement) and (c) any Indebtedness that is designated as “Secured Shorter-Term Indebtedness” pursuant to </w:t>
      </w:r>
      <w:r>
        <w:rPr>
          <w:rFonts w:ascii="Arial" w:cs="Arial" w:eastAsia="Arial" w:hAnsi="Arial"/>
          <w:sz w:val="16"/>
          <w:szCs w:val="16"/>
          <w:u w:val="single" w:color="auto"/>
          <w:color w:val="auto"/>
        </w:rPr>
        <w:t>Section 6.11(a)</w:t>
      </w:r>
      <w:r>
        <w:rPr>
          <w:rFonts w:ascii="Arial" w:cs="Arial" w:eastAsia="Arial" w:hAnsi="Arial"/>
          <w:sz w:val="16"/>
          <w:szCs w:val="16"/>
          <w:color w:val="auto"/>
        </w:rPr>
        <w:t>.</w:t>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274" w:right="339" w:bottom="1440" w:gutter="0" w:footer="0" w:header="0"/>
        </w:sectPr>
      </w:pPr>
    </w:p>
    <w:bookmarkStart w:id="39" w:name="page40"/>
    <w:bookmarkEnd w:id="39"/>
    <w:p>
      <w:pPr>
        <w:ind w:firstLine="898"/>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Security Documents</w:t>
      </w:r>
      <w:r>
        <w:rPr>
          <w:rFonts w:ascii="Arial" w:cs="Arial" w:eastAsia="Arial" w:hAnsi="Arial"/>
          <w:sz w:val="18"/>
          <w:szCs w:val="18"/>
          <w:color w:val="auto"/>
        </w:rPr>
        <w:t>” means, collectively, the Guarantee and Security Agreement, all Uniform Commercial Code financing statements filed with respect to the security interests in personal property created pursuant to the Guarantee and Security Agreement and all other assignments, pledge agreements, security agreements, control agreements and other instruments executed and delivered on or after the date hereof by any of the Obligors pursuant to the Guarantee and Security Agreement or otherwise providing or relating to any collateral security for any of the Secured Obligations under and as defined in the Guarantee and Security Agreement.</w:t>
      </w:r>
    </w:p>
    <w:p>
      <w:pPr>
        <w:spacing w:after="0" w:line="188" w:lineRule="exact"/>
        <w:rPr>
          <w:sz w:val="20"/>
          <w:szCs w:val="20"/>
          <w:color w:val="auto"/>
        </w:rPr>
      </w:pPr>
    </w:p>
    <w:p>
      <w:pPr>
        <w:ind w:right="120"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Shareholders’ Equity</w:t>
      </w:r>
      <w:r>
        <w:rPr>
          <w:rFonts w:ascii="Arial" w:cs="Arial" w:eastAsia="Arial" w:hAnsi="Arial"/>
          <w:sz w:val="18"/>
          <w:szCs w:val="18"/>
          <w:color w:val="auto"/>
        </w:rPr>
        <w:t>” means, at any date, the amount determined on a consolidated basis, without duplication, in accordance with GAAP, of shareholders equity for the Borrower and its Subsidiaries at such date.</w:t>
      </w:r>
    </w:p>
    <w:p>
      <w:pPr>
        <w:spacing w:after="0" w:line="170" w:lineRule="exact"/>
        <w:rPr>
          <w:sz w:val="20"/>
          <w:szCs w:val="20"/>
          <w:color w:val="auto"/>
        </w:rPr>
      </w:pPr>
    </w:p>
    <w:p>
      <w:pPr>
        <w:ind w:right="260" w:firstLine="89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 Subsidiary</w:t>
      </w:r>
      <w:r>
        <w:rPr>
          <w:rFonts w:ascii="Arial" w:cs="Arial" w:eastAsia="Arial" w:hAnsi="Arial"/>
          <w:sz w:val="17"/>
          <w:szCs w:val="17"/>
          <w:color w:val="auto"/>
        </w:rPr>
        <w:t>” means a direct or indirect Subsidiary of the Borrower to which any Obligor sells, conveys or otherwise transfers (whether directly or indirectly) Portfolio Investments, which engages in no material activities other than in connection with the purchase, holding, disposition or financing of such assets and which is designated by the Borrower (as provided below) as an SPE Subsidiary:</w:t>
      </w:r>
    </w:p>
    <w:p>
      <w:pPr>
        <w:spacing w:after="0" w:line="165" w:lineRule="exact"/>
        <w:rPr>
          <w:sz w:val="20"/>
          <w:szCs w:val="20"/>
          <w:color w:val="auto"/>
        </w:rPr>
      </w:pPr>
    </w:p>
    <w:p>
      <w:pPr>
        <w:jc w:val="both"/>
        <w:ind w:right="160" w:firstLine="906"/>
        <w:spacing w:after="0" w:line="259" w:lineRule="auto"/>
        <w:tabs>
          <w:tab w:leader="none" w:pos="1143"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 portion of the Indebtedness or any other obligations (contingent or otherwise) of which (i) is Guaranteed by any Obligor (other than Guarantees in respect of Standard Securitization Undertakings), (ii) is recourse to or obligates any Obligor in any way other than pursuant to Standard Securitization Undertakings or (iii) subjects any property of any Obligor, directly or indirectly, contingently or otherwise, to the satisfaction thereof, other than pursuant to Standard Securitization Undertakings or any Guarantee thereof,</w:t>
      </w:r>
    </w:p>
    <w:p>
      <w:pPr>
        <w:spacing w:after="0" w:line="186" w:lineRule="exact"/>
        <w:rPr>
          <w:rFonts w:ascii="Arial" w:cs="Arial" w:eastAsia="Arial" w:hAnsi="Arial"/>
          <w:sz w:val="18"/>
          <w:szCs w:val="18"/>
          <w:color w:val="auto"/>
        </w:rPr>
      </w:pPr>
    </w:p>
    <w:p>
      <w:pPr>
        <w:ind w:right="240" w:firstLine="906"/>
        <w:spacing w:after="0" w:line="263" w:lineRule="auto"/>
        <w:tabs>
          <w:tab w:leader="none" w:pos="1153"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with which no Obligor has any material contract, agreement, arrangement or understanding other than on terms, taken as a whole, not materially less favorable to such Obligor than those that might be obtained at the time from Persons that are not Affiliates of any Obligor, other than fees payable in the ordinary course of business in connection with servicing receivables, and</w:t>
      </w:r>
    </w:p>
    <w:p>
      <w:pPr>
        <w:spacing w:after="0" w:line="183" w:lineRule="exact"/>
        <w:rPr>
          <w:rFonts w:ascii="Arial" w:cs="Arial" w:eastAsia="Arial" w:hAnsi="Arial"/>
          <w:sz w:val="18"/>
          <w:szCs w:val="18"/>
          <w:color w:val="auto"/>
        </w:rPr>
      </w:pPr>
    </w:p>
    <w:p>
      <w:pPr>
        <w:ind w:right="440" w:firstLine="906"/>
        <w:spacing w:after="0" w:line="277" w:lineRule="auto"/>
        <w:tabs>
          <w:tab w:leader="none" w:pos="1143"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which no Obligor has any obligation to maintain or preserve such entity’s financial condition or cause such entity to achieve certain levels of operating results.</w:t>
      </w:r>
    </w:p>
    <w:p>
      <w:pPr>
        <w:spacing w:after="0" w:line="170" w:lineRule="exact"/>
        <w:rPr>
          <w:sz w:val="20"/>
          <w:szCs w:val="20"/>
          <w:color w:val="auto"/>
        </w:rPr>
      </w:pPr>
    </w:p>
    <w:p>
      <w:pPr>
        <w:ind w:right="180" w:firstLine="898"/>
        <w:spacing w:after="0" w:line="259" w:lineRule="auto"/>
        <w:rPr>
          <w:sz w:val="20"/>
          <w:szCs w:val="20"/>
          <w:color w:val="auto"/>
        </w:rPr>
      </w:pPr>
      <w:r>
        <w:rPr>
          <w:rFonts w:ascii="Arial" w:cs="Arial" w:eastAsia="Arial" w:hAnsi="Arial"/>
          <w:sz w:val="18"/>
          <w:szCs w:val="18"/>
          <w:color w:val="auto"/>
        </w:rPr>
        <w:t>Any such designation by the Borrower shall be effected pursuant to a certificate of a Financial Officer delivered to the Administrative Agent, which certificate shall include a statement to the effect that, to the best of such officer’s knowledge, such designation complied with the foregoing conditions. Each Subsidiary of an SPE Subsidiary shall be deemed to be an SPE Subsidiary and shall comply with the foregoing requirements of this definition.</w:t>
      </w:r>
    </w:p>
    <w:p>
      <w:pPr>
        <w:spacing w:after="0" w:line="187" w:lineRule="exact"/>
        <w:rPr>
          <w:sz w:val="20"/>
          <w:szCs w:val="20"/>
          <w:color w:val="auto"/>
        </w:rPr>
      </w:pPr>
    </w:p>
    <w:p>
      <w:pPr>
        <w:ind w:right="140" w:firstLine="89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Equity Interest</w:t>
      </w:r>
      <w:r>
        <w:rPr>
          <w:rFonts w:ascii="Arial" w:cs="Arial" w:eastAsia="Arial" w:hAnsi="Arial"/>
          <w:sz w:val="18"/>
          <w:szCs w:val="18"/>
          <w:color w:val="auto"/>
        </w:rPr>
        <w:t xml:space="preserve">” means any Equity Interest that is subject to a Lien in favor of creditors of the issuer of such Equity Interest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such Lien was created to secure Indebtedness owing by such issuer to such creditors, (b) such Indebtedness was (i) in existence at the time the Obligors acquired such Equity Interest, (ii) incurred or assumed by such issuer</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274" w:right="339" w:bottom="1440" w:gutter="0" w:footer="0" w:header="0"/>
        </w:sectPr>
      </w:pPr>
    </w:p>
    <w:bookmarkStart w:id="40" w:name="page41"/>
    <w:bookmarkEnd w:id="40"/>
    <w:p>
      <w:pPr>
        <w:jc w:val="both"/>
        <w:ind w:right="1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substantially contemporaneously with such acquisition or (iii) already subject to a Lien granted to such creditors and (c) unless such Equity Interest is not intended to be included in the Collateral, the documentation creating or governing such Lien does not prohibit the inclusion of such Equity Interest in the Collateral.</w:t>
      </w:r>
    </w:p>
    <w:p>
      <w:pPr>
        <w:spacing w:after="0" w:line="184" w:lineRule="exact"/>
        <w:rPr>
          <w:sz w:val="20"/>
          <w:szCs w:val="20"/>
          <w:color w:val="auto"/>
        </w:rPr>
      </w:pPr>
    </w:p>
    <w:p>
      <w:pPr>
        <w:ind w:right="140" w:firstLine="89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Permitted Indebtedness</w:t>
      </w:r>
      <w:r>
        <w:rPr>
          <w:rFonts w:ascii="Arial" w:cs="Arial" w:eastAsia="Arial" w:hAnsi="Arial"/>
          <w:sz w:val="18"/>
          <w:szCs w:val="18"/>
          <w:color w:val="auto"/>
        </w:rPr>
        <w:t>” means any Permitted Indebtedness that has no scheduled amortization prior to, and a final maturity date not earlier than, the Final Maturity Date (it being understood that none of (a) the conversion features under convertible notes, (b) the triggering and/or settlement thereof or (c) any cash payment made in respect thereof, shall constitute “amortization” hereunder).</w:t>
      </w:r>
    </w:p>
    <w:p>
      <w:pPr>
        <w:spacing w:after="0" w:line="184" w:lineRule="exact"/>
        <w:rPr>
          <w:sz w:val="20"/>
          <w:szCs w:val="20"/>
          <w:color w:val="auto"/>
        </w:rPr>
      </w:pPr>
    </w:p>
    <w:p>
      <w:pPr>
        <w:ind w:right="40" w:firstLine="89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Standard Securitization Undertakings</w:t>
      </w:r>
      <w:r>
        <w:rPr>
          <w:rFonts w:ascii="Arial" w:cs="Arial" w:eastAsia="Arial" w:hAnsi="Arial"/>
          <w:sz w:val="18"/>
          <w:szCs w:val="18"/>
          <w:color w:val="auto"/>
        </w:rPr>
        <w:t>” means, collectively, (a) customary arms-length servicing obligations (together with any related performance guarantees), (b) obligations (together with any related performance guarantees) to refund the purchase price or grant purchase price credits for dilutive events or misrepresentations (in each case unrelated to the collectibility of the assets sold or the creditworthiness of the associated account debtors) and (c) representations, warranties, covenants and indemnities (together with any related performance guarantees) of a type that are reasonably customary in accounts receivable securitizations.</w:t>
      </w:r>
    </w:p>
    <w:p>
      <w:pPr>
        <w:spacing w:after="0" w:line="188" w:lineRule="exact"/>
        <w:rPr>
          <w:sz w:val="20"/>
          <w:szCs w:val="20"/>
          <w:color w:val="auto"/>
        </w:rPr>
      </w:pPr>
    </w:p>
    <w:p>
      <w:pPr>
        <w:ind w:right="60" w:firstLine="89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Statutory Reserve Rate</w:t>
      </w:r>
      <w:r>
        <w:rPr>
          <w:rFonts w:ascii="Arial" w:cs="Arial" w:eastAsia="Arial" w:hAnsi="Arial"/>
          <w:sz w:val="17"/>
          <w:szCs w:val="17"/>
          <w:color w:val="auto"/>
        </w:rPr>
        <w:t xml:space="preserve">” means, for the Interest Period for any Eurocurrency Borrowing, a fraction (expressed as a decimal), the numerator of which is the number one and the denominator of which is the number one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the arithmetic mean, taken over each day in such Interest Period, of the aggregate of the maximum reserve percentages (including any marginal, special, emergency or supplemental reserves) expressed as a decimal established by the Board to which the Administrative Agent is subject for eurocurrency funding (currently referred to as “Eurocurrency liabilities” in Regulation D). Such reserve percentages shall include those imposed pursuant to Regulation D. Eurocurrency Loans shall be deemed to constitute eurocurrency funding and to be subject to such reserve requirements without benefit of or credit for proration, exemptions or offsets that may be available from time to time to any Lender under Regulation D or any comparable regulation. The Statutory Reserve Rate shall be adjusted automatically on and as of the effective date of any change in any reserve percentage.</w:t>
      </w:r>
    </w:p>
    <w:p>
      <w:pPr>
        <w:spacing w:after="0" w:line="178" w:lineRule="exact"/>
        <w:rPr>
          <w:sz w:val="20"/>
          <w:szCs w:val="20"/>
          <w:color w:val="auto"/>
        </w:rPr>
      </w:pPr>
    </w:p>
    <w:p>
      <w:pPr>
        <w:ind w:right="100" w:firstLine="89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with respect to any Person (the “</w:t>
      </w:r>
      <w:r>
        <w:rPr>
          <w:rFonts w:ascii="Arial" w:cs="Arial" w:eastAsia="Arial" w:hAnsi="Arial"/>
          <w:sz w:val="17"/>
          <w:szCs w:val="17"/>
          <w:u w:val="single" w:color="auto"/>
          <w:color w:val="auto"/>
        </w:rPr>
        <w:t>parent</w:t>
      </w:r>
      <w:r>
        <w:rPr>
          <w:rFonts w:ascii="Arial" w:cs="Arial" w:eastAsia="Arial" w:hAnsi="Arial"/>
          <w:sz w:val="17"/>
          <w:szCs w:val="17"/>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 Anything herein to the contrary notwithstanding, the term “Subsidiary” shall not include any Person that constitutes an Investment held by the Borrower in the ordinary course of business and that is not, under GAAP, consolidated on the financial statements of the Borrower and its Subsidiaries. Unless otherwise specified, “Subsidiary” means a Subsidiary of the Borrower.</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274" w:right="339" w:bottom="1440" w:gutter="0" w:footer="0" w:header="0"/>
        </w:sectPr>
      </w:pPr>
    </w:p>
    <w:bookmarkStart w:id="41" w:name="page42"/>
    <w:bookmarkEnd w:id="41"/>
    <w:p>
      <w:pPr>
        <w:ind w:right="300" w:firstLine="898"/>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Subsidiary Guarantor</w:t>
      </w:r>
      <w:r>
        <w:rPr>
          <w:rFonts w:ascii="Arial" w:cs="Arial" w:eastAsia="Arial" w:hAnsi="Arial"/>
          <w:sz w:val="18"/>
          <w:szCs w:val="18"/>
          <w:color w:val="auto"/>
        </w:rPr>
        <w:t>” means any Subsidiary that is a Guarantor under the Guarantee and Security Agreement. It is understood and agreed that no Financing Subsidiary or Foreign Subsidiary shall be a Subsidiary Guarantor.</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SunTrust</w:t>
      </w:r>
      <w:r>
        <w:rPr>
          <w:rFonts w:ascii="Arial" w:cs="Arial" w:eastAsia="Arial" w:hAnsi="Arial"/>
          <w:sz w:val="18"/>
          <w:szCs w:val="18"/>
          <w:color w:val="auto"/>
        </w:rPr>
        <w:t>” means SunTrust Bank.</w:t>
      </w:r>
    </w:p>
    <w:p>
      <w:pPr>
        <w:spacing w:after="0" w:line="225" w:lineRule="exact"/>
        <w:rPr>
          <w:sz w:val="20"/>
          <w:szCs w:val="20"/>
          <w:color w:val="auto"/>
        </w:rPr>
      </w:pPr>
    </w:p>
    <w:p>
      <w:pPr>
        <w:ind w:right="40" w:firstLine="89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Exposure</w:t>
      </w:r>
      <w:r>
        <w:rPr>
          <w:rFonts w:ascii="Arial" w:cs="Arial" w:eastAsia="Arial" w:hAnsi="Arial"/>
          <w:sz w:val="18"/>
          <w:szCs w:val="18"/>
          <w:color w:val="auto"/>
        </w:rPr>
        <w:t>” means, at any time, the aggregate principal amount of all Swingline Loans outstanding at such time. The Swingline Exposure of any Lender at any time shall be the sum of (i) its Applicable Dollar Percentage of the total Swingline Exposure at such time incurred under the Dollar Commitments and (ii) its Applicable Multicurrency Percentage of the total Swingline Exposure at such time incurred under the Multicurrency Commitments.</w:t>
      </w:r>
    </w:p>
    <w:p>
      <w:pPr>
        <w:spacing w:after="0" w:line="187" w:lineRule="exact"/>
        <w:rPr>
          <w:sz w:val="20"/>
          <w:szCs w:val="20"/>
          <w:color w:val="auto"/>
        </w:rPr>
      </w:pPr>
    </w:p>
    <w:p>
      <w:pPr>
        <w:ind w:right="60"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Lender</w:t>
      </w:r>
      <w:r>
        <w:rPr>
          <w:rFonts w:ascii="Arial" w:cs="Arial" w:eastAsia="Arial" w:hAnsi="Arial"/>
          <w:sz w:val="18"/>
          <w:szCs w:val="18"/>
          <w:color w:val="auto"/>
        </w:rPr>
        <w:t xml:space="preserve">” means SunTrust, in its capacity as lender of Swingline Loans hereunder, and its successors in such capacity as provided in </w:t>
      </w:r>
      <w:r>
        <w:rPr>
          <w:rFonts w:ascii="Arial" w:cs="Arial" w:eastAsia="Arial" w:hAnsi="Arial"/>
          <w:sz w:val="18"/>
          <w:szCs w:val="18"/>
          <w:u w:val="single" w:color="auto"/>
          <w:color w:val="auto"/>
        </w:rPr>
        <w:t>Section 2.04(d)</w:t>
      </w:r>
      <w:r>
        <w:rPr>
          <w:rFonts w:ascii="Arial" w:cs="Arial" w:eastAsia="Arial" w:hAnsi="Arial"/>
          <w:sz w:val="18"/>
          <w:szCs w:val="18"/>
          <w:color w:val="auto"/>
        </w:rPr>
        <w:t>.</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Loan</w:t>
      </w:r>
      <w:r>
        <w:rPr>
          <w:rFonts w:ascii="Arial" w:cs="Arial" w:eastAsia="Arial" w:hAnsi="Arial"/>
          <w:sz w:val="18"/>
          <w:szCs w:val="18"/>
          <w:color w:val="auto"/>
        </w:rPr>
        <w:t xml:space="preserve">” means a Loan made pursuant to </w:t>
      </w:r>
      <w:r>
        <w:rPr>
          <w:rFonts w:ascii="Arial" w:cs="Arial" w:eastAsia="Arial" w:hAnsi="Arial"/>
          <w:sz w:val="18"/>
          <w:szCs w:val="18"/>
          <w:u w:val="single" w:color="auto"/>
          <w:color w:val="auto"/>
        </w:rPr>
        <w:t>Section 2.04</w:t>
      </w:r>
      <w:r>
        <w:rPr>
          <w:rFonts w:ascii="Arial" w:cs="Arial" w:eastAsia="Arial" w:hAnsi="Arial"/>
          <w:sz w:val="18"/>
          <w:szCs w:val="18"/>
          <w:color w:val="auto"/>
        </w:rPr>
        <w:t>.</w:t>
      </w:r>
    </w:p>
    <w:p>
      <w:pPr>
        <w:spacing w:after="0" w:line="225" w:lineRule="exact"/>
        <w:rPr>
          <w:sz w:val="20"/>
          <w:szCs w:val="20"/>
          <w:color w:val="auto"/>
        </w:rPr>
      </w:pPr>
    </w:p>
    <w:p>
      <w:pPr>
        <w:ind w:right="200"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Syndicated</w:t>
      </w:r>
      <w:r>
        <w:rPr>
          <w:rFonts w:ascii="Arial" w:cs="Arial" w:eastAsia="Arial" w:hAnsi="Arial"/>
          <w:sz w:val="18"/>
          <w:szCs w:val="18"/>
          <w:color w:val="auto"/>
        </w:rPr>
        <w:t xml:space="preserve">”, when used in reference to any Loan or Borrowing, refers to whether such Loan, or the Loans constituting such Borrowing, are made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170" w:lineRule="exact"/>
        <w:rPr>
          <w:sz w:val="20"/>
          <w:szCs w:val="20"/>
          <w:color w:val="auto"/>
        </w:rPr>
      </w:pPr>
    </w:p>
    <w:p>
      <w:pPr>
        <w:ind w:right="40" w:firstLine="89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Taxes</w:t>
      </w:r>
      <w:r>
        <w:rPr>
          <w:rFonts w:ascii="Arial" w:cs="Arial" w:eastAsia="Arial" w:hAnsi="Arial"/>
          <w:sz w:val="16"/>
          <w:szCs w:val="16"/>
          <w:color w:val="auto"/>
        </w:rPr>
        <w:t>” means any and all present or future taxes, levies, imposts, duties, deductions, charges or withholdings (including backup withholding), assessments, fees, or other charges imposed by any Governmental Authority, including any interest, additions to tax or penalties applicable thereto.</w:t>
      </w:r>
    </w:p>
    <w:p>
      <w:pPr>
        <w:spacing w:after="0" w:line="124" w:lineRule="exact"/>
        <w:rPr>
          <w:sz w:val="20"/>
          <w:szCs w:val="20"/>
          <w:color w:val="auto"/>
        </w:rPr>
      </w:pPr>
    </w:p>
    <w:p>
      <w:pPr>
        <w:ind w:right="540"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xml:space="preserve">” means the earliest to occur of (i) the Final Maturity Date, (ii) the date of the termination of the Commitments in full pursuant to Section 2.08(c), or (iii) the date on which the Commitments are terminated pursuant to </w:t>
      </w:r>
      <w:r>
        <w:rPr>
          <w:rFonts w:ascii="Arial" w:cs="Arial" w:eastAsia="Arial" w:hAnsi="Arial"/>
          <w:sz w:val="18"/>
          <w:szCs w:val="18"/>
          <w:u w:val="single" w:color="auto"/>
          <w:color w:val="auto"/>
        </w:rPr>
        <w:t>Article VII</w:t>
      </w:r>
      <w:r>
        <w:rPr>
          <w:rFonts w:ascii="Arial" w:cs="Arial" w:eastAsia="Arial" w:hAnsi="Arial"/>
          <w:sz w:val="18"/>
          <w:szCs w:val="18"/>
          <w:color w:val="auto"/>
        </w:rPr>
        <w:t>.</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Testing Quarter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5.12(b)(ii)(E)(x)</w:t>
      </w:r>
      <w:r>
        <w:rPr>
          <w:rFonts w:ascii="Arial" w:cs="Arial" w:eastAsia="Arial" w:hAnsi="Arial"/>
          <w:sz w:val="18"/>
          <w:szCs w:val="18"/>
          <w:color w:val="auto"/>
        </w:rPr>
        <w:t>.</w:t>
      </w:r>
    </w:p>
    <w:p>
      <w:pPr>
        <w:spacing w:after="0" w:line="225" w:lineRule="exact"/>
        <w:rPr>
          <w:sz w:val="20"/>
          <w:szCs w:val="20"/>
          <w:color w:val="auto"/>
        </w:rPr>
      </w:pPr>
    </w:p>
    <w:p>
      <w:pPr>
        <w:ind w:right="660"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means the execution, delivery and performance by the Borrower of this Agreement and the other Loan Documents, the borrowing of Loans, the use of the proceeds thereof and the issuance of Letters of Credit hereunder.</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 Assets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6.03(h)</w:t>
      </w:r>
      <w:r>
        <w:rPr>
          <w:rFonts w:ascii="Arial" w:cs="Arial" w:eastAsia="Arial" w:hAnsi="Arial"/>
          <w:sz w:val="18"/>
          <w:szCs w:val="18"/>
          <w:color w:val="auto"/>
        </w:rPr>
        <w:t>.</w:t>
      </w:r>
    </w:p>
    <w:p>
      <w:pPr>
        <w:spacing w:after="0" w:line="225" w:lineRule="exact"/>
        <w:rPr>
          <w:sz w:val="20"/>
          <w:szCs w:val="20"/>
          <w:color w:val="auto"/>
        </w:rPr>
      </w:pPr>
    </w:p>
    <w:p>
      <w:pPr>
        <w:ind w:right="360"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when used in reference to any Loan or Borrowing, refers to whether the rate of interest on such Loan, or on the Loans constituting such Borrowing, is determined by reference to the Adjusted LIBO Rate or the Alternate Base Rate.</w:t>
      </w:r>
    </w:p>
    <w:p>
      <w:pPr>
        <w:spacing w:after="0" w:line="170" w:lineRule="exact"/>
        <w:rPr>
          <w:sz w:val="20"/>
          <w:szCs w:val="20"/>
          <w:color w:val="auto"/>
        </w:rPr>
      </w:pPr>
    </w:p>
    <w:p>
      <w:pPr>
        <w:ind w:right="40" w:firstLine="89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Undisclosed Administration</w:t>
      </w:r>
      <w:r>
        <w:rPr>
          <w:rFonts w:ascii="Arial" w:cs="Arial" w:eastAsia="Arial" w:hAnsi="Arial"/>
          <w:sz w:val="17"/>
          <w:szCs w:val="17"/>
          <w:color w:val="auto"/>
        </w:rPr>
        <w:t>” means, in relation to a Lender, the appointment of an administrator, provisional liquidator, conservator, receiver, trustee, custodian or other similar official by a supervisory authority or regulator under or based on the law in the country where such Lender is subject to home jurisdiction supervision if applicable law requires that such appointment is not to be publicly disclosed.</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274" w:right="339" w:bottom="1440" w:gutter="0" w:footer="0" w:header="0"/>
        </w:sectPr>
      </w:pPr>
    </w:p>
    <w:bookmarkStart w:id="42" w:name="page43"/>
    <w:bookmarkEnd w:id="42"/>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Uniform Commercial Code</w:t>
      </w:r>
      <w:r>
        <w:rPr>
          <w:rFonts w:ascii="Arial" w:cs="Arial" w:eastAsia="Arial" w:hAnsi="Arial"/>
          <w:sz w:val="18"/>
          <w:szCs w:val="18"/>
          <w:color w:val="auto"/>
        </w:rPr>
        <w:t>” means the Uniform Commercial Code as in effect from time to time in the State of New York.</w:t>
      </w:r>
    </w:p>
    <w:p>
      <w:pPr>
        <w:spacing w:after="0" w:line="225" w:lineRule="exact"/>
        <w:rPr>
          <w:sz w:val="20"/>
          <w:szCs w:val="20"/>
          <w:color w:val="auto"/>
        </w:rPr>
      </w:pPr>
    </w:p>
    <w:p>
      <w:pPr>
        <w:ind w:firstLine="89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Unsecured Longer-Term Indebtedness</w:t>
      </w:r>
      <w:r>
        <w:rPr>
          <w:rFonts w:ascii="Arial" w:cs="Arial" w:eastAsia="Arial" w:hAnsi="Arial"/>
          <w:sz w:val="16"/>
          <w:szCs w:val="16"/>
          <w:color w:val="auto"/>
        </w:rPr>
        <w:t xml:space="preserve">” means Indebtedness of any Obligor (which may be Guaranteed by any other Obligor) that (a) has no amortization prior to, and a final maturity date not earlier than, six months after the Final Maturity Date (it being understood that (A) none of: (w) the conversion features under convertible notes; (x) the triggering and/or settlement thereof; and (y) any cash payment made in respect thereof shall constitute “amortization” for the purposes of this definition); and (B) any mandatory amortization that is contingent upon the happening of an event that is not certain to occur (including, without limitation, a change of control or bankruptcy) shall not in and of itself be deemed to disqualify such Indebtedness under this clause (a); provided, with respect to this clause (a)(B), the Borrower acknowledges that any payment prior to the Final Maturity Date in respect of any such obligation or right shall only be made to the extent permitted by this Agreement and immediately upon such contingent event occurring the amount of such mandatory amortization shall be included in the Covered Debt Amount), (b) is incurred pursuant to terms that are substantially comparable to market terms for substantially similar debt of other similarly situated borrowers as reasonably determined in good faith by the Borrower or, if such transaction is not one in which there are market terms for substantially similar debt of other similarly situated borrowers, on terms that are negotiated in good faith on an arm’s length basis (except, in each case, other than financial covenants and events of default (other than events of default customary in indentures or similar instruments that have no analogous provisions in this Agreement or credit agreements generally), which shall be no more restrictive upon the Borrower and its Subsidiaries, while any Loans or the Commitments are outstanding, than those set forth in the Loan Documents; provided that, upon the Borrower’s written request in connection with the incurrence of any Unsecured Longer-Term Indebtedness that otherwise would not meet the requirements set forth in this parenthetical of this clause (b), this Agreement will be deemed automatically amended (and, upon the request of the Administrative Agent or the Required Lenders, the Borrower shall promptly enter into a written amendment evidencing such amendment),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solely to the extent necessary such that the financial covenants and events of default, as applicable, in this Agreement shall be as restrictive as such provisions in the Unsecured Longer-Term Indebtedness) (it being understood that put rights or repurchase or redemption obligations (x) in the case of convertible securities, in connection with the suspension or delisting of the capital stock of the Borrower or the failure of the Borrower to satisfy a continued listing rule with respect to its capital stock or (y) arising out of circumstances that would constitute a “fundamental change” (as such term is customarily defined in convertible note offerings) or be Events of Default under this Agreement shall not be deemed to be more restrictive for purposes of this definition) and (c) is not secured by any assets of any Obligor. For the avoidance of doubt, the conversion of all or any portion of any Permitted Convertible Indebtedness constituting Unsecured Longer-Term Indebtedness into Permitted Equity Interests in accordance with </w:t>
      </w:r>
      <w:r>
        <w:rPr>
          <w:rFonts w:ascii="Arial" w:cs="Arial" w:eastAsia="Arial" w:hAnsi="Arial"/>
          <w:sz w:val="16"/>
          <w:szCs w:val="16"/>
          <w:u w:val="single" w:color="auto"/>
          <w:color w:val="auto"/>
        </w:rPr>
        <w:t>Section 6.12(a)</w:t>
      </w:r>
      <w:r>
        <w:rPr>
          <w:rFonts w:ascii="Arial" w:cs="Arial" w:eastAsia="Arial" w:hAnsi="Arial"/>
          <w:sz w:val="16"/>
          <w:szCs w:val="16"/>
          <w:color w:val="auto"/>
        </w:rPr>
        <w:t>, shall not cause such Indebtedness to be designated as Unsecured Shorter-Term Indebtedness hereunder.</w:t>
      </w:r>
    </w:p>
    <w:p>
      <w:pPr>
        <w:spacing w:after="0" w:line="393" w:lineRule="exact"/>
        <w:rPr>
          <w:sz w:val="20"/>
          <w:szCs w:val="20"/>
          <w:color w:val="auto"/>
        </w:rPr>
      </w:pPr>
    </w:p>
    <w:p>
      <w:pPr>
        <w:ind w:right="180" w:firstLine="89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Unsecured Shorter-Term Indebtedness</w:t>
      </w:r>
      <w:r>
        <w:rPr>
          <w:rFonts w:ascii="Arial" w:cs="Arial" w:eastAsia="Arial" w:hAnsi="Arial"/>
          <w:sz w:val="18"/>
          <w:szCs w:val="18"/>
          <w:color w:val="auto"/>
        </w:rPr>
        <w:t xml:space="preserve">” means, collectively, (a) any Indebtedness of the Borrower or any Subsidiary (other than a Financing Subsidiary) that is not secured by any assets of any Obligor and that does not constitute Unsecured Longer-Term Indebtedness and (b) any Indebtedness that is designated as “Unsecured Shorter-Term Indebtedness” pursuant to </w:t>
      </w:r>
      <w:r>
        <w:rPr>
          <w:rFonts w:ascii="Arial" w:cs="Arial" w:eastAsia="Arial" w:hAnsi="Arial"/>
          <w:sz w:val="18"/>
          <w:szCs w:val="18"/>
          <w:u w:val="single" w:color="auto"/>
          <w:color w:val="auto"/>
        </w:rPr>
        <w:t>Section 6.11(a)</w:t>
      </w:r>
      <w:r>
        <w:rPr>
          <w:rFonts w:ascii="Arial" w:cs="Arial" w:eastAsia="Arial" w:hAnsi="Arial"/>
          <w:sz w:val="18"/>
          <w:szCs w:val="18"/>
          <w:color w:val="auto"/>
        </w:rPr>
        <w:t>.</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274" w:right="339" w:bottom="1440" w:gutter="0" w:footer="0" w:header="0"/>
        </w:sectPr>
      </w:pPr>
    </w:p>
    <w:bookmarkStart w:id="43" w:name="page44"/>
    <w:bookmarkEnd w:id="43"/>
    <w:p>
      <w:pPr>
        <w:ind w:left="9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6"/>
          <w:szCs w:val="16"/>
          <w:u w:val="single" w:color="auto"/>
          <w:color w:val="auto"/>
        </w:rPr>
        <w:t>Unquoted Investment</w:t>
      </w:r>
      <w:r>
        <w:rPr>
          <w:rFonts w:ascii="Arial" w:cs="Arial" w:eastAsia="Arial" w:hAnsi="Arial"/>
          <w:sz w:val="16"/>
          <w:szCs w:val="16"/>
          <w:color w:val="auto"/>
        </w:rPr>
        <w:t xml:space="preserve">” means a Portfolio Investment with a value that may be assigned by the Borrower pursuant to </w:t>
      </w:r>
      <w:r>
        <w:rPr>
          <w:rFonts w:ascii="Arial" w:cs="Arial" w:eastAsia="Arial" w:hAnsi="Arial"/>
          <w:sz w:val="16"/>
          <w:szCs w:val="16"/>
          <w:u w:val="single" w:color="auto"/>
          <w:color w:val="auto"/>
        </w:rPr>
        <w:t>Section 5.12(b)(ii)(B)</w:t>
      </w:r>
      <w:r>
        <w:rPr>
          <w:rFonts w:ascii="Arial" w:cs="Arial" w:eastAsia="Arial" w:hAnsi="Arial"/>
          <w:sz w:val="16"/>
          <w:szCs w:val="16"/>
          <w:color w:val="auto"/>
        </w:rPr>
        <w:t>.</w:t>
      </w:r>
    </w:p>
    <w:p>
      <w:pPr>
        <w:spacing w:after="0" w:line="248" w:lineRule="exact"/>
        <w:rPr>
          <w:sz w:val="20"/>
          <w:szCs w:val="20"/>
          <w:color w:val="auto"/>
        </w:rPr>
      </w:pPr>
    </w:p>
    <w:p>
      <w:pPr>
        <w:jc w:val="both"/>
        <w:ind w:right="240" w:firstLine="89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Government Securities</w:t>
      </w:r>
      <w:r>
        <w:rPr>
          <w:rFonts w:ascii="Arial" w:cs="Arial" w:eastAsia="Arial" w:hAnsi="Arial"/>
          <w:sz w:val="18"/>
          <w:szCs w:val="18"/>
          <w:color w:val="auto"/>
        </w:rPr>
        <w:t>” means securities that are direct obligations of, and obligations the timely payment of principal and interest on which is fully guaranteed by, the United States or any agency or instrumentality of the United States the obligations of which are backed by the full faith and credit of the United States and in the form of conventional bills, bonds, and notes.</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any Person that is a “United States person” as defined in Section 7701(a)(30) of the Code.</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Value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5.13</w:t>
      </w:r>
      <w:r>
        <w:rPr>
          <w:rFonts w:ascii="Arial" w:cs="Arial" w:eastAsia="Arial" w:hAnsi="Arial"/>
          <w:sz w:val="18"/>
          <w:szCs w:val="18"/>
          <w:color w:val="auto"/>
        </w:rPr>
        <w:t>.</w:t>
      </w:r>
    </w:p>
    <w:p>
      <w:pPr>
        <w:spacing w:after="0" w:line="225" w:lineRule="exact"/>
        <w:rPr>
          <w:sz w:val="20"/>
          <w:szCs w:val="20"/>
          <w:color w:val="auto"/>
        </w:rPr>
      </w:pPr>
    </w:p>
    <w:p>
      <w:pPr>
        <w:ind w:right="120"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Withdrawal Liability</w:t>
      </w:r>
      <w:r>
        <w:rPr>
          <w:rFonts w:ascii="Arial" w:cs="Arial" w:eastAsia="Arial" w:hAnsi="Arial"/>
          <w:sz w:val="18"/>
          <w:szCs w:val="18"/>
          <w:color w:val="auto"/>
        </w:rPr>
        <w:t>” means liability to a Multiemployer Plan as a result of a complete or partial withdrawal from such Multiemployer Plan, as such terms are defined in Part I of Subtitle E of Title IV of ERISA.</w:t>
      </w:r>
    </w:p>
    <w:p>
      <w:pPr>
        <w:spacing w:after="0" w:line="170" w:lineRule="exact"/>
        <w:rPr>
          <w:sz w:val="20"/>
          <w:szCs w:val="20"/>
          <w:color w:val="auto"/>
        </w:rPr>
      </w:pPr>
    </w:p>
    <w:p>
      <w:pPr>
        <w:ind w:right="100" w:firstLine="898"/>
        <w:spacing w:after="0" w:line="257"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Classification of Loans and Borrowings</w:t>
      </w:r>
      <w:r>
        <w:rPr>
          <w:rFonts w:ascii="Arial" w:cs="Arial" w:eastAsia="Arial" w:hAnsi="Arial"/>
          <w:sz w:val="18"/>
          <w:szCs w:val="18"/>
          <w:color w:val="auto"/>
        </w:rPr>
        <w:t>. For purposes of this Agreement, Loans may be classified and referred to by Class (e.g., a “Syndicated Dollar Loan” or “Syndicated Multicurrency Loan”), by Type (e.g., an “ABR Loan”) or by Class and Type (e.g., a “Syndicated Multicurrency LIBOR Loan”). Borrowings also may be classified and referred to by Class (e.g., a “Dollar Borrowing”, “Multicurrency Borrowing” or “Syndicated Borrowing”), by Type (e.g., an “ABR Borrowing”) or by Class and Type (e.g., a “Syndicated ABR Borrowing” or “Syndicated Multicurrency LIBOR Borrowing”). Loans and Borrowings may also be identified by Currency.</w:t>
      </w:r>
    </w:p>
    <w:p>
      <w:pPr>
        <w:spacing w:after="0" w:line="188" w:lineRule="exact"/>
        <w:rPr>
          <w:sz w:val="20"/>
          <w:szCs w:val="20"/>
          <w:color w:val="auto"/>
        </w:rPr>
      </w:pPr>
    </w:p>
    <w:p>
      <w:pPr>
        <w:ind w:right="20" w:firstLine="898"/>
        <w:spacing w:after="0" w:line="269" w:lineRule="auto"/>
        <w:rPr>
          <w:sz w:val="20"/>
          <w:szCs w:val="20"/>
          <w:color w:val="auto"/>
        </w:rPr>
      </w:pPr>
      <w:r>
        <w:rPr>
          <w:rFonts w:ascii="Arial" w:cs="Arial" w:eastAsia="Arial" w:hAnsi="Arial"/>
          <w:sz w:val="17"/>
          <w:szCs w:val="17"/>
          <w:color w:val="auto"/>
        </w:rPr>
        <w:t xml:space="preserve">SECTION 1.03. </w:t>
      </w:r>
      <w:r>
        <w:rPr>
          <w:rFonts w:ascii="Arial" w:cs="Arial" w:eastAsia="Arial" w:hAnsi="Arial"/>
          <w:sz w:val="17"/>
          <w:szCs w:val="17"/>
          <w:u w:val="single" w:color="auto"/>
          <w:color w:val="auto"/>
        </w:rPr>
        <w:t>Terms Generally</w:t>
      </w:r>
      <w:r>
        <w:rPr>
          <w:rFonts w:ascii="Arial" w:cs="Arial" w:eastAsia="Arial" w:hAnsi="Arial"/>
          <w:sz w:val="17"/>
          <w:szCs w:val="17"/>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 (e) the words “asset” and “property” shall be construed to have the same meaning and effect and to refer to any and all tangible and intangible assets and properties, including cash, securities, accounts and contract rights.</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274" w:right="339" w:bottom="1440" w:gutter="0" w:footer="0" w:header="0"/>
        </w:sectPr>
      </w:pPr>
    </w:p>
    <w:bookmarkStart w:id="44" w:name="page45"/>
    <w:bookmarkEnd w:id="44"/>
    <w:p>
      <w:pPr>
        <w:ind w:right="20" w:firstLine="898"/>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1.04. </w:t>
      </w:r>
      <w:r>
        <w:rPr>
          <w:rFonts w:ascii="Arial" w:cs="Arial" w:eastAsia="Arial" w:hAnsi="Arial"/>
          <w:sz w:val="17"/>
          <w:szCs w:val="17"/>
          <w:u w:val="single" w:color="auto"/>
          <w:color w:val="auto"/>
        </w:rPr>
        <w:t>Accounting Terms; GAAP</w:t>
      </w:r>
      <w:r>
        <w:rPr>
          <w:rFonts w:ascii="Arial" w:cs="Arial" w:eastAsia="Arial" w:hAnsi="Arial"/>
          <w:sz w:val="17"/>
          <w:szCs w:val="17"/>
          <w:color w:val="auto"/>
        </w:rPr>
        <w:t xml:space="preserve">. Except as otherwise expressly provided herein, all terms of an accounting or financial nature shall be construed in accordance with GAAP, as in effect from time to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if the Borrower notifies the Administrative Agent that the Borrower requests an amendment to any provision hereof to eliminate the effect of any change occurring after the date hereof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and (b) all leases that would be treated as operating leases for purposes of GAAP on the date hereof shall continue to be accounted for as operating leases for purposes of all financial definitions and calculations hereunder regardless of any change to GAAP following the date hereof that would otherwise require such leases to be treated as Capital Lease Obligations. The Borrower covenants and agrees with the Lenders that whether or not the Borrower may at any time adopt Financial Accounting Standard No. 159 (or successor standard solely as it relates to fair valuing liabilities) or accounts for liabilities acquired in an acquisition on a fair value basis pursuant to Financial Accounting Standard No. 141(R) (or successor standard solely as it relates to fair valuing liabilities), all determinations of compliance with the terms and conditions of this Agreement shall be made on the basis that the Borrower has not adopted Financial Accounting Standard No. 159 (or such successor standard solely as it relates to fair valuing liabilities) or, in the case of liabilities acquired in an acquisition, Financial Accounting Standard No. 141(R) (or such successor standard solely as it relates to fair valuing liabilities).</w:t>
      </w:r>
    </w:p>
    <w:p>
      <w:pPr>
        <w:spacing w:after="0" w:line="18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Currencies; Currency Equivalents</w:t>
      </w:r>
      <w:r>
        <w:rPr>
          <w:rFonts w:ascii="Arial" w:cs="Arial" w:eastAsia="Arial" w:hAnsi="Arial"/>
          <w:sz w:val="18"/>
          <w:szCs w:val="18"/>
          <w:color w:val="auto"/>
        </w:rPr>
        <w:t>.</w:t>
      </w:r>
    </w:p>
    <w:p>
      <w:pPr>
        <w:spacing w:after="0" w:line="225" w:lineRule="exact"/>
        <w:rPr>
          <w:sz w:val="20"/>
          <w:szCs w:val="20"/>
          <w:color w:val="auto"/>
        </w:rPr>
      </w:pPr>
    </w:p>
    <w:p>
      <w:pPr>
        <w:ind w:right="40" w:firstLine="906"/>
        <w:spacing w:after="0" w:line="286" w:lineRule="auto"/>
        <w:tabs>
          <w:tab w:leader="none" w:pos="1143"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Currencies Generally</w:t>
      </w:r>
      <w:r>
        <w:rPr>
          <w:rFonts w:ascii="Arial" w:cs="Arial" w:eastAsia="Arial" w:hAnsi="Arial"/>
          <w:sz w:val="16"/>
          <w:szCs w:val="16"/>
          <w:color w:val="auto"/>
        </w:rPr>
        <w:t xml:space="preserve">. At any time, any reference in the definition of the term “Agreed Foreign Currency” or in any other provision of this Agreement to the Currency of any particular nation means the lawful currency of such nation at such time whether or not the name of such Currency is the same as it was on the date hereof. Except as provided in </w:t>
      </w:r>
      <w:r>
        <w:rPr>
          <w:rFonts w:ascii="Arial" w:cs="Arial" w:eastAsia="Arial" w:hAnsi="Arial"/>
          <w:sz w:val="16"/>
          <w:szCs w:val="16"/>
          <w:u w:val="single" w:color="auto"/>
          <w:color w:val="auto"/>
        </w:rPr>
        <w:t>Section 2.10(b)</w:t>
      </w:r>
      <w:r>
        <w:rPr>
          <w:rFonts w:ascii="Arial" w:cs="Arial" w:eastAsia="Arial" w:hAnsi="Arial"/>
          <w:sz w:val="16"/>
          <w:szCs w:val="16"/>
          <w:color w:val="auto"/>
        </w:rPr>
        <w:t xml:space="preserve"> and the last sentence of </w:t>
      </w:r>
      <w:r>
        <w:rPr>
          <w:rFonts w:ascii="Arial" w:cs="Arial" w:eastAsia="Arial" w:hAnsi="Arial"/>
          <w:sz w:val="16"/>
          <w:szCs w:val="16"/>
          <w:u w:val="single" w:color="auto"/>
          <w:color w:val="auto"/>
        </w:rPr>
        <w:t>Section 2.17(a)</w:t>
      </w:r>
      <w:r>
        <w:rPr>
          <w:rFonts w:ascii="Arial" w:cs="Arial" w:eastAsia="Arial" w:hAnsi="Arial"/>
          <w:sz w:val="16"/>
          <w:szCs w:val="16"/>
          <w:color w:val="auto"/>
        </w:rPr>
        <w:t>, for purposes of determining (i) whether the amount of any Borrowing or Letter of Credit under the Multicurrency Commitments, together with all other Borrowings and Letters of Credit under the Multicurrency Commitments then outstanding or to be borrowed at the same time as such Borrowing, would exceed the aggregate amount of the Multicurrency Commitments, (ii) the aggregate unutilized amount of the Multicurrency Commitments, (iii) the Revolving Credit Exposure, (iv) the Multicurrency LC Exposure, (v) the Covered Debt Amount and (vi) the Borrowing Base or the Value or the fair market value of any Portfolio Investment, the outstanding principal amount of any Borrowing or Letter of Credit that is denominated in any Foreign Currency or the Value or the fair market value of any Portfolio Investment that is denominated in any Foreign Currency shall be deemed to be the Dollar Equivalent of the amount of the Foreign Currency of such Borrowing, Letter of Credit or Portfolio Investment, as the case may be, determined as of the date of such Borrowing or Letter of Credit (determined in accordance with the last sentence of the definition of the term “Interest Period”) or the date of valuation of such Portfolio Investment, as the case may be. Wherever in this Agreement in connection with a Borrowing or Loan an amount, such as a required minimum or multiple amount, is expressed in Dollars, but such Borrowing or Loan is denominated in a Foreign Currency, such amount shall be the relevant Foreign</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274" w:right="339" w:bottom="1440" w:gutter="0" w:footer="0" w:header="0"/>
        </w:sectPr>
      </w:pPr>
    </w:p>
    <w:bookmarkStart w:id="45" w:name="page46"/>
    <w:bookmarkEnd w:id="45"/>
    <w:p>
      <w:pPr>
        <w:ind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Currency Equivalent of such Dollar amount (rounded to the nearest 1,000 units of such Foreign Currency). Without limiting the generality of the foregoing, for purposes of determining compliance with any basket in Sections 6.03(g) and 6.04(f), in no event shall the Borrower or any of its Subsidiaries be deemed to not be in compliance with any such basket solely as a result of a change in exchange rates.</w:t>
      </w:r>
    </w:p>
    <w:p>
      <w:pPr>
        <w:spacing w:after="0" w:line="184" w:lineRule="exact"/>
        <w:rPr>
          <w:sz w:val="20"/>
          <w:szCs w:val="20"/>
          <w:color w:val="auto"/>
        </w:rPr>
      </w:pPr>
    </w:p>
    <w:p>
      <w:pPr>
        <w:ind w:firstLine="906"/>
        <w:spacing w:after="0" w:line="269" w:lineRule="auto"/>
        <w:tabs>
          <w:tab w:leader="none" w:pos="1153"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Special Provisions Relating to Euro</w:t>
      </w:r>
      <w:r>
        <w:rPr>
          <w:rFonts w:ascii="Arial" w:cs="Arial" w:eastAsia="Arial" w:hAnsi="Arial"/>
          <w:sz w:val="17"/>
          <w:szCs w:val="17"/>
          <w:color w:val="auto"/>
        </w:rPr>
        <w:t xml:space="preserve">. Each obligation hereunder of any party hereto that is denominated in the National Currency of a state that is not a Participating Member State on the date hereof shall, effective from the date on which such state becomes a Participating Member State, be redenominated in Euro in accordance with the legislation of the European Union applicable to the European Monetary Union;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and to the extent that any such legislation provides that any such obligation of any such party payable within such Participating Member State by crediting an account of the creditor can be paid by the debtor either in Euros or such National Currency, such party shall be entitled to pay or repay such amount either in Euros or in such National Currency. If the basis of accrual of interest or fees expressed in this Agreement with respect to an Agreed Foreign Currency of any country that becomes a Participating Member State after the date on which such currency becomes an Agreed Foreign Currency shall be inconsistent with any convention or practice in the interbank market for the basis of accrual of interest or fees in respect of the Euro, such convention or practice shall replace such expressed basis effective as of and from the date on which such state becomes a Participating Member State;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any Borrowing denominated in such currency that is outstanding immediately prior to such date, such replacement shall take effect at the end of the Interest Period therefor.</w:t>
      </w:r>
    </w:p>
    <w:p>
      <w:pPr>
        <w:spacing w:after="0" w:line="182" w:lineRule="exact"/>
        <w:rPr>
          <w:sz w:val="20"/>
          <w:szCs w:val="20"/>
          <w:color w:val="auto"/>
        </w:rPr>
      </w:pPr>
    </w:p>
    <w:p>
      <w:pPr>
        <w:ind w:right="100" w:firstLine="449"/>
        <w:spacing w:after="0" w:line="255" w:lineRule="auto"/>
        <w:rPr>
          <w:sz w:val="20"/>
          <w:szCs w:val="20"/>
          <w:color w:val="auto"/>
        </w:rPr>
      </w:pPr>
      <w:r>
        <w:rPr>
          <w:rFonts w:ascii="Arial" w:cs="Arial" w:eastAsia="Arial" w:hAnsi="Arial"/>
          <w:sz w:val="18"/>
          <w:szCs w:val="18"/>
          <w:color w:val="auto"/>
        </w:rPr>
        <w:t xml:space="preserve">Without prejudice to the respective liabilities of the Borrower to the Lenders and the Lenders to the Borrower under or pursuant to this Agreement, each provision of this Agreement shall be subject to such reasonable changes of construction as the Administrative Agent may from time to time, in consultation with the Borrower, reasonably specify to be necessary or appropriate to reflect the introduction or changeover to the Euro in any country that becomes a Participating Member State after the date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shall provide the Borrower and the Lenders with prior notice of the proposed change with an explanation of such change in sufficient time to permit the Borrower and the Lenders an opportunity to respond to such proposed change.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CREDITS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The Commitments</w:t>
      </w:r>
      <w:r>
        <w:rPr>
          <w:rFonts w:ascii="Arial" w:cs="Arial" w:eastAsia="Arial" w:hAnsi="Arial"/>
          <w:sz w:val="18"/>
          <w:szCs w:val="18"/>
          <w:color w:val="auto"/>
        </w:rPr>
        <w:t>. Subject to the terms and conditions set forth herein:</w:t>
      </w:r>
    </w:p>
    <w:p>
      <w:pPr>
        <w:spacing w:after="0" w:line="225" w:lineRule="exact"/>
        <w:rPr>
          <w:sz w:val="20"/>
          <w:szCs w:val="20"/>
          <w:color w:val="auto"/>
        </w:rPr>
      </w:pPr>
    </w:p>
    <w:p>
      <w:pPr>
        <w:ind w:right="20" w:firstLine="906"/>
        <w:spacing w:after="0" w:line="259" w:lineRule="auto"/>
        <w:tabs>
          <w:tab w:leader="none" w:pos="1143"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each Dollar Lender agrees to make Syndicated Loans in Dollars to the Borrower from time to time during the Availability Period in an aggregate principal amount that will not result in (i) such Lender’s Revolving Dollar Credit Exposure exceeding such Lender’s Dollar Commitment, (ii) the aggregate Revolving Dollar Credit Exposure of all of the Dollar Lenders exceeding the aggregate Dollar Commitments or (iii) the total Covered Debt Amount exceeding the Borrowing Base then in effect; and</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274" w:right="339" w:bottom="1440" w:gutter="0" w:footer="0" w:header="0"/>
        </w:sectPr>
      </w:pPr>
    </w:p>
    <w:bookmarkStart w:id="46" w:name="page47"/>
    <w:bookmarkEnd w:id="46"/>
    <w:p>
      <w:pPr>
        <w:ind w:right="280" w:firstLine="906"/>
        <w:spacing w:after="0" w:line="301" w:lineRule="auto"/>
        <w:tabs>
          <w:tab w:leader="none" w:pos="1153" w:val="left"/>
        </w:tabs>
        <w:numPr>
          <w:ilvl w:val="0"/>
          <w:numId w:val="2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Multicurrency Lender agrees to make Syndicated Loans in Dollars and in Agreed Foreign Currencies to the Borrower from time to time during the Availability Period in an aggregate principal amount that will not result in (i) such Lender’s Revolving Multicurrency Credit Exposure exceeding such Lender’s Multicurrency Commitment, (ii) the aggregate Revolving Multicurrency Credit Exposure of all of the Multicurrency Lenders exceeding the aggregate Multicurrency Commitments or (iii) the total Covered Debt Amount exceeding the Borrowing Base then in effect.</w:t>
      </w:r>
    </w:p>
    <w:p>
      <w:pPr>
        <w:spacing w:after="0" w:line="157" w:lineRule="exact"/>
        <w:rPr>
          <w:sz w:val="20"/>
          <w:szCs w:val="20"/>
          <w:color w:val="auto"/>
        </w:rPr>
      </w:pPr>
    </w:p>
    <w:p>
      <w:pPr>
        <w:ind w:left="900"/>
        <w:spacing w:after="0"/>
        <w:rPr>
          <w:sz w:val="20"/>
          <w:szCs w:val="20"/>
          <w:color w:val="auto"/>
        </w:rPr>
      </w:pPr>
      <w:r>
        <w:rPr>
          <w:rFonts w:ascii="Arial" w:cs="Arial" w:eastAsia="Arial" w:hAnsi="Arial"/>
          <w:sz w:val="16"/>
          <w:szCs w:val="16"/>
          <w:color w:val="auto"/>
        </w:rPr>
        <w:t>Within the foregoing limits and subject to the terms and conditions set forth herein, the Borrower may borrow, prepay and reborrow Syndicated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Loans.</w:t>
      </w:r>
    </w:p>
    <w:p>
      <w:pPr>
        <w:spacing w:after="0" w:line="21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Loans and Borrowings</w:t>
      </w:r>
      <w:r>
        <w:rPr>
          <w:rFonts w:ascii="Arial" w:cs="Arial" w:eastAsia="Arial" w:hAnsi="Arial"/>
          <w:sz w:val="18"/>
          <w:szCs w:val="18"/>
          <w:color w:val="auto"/>
        </w:rPr>
        <w:t>.</w:t>
      </w:r>
    </w:p>
    <w:p>
      <w:pPr>
        <w:spacing w:after="0" w:line="225" w:lineRule="exact"/>
        <w:rPr>
          <w:sz w:val="20"/>
          <w:szCs w:val="20"/>
          <w:color w:val="auto"/>
        </w:rPr>
      </w:pPr>
    </w:p>
    <w:p>
      <w:pPr>
        <w:jc w:val="both"/>
        <w:ind w:right="140" w:firstLine="906"/>
        <w:spacing w:after="0" w:line="279" w:lineRule="auto"/>
        <w:tabs>
          <w:tab w:leader="none" w:pos="1143"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Obligations of Lenders</w:t>
      </w:r>
      <w:r>
        <w:rPr>
          <w:rFonts w:ascii="Arial" w:cs="Arial" w:eastAsia="Arial" w:hAnsi="Arial"/>
          <w:sz w:val="17"/>
          <w:szCs w:val="17"/>
          <w:color w:val="auto"/>
        </w:rPr>
        <w:t xml:space="preserve">. Each Syndicated Loan shall be made as part of a Borrowing consisting of Loans of the same Class, Currency and Type made by the applicable Lenders ratably in accordance with their respective Commitments of the applicable Class. The failure of any Lender to make any Loan required to be made by it shall not relieve any other Lender of its obligations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Commitments of the Lenders are several and no Lender shall be responsible for any other Lender’s failure to make Loans as required.</w:t>
      </w:r>
    </w:p>
    <w:p>
      <w:pPr>
        <w:spacing w:after="0" w:line="171" w:lineRule="exact"/>
        <w:rPr>
          <w:rFonts w:ascii="Arial" w:cs="Arial" w:eastAsia="Arial" w:hAnsi="Arial"/>
          <w:sz w:val="17"/>
          <w:szCs w:val="17"/>
          <w:color w:val="auto"/>
        </w:rPr>
      </w:pPr>
    </w:p>
    <w:p>
      <w:pPr>
        <w:ind w:right="20" w:firstLine="906"/>
        <w:spacing w:after="0" w:line="257" w:lineRule="auto"/>
        <w:tabs>
          <w:tab w:leader="none" w:pos="1153"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Type of Loans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each Syndicated Borrowing of a Class shall be constituted entirely of ABR Loans or of Eurocurrency Loans of such Class denominated in a single Currency as the Borrower may request in accordance herewith. Each ABR Loan shall be denominated in Dollars. Each Lender at its option may make any Eurocurrency Loan by causing any domestic or foreign branch or Affiliate of such Lender to make such Loan;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exercise of such option shall not affect the obligation of the Borrower to repay such Loan in accordance with the terms of this Agreement.</w:t>
      </w:r>
    </w:p>
    <w:p>
      <w:pPr>
        <w:spacing w:after="0" w:line="187" w:lineRule="exact"/>
        <w:rPr>
          <w:rFonts w:ascii="Arial" w:cs="Arial" w:eastAsia="Arial" w:hAnsi="Arial"/>
          <w:sz w:val="18"/>
          <w:szCs w:val="18"/>
          <w:color w:val="auto"/>
        </w:rPr>
      </w:pPr>
    </w:p>
    <w:p>
      <w:pPr>
        <w:jc w:val="both"/>
        <w:ind w:right="20" w:firstLine="906"/>
        <w:spacing w:after="0" w:line="257" w:lineRule="auto"/>
        <w:tabs>
          <w:tab w:leader="none" w:pos="1143"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Minimum Amounts</w:t>
      </w:r>
      <w:r>
        <w:rPr>
          <w:rFonts w:ascii="Arial" w:cs="Arial" w:eastAsia="Arial" w:hAnsi="Arial"/>
          <w:sz w:val="18"/>
          <w:szCs w:val="18"/>
          <w:color w:val="auto"/>
        </w:rPr>
        <w:t xml:space="preserve">. Each Eurocurrency Borrowing shall be in an aggregate amount of $1,000,000 or a larger multiple of $1,000,000, and each ABR Borrowing (whether Syndicated or Swingline) shall be in an aggregate amount of $1,000,000 or a larger multiple of $100,000;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Syndicated ABR Borrowing of a Class may be in an aggregate amount that is equal to the entire unused balance of the total Commitments of such Class or that is required to finance the reimbursement of an LC Disbursement of such Class as contemplated by </w:t>
      </w:r>
      <w:r>
        <w:rPr>
          <w:rFonts w:ascii="Arial" w:cs="Arial" w:eastAsia="Arial" w:hAnsi="Arial"/>
          <w:sz w:val="18"/>
          <w:szCs w:val="18"/>
          <w:u w:val="single" w:color="auto"/>
          <w:color w:val="auto"/>
        </w:rPr>
        <w:t>Section 2.05(f)</w:t>
      </w:r>
      <w:r>
        <w:rPr>
          <w:rFonts w:ascii="Arial" w:cs="Arial" w:eastAsia="Arial" w:hAnsi="Arial"/>
          <w:sz w:val="18"/>
          <w:szCs w:val="18"/>
          <w:color w:val="auto"/>
        </w:rPr>
        <w:t>. Borrowings of more than one Class, Currency and Type may be outstanding at the same time.</w:t>
      </w:r>
    </w:p>
    <w:p>
      <w:pPr>
        <w:spacing w:after="0" w:line="187" w:lineRule="exact"/>
        <w:rPr>
          <w:rFonts w:ascii="Arial" w:cs="Arial" w:eastAsia="Arial" w:hAnsi="Arial"/>
          <w:sz w:val="18"/>
          <w:szCs w:val="18"/>
          <w:color w:val="auto"/>
        </w:rPr>
      </w:pPr>
    </w:p>
    <w:p>
      <w:pPr>
        <w:ind w:right="80" w:firstLine="906"/>
        <w:spacing w:after="0" w:line="263" w:lineRule="auto"/>
        <w:tabs>
          <w:tab w:leader="none" w:pos="1153"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Limitations on Interest Periods</w:t>
      </w:r>
      <w:r>
        <w:rPr>
          <w:rFonts w:ascii="Arial" w:cs="Arial" w:eastAsia="Arial" w:hAnsi="Arial"/>
          <w:sz w:val="18"/>
          <w:szCs w:val="18"/>
          <w:color w:val="auto"/>
        </w:rPr>
        <w:t>. Notwithstanding any other provision of this Agreement, the Borrower shall not be entitled to request (or to elect to convert to or continue as a Eurocurrency Borrowing) any Borrowing if the Interest Period requested therefor would end after the Final Maturity Date.</w:t>
      </w:r>
    </w:p>
    <w:p>
      <w:pPr>
        <w:spacing w:after="0" w:line="183" w:lineRule="exact"/>
        <w:rPr>
          <w:rFonts w:ascii="Arial" w:cs="Arial" w:eastAsia="Arial" w:hAnsi="Arial"/>
          <w:sz w:val="18"/>
          <w:szCs w:val="18"/>
          <w:color w:val="auto"/>
        </w:rPr>
      </w:pPr>
    </w:p>
    <w:p>
      <w:pPr>
        <w:jc w:val="both"/>
        <w:ind w:right="60" w:firstLine="906"/>
        <w:spacing w:after="0" w:line="263" w:lineRule="auto"/>
        <w:tabs>
          <w:tab w:leader="none" w:pos="1143"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Treatment of Classes</w:t>
      </w:r>
      <w:r>
        <w:rPr>
          <w:rFonts w:ascii="Arial" w:cs="Arial" w:eastAsia="Arial" w:hAnsi="Arial"/>
          <w:sz w:val="18"/>
          <w:szCs w:val="18"/>
          <w:color w:val="auto"/>
        </w:rPr>
        <w:t>. Notwithstanding anything to the contrary contained herein, with respect to each Syndicated Loan, Swingline Loan or Letter of Credit designated in Dollars, the Administrative Agent shall deem the Borrower to have requested that such Syndicated Loan, Swingline Loan or Letter of Credit be applied ratably to each of the Dollar Commitments and the</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274" w:right="339" w:bottom="1440" w:gutter="0" w:footer="0" w:header="0"/>
        </w:sectPr>
      </w:pPr>
    </w:p>
    <w:bookmarkStart w:id="47" w:name="page48"/>
    <w:bookmarkEnd w:id="47"/>
    <w:p>
      <w:pPr>
        <w:ind w:right="3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Multicurrency Commitments, based upon the percentage of the aggregate Commitments represented by the Dollar Commitments and the Multicurrency Commitments, respectively.</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Requests for Syndicated Borrowings</w:t>
      </w:r>
      <w:r>
        <w:rPr>
          <w:rFonts w:ascii="Arial" w:cs="Arial" w:eastAsia="Arial" w:hAnsi="Arial"/>
          <w:sz w:val="18"/>
          <w:szCs w:val="18"/>
          <w:color w:val="auto"/>
        </w:rPr>
        <w:t>.</w:t>
      </w:r>
    </w:p>
    <w:p>
      <w:pPr>
        <w:spacing w:after="0" w:line="225" w:lineRule="exact"/>
        <w:rPr>
          <w:sz w:val="20"/>
          <w:szCs w:val="20"/>
          <w:color w:val="auto"/>
        </w:rPr>
      </w:pPr>
    </w:p>
    <w:p>
      <w:pPr>
        <w:ind w:right="100" w:firstLine="906"/>
        <w:spacing w:after="0" w:line="254" w:lineRule="auto"/>
        <w:tabs>
          <w:tab w:leader="none" w:pos="1143"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Notice by the Borrower</w:t>
      </w:r>
      <w:r>
        <w:rPr>
          <w:rFonts w:ascii="Arial" w:cs="Arial" w:eastAsia="Arial" w:hAnsi="Arial"/>
          <w:sz w:val="18"/>
          <w:szCs w:val="18"/>
          <w:color w:val="auto"/>
        </w:rPr>
        <w:t>. To request a Syndicated Borrowing, the Borrower shall notify the Administrative Agent of such request by telephone (i) in the case of a Eurocurrency Borrowing denominated in Dollars, not later than 11:00 a.m., Atlanta, Georgia time, two Business Days before the date of the proposed Borrowing, (ii) in the case of a Eurocurrency Borrowing denominated in a Foreign Currency, not later than 11:00 a.m., Atlanta, Georgia time, four Business Days before the date of the proposed Borrowing or (iii) in the case of a Syndicated ABR Borrowing, not later than 11:00 a.m., Atlanta, Georgia time, one Business Day before the date of the proposed Borrowing. Each such telephonic Borrowing Request shall be irrevocable and shall be confirmed promptly by hand delivery or telecopy to the Administrative Agent of a written Borrowing Request in a form approved by the Administrative Agent and signed by the Borrower.</w:t>
      </w:r>
    </w:p>
    <w:p>
      <w:pPr>
        <w:spacing w:after="0" w:line="194" w:lineRule="exact"/>
        <w:rPr>
          <w:rFonts w:ascii="Arial" w:cs="Arial" w:eastAsia="Arial" w:hAnsi="Arial"/>
          <w:sz w:val="18"/>
          <w:szCs w:val="18"/>
          <w:color w:val="auto"/>
        </w:rPr>
      </w:pPr>
    </w:p>
    <w:p>
      <w:pPr>
        <w:ind w:right="320" w:firstLine="906"/>
        <w:spacing w:after="0" w:line="277" w:lineRule="auto"/>
        <w:tabs>
          <w:tab w:leader="none" w:pos="1153"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Content of Borrowing Requests</w:t>
      </w:r>
      <w:r>
        <w:rPr>
          <w:rFonts w:ascii="Arial" w:cs="Arial" w:eastAsia="Arial" w:hAnsi="Arial"/>
          <w:sz w:val="18"/>
          <w:szCs w:val="18"/>
          <w:color w:val="auto"/>
        </w:rPr>
        <w:t xml:space="preserve">. Each telephonic and written Borrowing Request shall specify the following information in compliance with </w:t>
      </w:r>
      <w:r>
        <w:rPr>
          <w:rFonts w:ascii="Arial" w:cs="Arial" w:eastAsia="Arial" w:hAnsi="Arial"/>
          <w:sz w:val="18"/>
          <w:szCs w:val="18"/>
          <w:u w:val="single" w:color="auto"/>
          <w:color w:val="auto"/>
        </w:rPr>
        <w:t>Section 2.02</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100" w:hanging="212"/>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whether such Borrowing is to be made under the Dollar Commitments or the Multicurrency Commitments;</w:t>
      </w:r>
    </w:p>
    <w:p>
      <w:pPr>
        <w:spacing w:after="0" w:line="117" w:lineRule="exact"/>
        <w:rPr>
          <w:rFonts w:ascii="Arial" w:cs="Arial" w:eastAsia="Arial" w:hAnsi="Arial"/>
          <w:sz w:val="18"/>
          <w:szCs w:val="18"/>
          <w:color w:val="auto"/>
        </w:rPr>
      </w:pPr>
    </w:p>
    <w:p>
      <w:pPr>
        <w:ind w:left="1160" w:hanging="272"/>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aggregate amount and Currency of the requested Borrowing;</w:t>
      </w:r>
    </w:p>
    <w:p>
      <w:pPr>
        <w:spacing w:after="0" w:line="117" w:lineRule="exact"/>
        <w:rPr>
          <w:rFonts w:ascii="Arial" w:cs="Arial" w:eastAsia="Arial" w:hAnsi="Arial"/>
          <w:sz w:val="18"/>
          <w:szCs w:val="18"/>
          <w:color w:val="auto"/>
        </w:rPr>
      </w:pPr>
    </w:p>
    <w:p>
      <w:pPr>
        <w:ind w:left="1200" w:hanging="312"/>
        <w:spacing w:after="0"/>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date of such Borrowing, which shall be a Business Day;</w:t>
      </w:r>
    </w:p>
    <w:p>
      <w:pPr>
        <w:spacing w:after="0" w:line="117" w:lineRule="exact"/>
        <w:rPr>
          <w:rFonts w:ascii="Arial" w:cs="Arial" w:eastAsia="Arial" w:hAnsi="Arial"/>
          <w:sz w:val="18"/>
          <w:szCs w:val="18"/>
          <w:color w:val="auto"/>
        </w:rPr>
      </w:pPr>
    </w:p>
    <w:p>
      <w:pPr>
        <w:ind w:left="460" w:right="340" w:firstLine="428"/>
        <w:spacing w:after="0" w:line="277" w:lineRule="auto"/>
        <w:tabs>
          <w:tab w:leader="none" w:pos="1196"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the case of a Syndicated Borrowing denominated in Dollars, whether such Borrowing is to be an ABR Borrowing or a Eurocurrency Borrowing;</w:t>
      </w:r>
    </w:p>
    <w:p>
      <w:pPr>
        <w:spacing w:after="0" w:line="62" w:lineRule="exact"/>
        <w:rPr>
          <w:rFonts w:ascii="Arial" w:cs="Arial" w:eastAsia="Arial" w:hAnsi="Arial"/>
          <w:sz w:val="18"/>
          <w:szCs w:val="18"/>
          <w:color w:val="auto"/>
        </w:rPr>
      </w:pPr>
    </w:p>
    <w:p>
      <w:pPr>
        <w:ind w:left="460" w:right="320" w:firstLine="428"/>
        <w:spacing w:after="0" w:line="277" w:lineRule="auto"/>
        <w:tabs>
          <w:tab w:leader="none" w:pos="1146"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in the case of a Eurocurrency Borrowing, the Interest Period therefor, which shall be a period contemplated by the definition of the term “Interest Period” and permitted under </w:t>
      </w:r>
      <w:r>
        <w:rPr>
          <w:rFonts w:ascii="Arial" w:cs="Arial" w:eastAsia="Arial" w:hAnsi="Arial"/>
          <w:sz w:val="18"/>
          <w:szCs w:val="18"/>
          <w:u w:val="single" w:color="auto"/>
          <w:color w:val="auto"/>
        </w:rPr>
        <w:t>Section 2.02(d)</w:t>
      </w:r>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ind w:left="460" w:right="560" w:firstLine="428"/>
        <w:spacing w:after="0" w:line="277" w:lineRule="auto"/>
        <w:tabs>
          <w:tab w:leader="none" w:pos="1196"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the location and number of the Borrower’s account to which funds are to be disbursed, which shall comply with the requirements of </w:t>
      </w:r>
      <w:r>
        <w:rPr>
          <w:rFonts w:ascii="Arial" w:cs="Arial" w:eastAsia="Arial" w:hAnsi="Arial"/>
          <w:sz w:val="18"/>
          <w:szCs w:val="18"/>
          <w:u w:val="single" w:color="auto"/>
          <w:color w:val="auto"/>
        </w:rPr>
        <w:t>Section 2.06</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20" w:firstLine="906"/>
        <w:spacing w:after="0" w:line="263" w:lineRule="auto"/>
        <w:tabs>
          <w:tab w:leader="none" w:pos="1143"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Notice by the Administrative Agent to the Lenders</w:t>
      </w:r>
      <w:r>
        <w:rPr>
          <w:rFonts w:ascii="Arial" w:cs="Arial" w:eastAsia="Arial" w:hAnsi="Arial"/>
          <w:sz w:val="18"/>
          <w:szCs w:val="18"/>
          <w:color w:val="auto"/>
        </w:rPr>
        <w:t>. Promptly following receipt of a Borrowing Request in accordance with this Section, the Administrative Agent shall advise each applicable Lender of the details thereof and of the amounts of such Lender’s Loan to be made as part of the requested Borrowing.</w:t>
      </w:r>
    </w:p>
    <w:p>
      <w:pPr>
        <w:spacing w:after="0" w:line="183" w:lineRule="exact"/>
        <w:rPr>
          <w:rFonts w:ascii="Arial" w:cs="Arial" w:eastAsia="Arial" w:hAnsi="Arial"/>
          <w:sz w:val="18"/>
          <w:szCs w:val="18"/>
          <w:color w:val="auto"/>
        </w:rPr>
      </w:pPr>
    </w:p>
    <w:p>
      <w:pPr>
        <w:ind w:right="320" w:firstLine="906"/>
        <w:spacing w:after="0" w:line="263" w:lineRule="auto"/>
        <w:tabs>
          <w:tab w:leader="none" w:pos="1153"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Failure to Elect</w:t>
      </w:r>
      <w:r>
        <w:rPr>
          <w:rFonts w:ascii="Arial" w:cs="Arial" w:eastAsia="Arial" w:hAnsi="Arial"/>
          <w:sz w:val="18"/>
          <w:szCs w:val="18"/>
          <w:color w:val="auto"/>
        </w:rPr>
        <w:t>. If no election as to the Class of a Syndicated Borrowing is specified, then the requested Syndicated Borrowing shall be deemed to be under the Multicurrency Commitments. If no election as to the Currency of a Syndicated Borrowing is specified, then the requested Syndicated Borrowing shall be denominated in Dollars. If no election as to the Type of a Syndicated</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274" w:right="339" w:bottom="1440" w:gutter="0" w:footer="0" w:header="0"/>
        </w:sectPr>
      </w:pPr>
    </w:p>
    <w:bookmarkStart w:id="48" w:name="page49"/>
    <w:bookmarkEnd w:id="48"/>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Borrowing is specified, then the requested Borrowing shall be a Eurocurrency Borrowing having an Interest Period of one month and, if an Agreed Foreign Currency has been specified, the requested Syndicated Borrowing shall be a Eurocurrency Borrowing denominated in such Agreed Foreign Currency and having an Interest Period of one month. If a Eurocurrency Borrowing is requested but no Interest Period is specified, (i) if the Currency specified for such Borrowing is Dollars (or if no Currency has been so specified), the requested Borrowing shall be a Eurocurrency Borrowing denominated in Dollars having an Interest Period of one month’s duration, and (ii) if the Currency specified for such Borrowing is an Agreed Foreign Currency, the Borrower shall be deemed to have selected an Interest Period of one month’s duration.</w:t>
      </w:r>
    </w:p>
    <w:p>
      <w:pPr>
        <w:spacing w:after="0" w:line="19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Swingline Loans</w:t>
      </w:r>
      <w:r>
        <w:rPr>
          <w:rFonts w:ascii="Arial" w:cs="Arial" w:eastAsia="Arial" w:hAnsi="Arial"/>
          <w:sz w:val="18"/>
          <w:szCs w:val="18"/>
          <w:color w:val="auto"/>
        </w:rPr>
        <w:t>.</w:t>
      </w:r>
    </w:p>
    <w:p>
      <w:pPr>
        <w:spacing w:after="0" w:line="225" w:lineRule="exact"/>
        <w:rPr>
          <w:sz w:val="20"/>
          <w:szCs w:val="20"/>
          <w:color w:val="auto"/>
        </w:rPr>
      </w:pPr>
    </w:p>
    <w:p>
      <w:pPr>
        <w:ind w:right="100" w:firstLine="906"/>
        <w:spacing w:after="0" w:line="272" w:lineRule="auto"/>
        <w:tabs>
          <w:tab w:leader="none" w:pos="1143"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Agreement to Make Swingline Loans</w:t>
      </w:r>
      <w:r>
        <w:rPr>
          <w:rFonts w:ascii="Arial" w:cs="Arial" w:eastAsia="Arial" w:hAnsi="Arial"/>
          <w:sz w:val="17"/>
          <w:szCs w:val="17"/>
          <w:color w:val="auto"/>
        </w:rPr>
        <w:t xml:space="preserve">. Subject to the terms and conditions set forth herein, the Swingline Lender agrees to make Swingline Loans under each Commitment to the Borrower from time to time during the Availability Period in Dollars, in an aggregate principal amount at any time outstanding that will not result in (i) the aggregate principal amount of outstanding Swingline Loans of both Classes exceeding $70,000,000, (ii) the total Revolving Dollar Credit Exposures exceeding the aggregate Dollar Commitments, (iii) the total Revolving Multicurrency Credit Exposures exceeding the aggregate Multicurrency Commitments or (iv) the total Covered Debt Amount exceeding the Borrowing Base then in effect;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Swingline Lender shall not be required to make a Swingline Loan to refinance an outstanding Swingline Loan. Within the foregoing limits and subject to the terms and conditions set forth herein, the Borrower may borrow, prepay and reborrow Swingline Loans.</w:t>
      </w:r>
    </w:p>
    <w:p>
      <w:pPr>
        <w:spacing w:after="0" w:line="177" w:lineRule="exact"/>
        <w:rPr>
          <w:rFonts w:ascii="Arial" w:cs="Arial" w:eastAsia="Arial" w:hAnsi="Arial"/>
          <w:sz w:val="17"/>
          <w:szCs w:val="17"/>
          <w:color w:val="auto"/>
        </w:rPr>
      </w:pPr>
    </w:p>
    <w:p>
      <w:pPr>
        <w:ind w:right="40" w:firstLine="906"/>
        <w:spacing w:after="0" w:line="271" w:lineRule="auto"/>
        <w:tabs>
          <w:tab w:leader="none" w:pos="1153"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Notice of Swingline Loans by the Borrower</w:t>
      </w:r>
      <w:r>
        <w:rPr>
          <w:rFonts w:ascii="Arial" w:cs="Arial" w:eastAsia="Arial" w:hAnsi="Arial"/>
          <w:sz w:val="17"/>
          <w:szCs w:val="17"/>
          <w:color w:val="auto"/>
        </w:rPr>
        <w:t xml:space="preserve">. To request a Swingline Loan, the Borrower shall notify the Administrative Agent of such request by telephone (confirmed by telecopy) not later than 2:00 p.m., Atlanta, Georgia time, on the day of such proposed Swingline Loan. Each such notice shall be irrevocable and shall specify the requested date (which shall be a Business Day), the amount of the requested Swingline Loan and whether such Swingline Loan is to be made under the Dollar Commitments or the Multicurrency Commitments. The Administrative Agent will promptly advise the Swingline Lender of any such notice received from the Borrower. The Swingline Lender shall make each Swingline Loan available to the Borrower by means of a credit to the general deposit account of the Borrower with the Swingline Lender (or, in the case of a Swingline Loan made to finance the reimbursement of an LC Disbursement as provided in </w:t>
      </w:r>
      <w:r>
        <w:rPr>
          <w:rFonts w:ascii="Arial" w:cs="Arial" w:eastAsia="Arial" w:hAnsi="Arial"/>
          <w:sz w:val="17"/>
          <w:szCs w:val="17"/>
          <w:u w:val="single" w:color="auto"/>
          <w:color w:val="auto"/>
        </w:rPr>
        <w:t>Section 2.05(f)</w:t>
      </w:r>
      <w:r>
        <w:rPr>
          <w:rFonts w:ascii="Arial" w:cs="Arial" w:eastAsia="Arial" w:hAnsi="Arial"/>
          <w:sz w:val="17"/>
          <w:szCs w:val="17"/>
          <w:color w:val="auto"/>
        </w:rPr>
        <w:t>, by remittance to the Issuing Bank) by 3:00 p.m., Atlanta, Georgia time, on the requested date of such Swingline Loan.</w:t>
      </w:r>
    </w:p>
    <w:p>
      <w:pPr>
        <w:spacing w:after="0" w:line="178" w:lineRule="exact"/>
        <w:rPr>
          <w:rFonts w:ascii="Arial" w:cs="Arial" w:eastAsia="Arial" w:hAnsi="Arial"/>
          <w:sz w:val="17"/>
          <w:szCs w:val="17"/>
          <w:color w:val="auto"/>
        </w:rPr>
      </w:pPr>
    </w:p>
    <w:p>
      <w:pPr>
        <w:ind w:right="60" w:firstLine="906"/>
        <w:spacing w:after="0" w:line="255" w:lineRule="auto"/>
        <w:tabs>
          <w:tab w:leader="none" w:pos="1143"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Participations by Lenders in Swingline Loans</w:t>
      </w:r>
      <w:r>
        <w:rPr>
          <w:rFonts w:ascii="Arial" w:cs="Arial" w:eastAsia="Arial" w:hAnsi="Arial"/>
          <w:sz w:val="18"/>
          <w:szCs w:val="18"/>
          <w:color w:val="auto"/>
        </w:rPr>
        <w:t>. The Swingline Lender may by written notice given to the Administrative Agent not later than 10:00 a.m., Atlanta, Georgia time on any Business Day, require the Lenders of the applicable Class to acquire participations on such Business Day in all or a portion of the Swingline Loans of such Class outstanding. Such notice to the Administrative Agent shall specify the aggregate amount of Swingline Loans in which the applicable Lenders will participate. Promptly upon receipt of such notice, the Administrative Agent will give notice thereof to each applicable Lender, specifying in such notice such Lender’s Applicable Dollar Percentage or Applicable Multicurrency Percentage of such Swingline Loan or Loans. Each</w:t>
      </w:r>
    </w:p>
    <w:p>
      <w:pPr>
        <w:spacing w:after="0" w:line="12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274" w:right="339" w:bottom="1440" w:gutter="0" w:footer="0" w:header="0"/>
        </w:sectPr>
      </w:pPr>
    </w:p>
    <w:bookmarkStart w:id="49" w:name="page50"/>
    <w:bookmarkEnd w:id="49"/>
    <w:p>
      <w:pPr>
        <w:ind w:right="2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Lender hereby absolutely and unconditionally agrees, upon receipt of notice as provided above in this paragraph, to pay to the Administrative Agent, for account of the Swingline Lender, such Lender’s Applicable Dollar Percentage or Applicable Multicurrency Percentage, as the case may be, of such Swingline Loan or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be required to purchase a participation in a Swingline Loan pursuant to this </w:t>
      </w:r>
      <w:r>
        <w:rPr>
          <w:rFonts w:ascii="Arial" w:cs="Arial" w:eastAsia="Arial" w:hAnsi="Arial"/>
          <w:sz w:val="16"/>
          <w:szCs w:val="16"/>
          <w:u w:val="single" w:color="auto"/>
          <w:color w:val="auto"/>
        </w:rPr>
        <w:t>Section 2.04(c)</w:t>
      </w:r>
      <w:r>
        <w:rPr>
          <w:rFonts w:ascii="Arial" w:cs="Arial" w:eastAsia="Arial" w:hAnsi="Arial"/>
          <w:sz w:val="16"/>
          <w:szCs w:val="16"/>
          <w:color w:val="auto"/>
        </w:rPr>
        <w:t xml:space="preserve"> if</w:t>
      </w:r>
    </w:p>
    <w:p>
      <w:pPr>
        <w:spacing w:after="0" w:line="2" w:lineRule="exact"/>
        <w:rPr>
          <w:sz w:val="20"/>
          <w:szCs w:val="20"/>
          <w:color w:val="auto"/>
        </w:rPr>
      </w:pPr>
    </w:p>
    <w:p>
      <w:pPr>
        <w:ind w:right="20" w:firstLine="8"/>
        <w:spacing w:after="0" w:line="255" w:lineRule="auto"/>
        <w:tabs>
          <w:tab w:leader="none" w:pos="2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would not be satisfied in respect of a Borrowing at the time such Swingline Loan was made and (y) the Required Lenders of the respective Class shall have so notified the Swingline Lender in writing and shall not have subsequently determined that the circumstances giving rise to such conditions not being satisfied no longer exist.</w:t>
      </w:r>
    </w:p>
    <w:p>
      <w:pPr>
        <w:spacing w:after="0" w:line="190" w:lineRule="exact"/>
        <w:rPr>
          <w:sz w:val="20"/>
          <w:szCs w:val="20"/>
          <w:color w:val="auto"/>
        </w:rPr>
      </w:pPr>
    </w:p>
    <w:p>
      <w:pPr>
        <w:ind w:right="20" w:firstLine="898"/>
        <w:spacing w:after="0" w:line="268" w:lineRule="auto"/>
        <w:rPr>
          <w:sz w:val="20"/>
          <w:szCs w:val="20"/>
          <w:color w:val="auto"/>
        </w:rPr>
      </w:pPr>
      <w:r>
        <w:rPr>
          <w:rFonts w:ascii="Arial" w:cs="Arial" w:eastAsia="Arial" w:hAnsi="Arial"/>
          <w:sz w:val="17"/>
          <w:szCs w:val="17"/>
          <w:color w:val="auto"/>
        </w:rPr>
        <w:t xml:space="preserve">Subject to the foregoing, each Lender acknowledges and agrees that its obligation to acquire participations in Swingline Loans pursuant to this </w:t>
      </w:r>
      <w:r>
        <w:rPr>
          <w:rFonts w:ascii="Arial" w:cs="Arial" w:eastAsia="Arial" w:hAnsi="Arial"/>
          <w:sz w:val="17"/>
          <w:szCs w:val="17"/>
          <w:u w:val="single" w:color="auto"/>
          <w:color w:val="auto"/>
        </w:rPr>
        <w:t>paragraph (c)</w:t>
      </w:r>
      <w:r>
        <w:rPr>
          <w:rFonts w:ascii="Arial" w:cs="Arial" w:eastAsia="Arial" w:hAnsi="Arial"/>
          <w:sz w:val="17"/>
          <w:szCs w:val="17"/>
          <w:color w:val="auto"/>
        </w:rPr>
        <w:t xml:space="preserve"> is absolute and unconditional and shall not be affected by any circumstance whatsoever, including the occurrence and continuance of a Default or reduction or termination of the Commitments of the respective Class, and that each such payment shall be made without any offset, abatement, withholding or reduction whatsoever. Each Lender shall comply with its obligation under this paragraph by wire transfer of immediately available funds, in the same manner as provided in </w:t>
      </w:r>
      <w:r>
        <w:rPr>
          <w:rFonts w:ascii="Arial" w:cs="Arial" w:eastAsia="Arial" w:hAnsi="Arial"/>
          <w:sz w:val="17"/>
          <w:szCs w:val="17"/>
          <w:u w:val="single" w:color="auto"/>
          <w:color w:val="auto"/>
        </w:rPr>
        <w:t>Section 2.06</w:t>
      </w:r>
      <w:r>
        <w:rPr>
          <w:rFonts w:ascii="Arial" w:cs="Arial" w:eastAsia="Arial" w:hAnsi="Arial"/>
          <w:sz w:val="17"/>
          <w:szCs w:val="17"/>
          <w:color w:val="auto"/>
        </w:rPr>
        <w:t xml:space="preserve"> with respect to Loans made by such Lender (and </w:t>
      </w:r>
      <w:r>
        <w:rPr>
          <w:rFonts w:ascii="Arial" w:cs="Arial" w:eastAsia="Arial" w:hAnsi="Arial"/>
          <w:sz w:val="17"/>
          <w:szCs w:val="17"/>
          <w:u w:val="single" w:color="auto"/>
          <w:color w:val="auto"/>
        </w:rPr>
        <w:t>Section 2.06</w:t>
      </w:r>
      <w:r>
        <w:rPr>
          <w:rFonts w:ascii="Arial" w:cs="Arial" w:eastAsia="Arial" w:hAnsi="Arial"/>
          <w:sz w:val="17"/>
          <w:szCs w:val="17"/>
          <w:color w:val="auto"/>
        </w:rPr>
        <w:t xml:space="preserve"> shall apply, </w:t>
      </w:r>
      <w:r>
        <w:rPr>
          <w:rFonts w:ascii="Arial" w:cs="Arial" w:eastAsia="Arial" w:hAnsi="Arial"/>
          <w:sz w:val="17"/>
          <w:szCs w:val="17"/>
          <w:u w:val="single" w:color="auto"/>
          <w:color w:val="auto"/>
        </w:rPr>
        <w:t>mutatis mutandis</w:t>
      </w:r>
      <w:r>
        <w:rPr>
          <w:rFonts w:ascii="Arial" w:cs="Arial" w:eastAsia="Arial" w:hAnsi="Arial"/>
          <w:sz w:val="17"/>
          <w:szCs w:val="17"/>
          <w:color w:val="auto"/>
        </w:rPr>
        <w:t>, to the payment obligations of the Lenders), and the Administrative Agent shall promptly pay to the Swingline Lender the amounts so received by it from the Lenders. The Administrative Agent shall notify the Borrower of any participations in any Swingline Loan acquired pursuant to this paragraph, and thereafter payments in respect of such Swingline Loan shall be made to the Administrative Agent and not to the Swingline Lender. Any amounts received by the Swingline Lender from the Borrower (or other party on behalf of the Borrower) in respect of a Swingline Loan after receipt by the Swingline Lender of the proceeds of a sale of participations therein shall be promptly remitted to the Administrative Agent; any such amounts received by the Administrative Agent shall be promptly remitted by the Administrative Agent to the Lenders that shall have made their payments pursuant to this paragraph and to the Swingline Lender, as their interests may appear. The purchase of participations in a Swingline Loan pursuant to this paragraph shall not relieve the Borrower of any default in the payment thereof.</w:t>
      </w:r>
    </w:p>
    <w:p>
      <w:pPr>
        <w:spacing w:after="0" w:line="186" w:lineRule="exact"/>
        <w:rPr>
          <w:sz w:val="20"/>
          <w:szCs w:val="20"/>
          <w:color w:val="auto"/>
        </w:rPr>
      </w:pPr>
    </w:p>
    <w:p>
      <w:pPr>
        <w:ind w:firstLine="906"/>
        <w:spacing w:after="0" w:line="269" w:lineRule="auto"/>
        <w:tabs>
          <w:tab w:leader="none" w:pos="1153"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Resignation and Replacement of Swingline Lender</w:t>
      </w:r>
      <w:r>
        <w:rPr>
          <w:rFonts w:ascii="Arial" w:cs="Arial" w:eastAsia="Arial" w:hAnsi="Arial"/>
          <w:sz w:val="17"/>
          <w:szCs w:val="17"/>
          <w:color w:val="auto"/>
        </w:rPr>
        <w:t xml:space="preserve">. The Swingline Lender may resign and be replaced at any time by written agreement among the Borrower, the Administrative Agent, the resigning Swingline Lender and the successor Swingline Lender. The Administrative Agent shall notify the Lenders of any such resignation and replacement of the Swingline Lender. In addition to the foregoing, if a Lender becomes, and during the period it remains, a Defaulting Lender, and if any Default has arisen from a failure of the Borrower to comply with </w:t>
      </w:r>
      <w:r>
        <w:rPr>
          <w:rFonts w:ascii="Arial" w:cs="Arial" w:eastAsia="Arial" w:hAnsi="Arial"/>
          <w:sz w:val="17"/>
          <w:szCs w:val="17"/>
          <w:u w:val="single" w:color="auto"/>
          <w:color w:val="auto"/>
        </w:rPr>
        <w:t>Section 2.19(a)</w:t>
      </w:r>
      <w:r>
        <w:rPr>
          <w:rFonts w:ascii="Arial" w:cs="Arial" w:eastAsia="Arial" w:hAnsi="Arial"/>
          <w:sz w:val="17"/>
          <w:szCs w:val="17"/>
          <w:color w:val="auto"/>
        </w:rPr>
        <w:t>, then the Swingline Lender may, upon prior written notice to the Borrower and the Administrative Agent, resign as Swingline Lender, effective at the close of business Atlanta, Georgia time on a date specified in such notice (which date may not be less than five (5) Business Days after the date of such notice). On or after the effective date of any such resignation, the Borrower and the Administrative Agent may, by written agreement, appoint a successor Swingline Lender. The Administrative Agent shall notify the Lenders of any such appointment of a successor Swingline Lender. Upon the effectiveness of any resignation of the Swingline Lender, the Borrower shall repay in full all outstanding Swingline Loans together with all accrued interest thereon. From and after the effective date of the appointment of a successor Swingline Lender,</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274" w:right="339" w:bottom="1440" w:gutter="0" w:footer="0" w:header="0"/>
        </w:sectPr>
      </w:pPr>
    </w:p>
    <w:bookmarkStart w:id="50" w:name="page51"/>
    <w:bookmarkEnd w:id="50"/>
    <w:p>
      <w:pPr>
        <w:ind w:right="260" w:firstLine="8"/>
        <w:spacing w:after="0" w:line="279" w:lineRule="auto"/>
        <w:tabs>
          <w:tab w:leader="none" w:pos="215" w:val="left"/>
        </w:tabs>
        <w:numPr>
          <w:ilvl w:val="0"/>
          <w:numId w:val="3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successor Swingline Lender shall have all the rights and obligations of the replaced Swingline Lender under this Agreement with respect to Swingline Loans to be made thereafter and (ii) references herein to the term “Swingline Lender” shall be deemed to refer to such successor or to any previous Swingline Lender, or to such successor and all previous Swingline Lenders, as the context shall require. After the replacement of the Swingline Lender hereunder, the replaced Swingline Lender shall have no obligation to make additional Swingline Loans.</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Letters of Credit</w:t>
      </w:r>
      <w:r>
        <w:rPr>
          <w:rFonts w:ascii="Arial" w:cs="Arial" w:eastAsia="Arial" w:hAnsi="Arial"/>
          <w:sz w:val="18"/>
          <w:szCs w:val="18"/>
          <w:color w:val="auto"/>
        </w:rPr>
        <w:t>.</w:t>
      </w:r>
    </w:p>
    <w:p>
      <w:pPr>
        <w:spacing w:after="0" w:line="225" w:lineRule="exact"/>
        <w:rPr>
          <w:sz w:val="20"/>
          <w:szCs w:val="20"/>
          <w:color w:val="auto"/>
        </w:rPr>
      </w:pPr>
    </w:p>
    <w:p>
      <w:pPr>
        <w:ind w:right="220" w:firstLine="906"/>
        <w:spacing w:after="0" w:line="275" w:lineRule="auto"/>
        <w:tabs>
          <w:tab w:leader="none" w:pos="1143" w:val="left"/>
        </w:tabs>
        <w:numPr>
          <w:ilvl w:val="1"/>
          <w:numId w:val="34"/>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xml:space="preserve">. Subject to the terms and conditions set forth herein, in addition to the Loans provided for in </w:t>
      </w:r>
      <w:r>
        <w:rPr>
          <w:rFonts w:ascii="Arial" w:cs="Arial" w:eastAsia="Arial" w:hAnsi="Arial"/>
          <w:sz w:val="17"/>
          <w:szCs w:val="17"/>
          <w:u w:val="single" w:color="auto"/>
          <w:color w:val="auto"/>
        </w:rPr>
        <w:t>Section 2.01</w:t>
      </w:r>
      <w:r>
        <w:rPr>
          <w:rFonts w:ascii="Arial" w:cs="Arial" w:eastAsia="Arial" w:hAnsi="Arial"/>
          <w:sz w:val="17"/>
          <w:szCs w:val="17"/>
          <w:color w:val="auto"/>
        </w:rPr>
        <w:t>, the Borrower may request the Issuing Bank to issue, at any time and from time to time during the Availability Period and under either the Dollar Commitments or Multicurrency Commitments, Letters of Credit denominated in Dollars or (in the case of Letters of Credit under the Multicurrency Commitments) in any Agreed Foreign Currency for its own account in such form as is acceptable to the Issuing Bank in its reasonable determination. Letters of Credit issued hereunder shall constitute utilization of the Commitments up to the aggregate amount available to be drawn thereunder.</w:t>
      </w:r>
    </w:p>
    <w:p>
      <w:pPr>
        <w:spacing w:after="0" w:line="176" w:lineRule="exact"/>
        <w:rPr>
          <w:rFonts w:ascii="Arial" w:cs="Arial" w:eastAsia="Arial" w:hAnsi="Arial"/>
          <w:sz w:val="17"/>
          <w:szCs w:val="17"/>
          <w:color w:val="auto"/>
        </w:rPr>
      </w:pPr>
    </w:p>
    <w:p>
      <w:pPr>
        <w:ind w:right="40" w:firstLine="906"/>
        <w:spacing w:after="0" w:line="269" w:lineRule="auto"/>
        <w:tabs>
          <w:tab w:leader="none" w:pos="1153" w:val="left"/>
        </w:tabs>
        <w:numPr>
          <w:ilvl w:val="1"/>
          <w:numId w:val="34"/>
        </w:numPr>
        <w:rPr>
          <w:rFonts w:ascii="Arial" w:cs="Arial" w:eastAsia="Arial" w:hAnsi="Arial"/>
          <w:sz w:val="17"/>
          <w:szCs w:val="17"/>
          <w:color w:val="auto"/>
        </w:rPr>
      </w:pPr>
      <w:r>
        <w:rPr>
          <w:rFonts w:ascii="Arial" w:cs="Arial" w:eastAsia="Arial" w:hAnsi="Arial"/>
          <w:sz w:val="17"/>
          <w:szCs w:val="17"/>
          <w:u w:val="single" w:color="auto"/>
          <w:color w:val="auto"/>
        </w:rPr>
        <w:t>Notice of Issuance, Amendment, Renewal or Extension</w:t>
      </w:r>
      <w:r>
        <w:rPr>
          <w:rFonts w:ascii="Arial" w:cs="Arial" w:eastAsia="Arial" w:hAnsi="Arial"/>
          <w:sz w:val="17"/>
          <w:szCs w:val="17"/>
          <w:color w:val="auto"/>
        </w:rPr>
        <w:t xml:space="preserve">. To request the issuance of a Letter of Credit (or the amendment, renewal or extension of an outstanding Letter of Credit), the Borrower shall hand deliver or telecopy (or transmit by electronic communication, if arrangements for doing so have been approved by the Issuing Bank) to the Issuing Bank and the Administrative Agent (reasonably in advance of the requested date of issuance, amendment, renewal or extension)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w:t>
      </w:r>
      <w:r>
        <w:rPr>
          <w:rFonts w:ascii="Arial" w:cs="Arial" w:eastAsia="Arial" w:hAnsi="Arial"/>
          <w:sz w:val="17"/>
          <w:szCs w:val="17"/>
          <w:u w:val="single" w:color="auto"/>
          <w:color w:val="auto"/>
        </w:rPr>
        <w:t>paragraph (d)</w:t>
      </w:r>
      <w:r>
        <w:rPr>
          <w:rFonts w:ascii="Arial" w:cs="Arial" w:eastAsia="Arial" w:hAnsi="Arial"/>
          <w:sz w:val="17"/>
          <w:szCs w:val="17"/>
          <w:color w:val="auto"/>
        </w:rPr>
        <w:t xml:space="preserve"> of this Section), the amount and Currency of such Letter of Credit, whether such Letter of Credit is to be issued under the Dollar Commitments or the Multicurrency Commitments, the name and address of the beneficiary thereof and such other information as shall be necessary to prepare, amend, renew or extend such Letter of Credit. If requested by the Issuing Bank, the Borrower also shall submit a letter of credit application on the Issuing Bank’s standard form in connection with any request for a Letter of Credit. In the event of any inconsistency between the terms and conditions of this Agreement and the terms and conditions of any form of letter of credit application or other agreement submitted by the Borrower to, or entered into by the Borrower with, the Issuing Bank relating to any Letter of Credit, the terms and conditions of this Agreement shall control.</w:t>
      </w:r>
    </w:p>
    <w:p>
      <w:pPr>
        <w:spacing w:after="0" w:line="178" w:lineRule="exact"/>
        <w:rPr>
          <w:rFonts w:ascii="Arial" w:cs="Arial" w:eastAsia="Arial" w:hAnsi="Arial"/>
          <w:sz w:val="17"/>
          <w:szCs w:val="17"/>
          <w:color w:val="auto"/>
        </w:rPr>
      </w:pPr>
    </w:p>
    <w:p>
      <w:pPr>
        <w:ind w:right="20" w:firstLine="906"/>
        <w:spacing w:after="0" w:line="285" w:lineRule="auto"/>
        <w:tabs>
          <w:tab w:leader="none" w:pos="1143" w:val="left"/>
        </w:tabs>
        <w:numPr>
          <w:ilvl w:val="1"/>
          <w:numId w:val="34"/>
        </w:numPr>
        <w:rPr>
          <w:rFonts w:ascii="Arial" w:cs="Arial" w:eastAsia="Arial" w:hAnsi="Arial"/>
          <w:sz w:val="16"/>
          <w:szCs w:val="16"/>
          <w:color w:val="auto"/>
        </w:rPr>
      </w:pPr>
      <w:r>
        <w:rPr>
          <w:rFonts w:ascii="Arial" w:cs="Arial" w:eastAsia="Arial" w:hAnsi="Arial"/>
          <w:sz w:val="16"/>
          <w:szCs w:val="16"/>
          <w:u w:val="single" w:color="auto"/>
          <w:color w:val="auto"/>
        </w:rPr>
        <w:t>Limitations on Amounts</w:t>
      </w:r>
      <w:r>
        <w:rPr>
          <w:rFonts w:ascii="Arial" w:cs="Arial" w:eastAsia="Arial" w:hAnsi="Arial"/>
          <w:sz w:val="16"/>
          <w:szCs w:val="16"/>
          <w:color w:val="auto"/>
        </w:rPr>
        <w:t xml:space="preserve">. A Letter of Credit shall be issued, amended, renewed or extended only if (and upon issuance, amendment, renewal or extension of each Letter of Credit the Borrower shall be deemed to represent and warrant that), after giving effect to such issuance, amendment, renewal or extension (i) the aggregate LC Exposure of the Issuing Bank (determined for these purposes without giving effect to the participations therein of the Lenders pursuant to </w:t>
      </w:r>
      <w:r>
        <w:rPr>
          <w:rFonts w:ascii="Arial" w:cs="Arial" w:eastAsia="Arial" w:hAnsi="Arial"/>
          <w:sz w:val="16"/>
          <w:szCs w:val="16"/>
          <w:u w:val="single" w:color="auto"/>
          <w:color w:val="auto"/>
        </w:rPr>
        <w:t>paragraph (e)</w:t>
      </w:r>
      <w:r>
        <w:rPr>
          <w:rFonts w:ascii="Arial" w:cs="Arial" w:eastAsia="Arial" w:hAnsi="Arial"/>
          <w:sz w:val="16"/>
          <w:szCs w:val="16"/>
          <w:color w:val="auto"/>
        </w:rPr>
        <w:t xml:space="preserve"> of this Section) shall not exceed $50,000,000, (ii) the total Revolving Dollar Credit Exposures shall not exceed the aggregate Dollar Commitments, (iii) the total Revolving Multicurrency Credit Exposures shall not exceed the aggregate Multicurrency Commitments and</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total Covered Debt Amount shall not exceed the Borrowing Base then in effect.</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274" w:right="339" w:bottom="1440" w:gutter="0" w:footer="0" w:header="0"/>
        </w:sectPr>
      </w:pPr>
    </w:p>
    <w:bookmarkStart w:id="51" w:name="page52"/>
    <w:bookmarkEnd w:id="51"/>
    <w:p>
      <w:pPr>
        <w:ind w:firstLine="906"/>
        <w:spacing w:after="0" w:line="285" w:lineRule="auto"/>
        <w:tabs>
          <w:tab w:leader="none" w:pos="1153" w:val="left"/>
        </w:tabs>
        <w:numPr>
          <w:ilvl w:val="1"/>
          <w:numId w:val="3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Expiration Date</w:t>
      </w:r>
      <w:r>
        <w:rPr>
          <w:rFonts w:ascii="Arial" w:cs="Arial" w:eastAsia="Arial" w:hAnsi="Arial"/>
          <w:sz w:val="16"/>
          <w:szCs w:val="16"/>
          <w:color w:val="auto"/>
        </w:rPr>
        <w:t xml:space="preserve">. Each Letter of Credit shall expire at or prior to the close of business on the date twelve months after the date of the issuance of such Letter of Credit (or, in the case of any renewal or extension thereof, twelve months after the then-current expiration date of such Letter of Credit, so long as such renewal or extension occurs within three months of such then-current expiration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Letter of Credit with a one-year term may provide for the renewal thereof for additional one-year periods. No Letter of Credit may be renewed following the earlier to occur of the Commitment Termination Date and the Termination Date, except to the extent that the relevant Letter of Credit is Cash Collateralized no later than five</w:t>
      </w:r>
    </w:p>
    <w:p>
      <w:pPr>
        <w:spacing w:after="0" w:line="1" w:lineRule="exact"/>
        <w:rPr>
          <w:rFonts w:ascii="Arial" w:cs="Arial" w:eastAsia="Arial" w:hAnsi="Arial"/>
          <w:sz w:val="16"/>
          <w:szCs w:val="16"/>
          <w:color w:val="auto"/>
        </w:rPr>
      </w:pPr>
    </w:p>
    <w:p>
      <w:pPr>
        <w:ind w:right="420" w:firstLine="8"/>
        <w:spacing w:after="0" w:line="260" w:lineRule="auto"/>
        <w:tabs>
          <w:tab w:leader="none" w:pos="2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Business Days prior to the Commitment Termination Date or Termination Date, as applicable, or supported by another letter of credit, in each case pursuant to arrangements reasonably satisfactory to the Issuing Bank and the Administrative Agent.</w:t>
      </w:r>
    </w:p>
    <w:p>
      <w:pPr>
        <w:spacing w:after="0" w:line="185" w:lineRule="exact"/>
        <w:rPr>
          <w:rFonts w:ascii="Arial" w:cs="Arial" w:eastAsia="Arial" w:hAnsi="Arial"/>
          <w:sz w:val="18"/>
          <w:szCs w:val="18"/>
          <w:color w:val="auto"/>
        </w:rPr>
      </w:pPr>
    </w:p>
    <w:p>
      <w:pPr>
        <w:ind w:right="80" w:firstLine="906"/>
        <w:spacing w:after="0" w:line="288" w:lineRule="auto"/>
        <w:tabs>
          <w:tab w:leader="none" w:pos="1143" w:val="left"/>
        </w:tabs>
        <w:numPr>
          <w:ilvl w:val="1"/>
          <w:numId w:val="37"/>
        </w:numPr>
        <w:rPr>
          <w:rFonts w:ascii="Arial" w:cs="Arial" w:eastAsia="Arial" w:hAnsi="Arial"/>
          <w:sz w:val="16"/>
          <w:szCs w:val="16"/>
          <w:color w:val="auto"/>
        </w:rPr>
      </w:pPr>
      <w:r>
        <w:rPr>
          <w:rFonts w:ascii="Arial" w:cs="Arial" w:eastAsia="Arial" w:hAnsi="Arial"/>
          <w:sz w:val="16"/>
          <w:szCs w:val="16"/>
          <w:u w:val="single" w:color="auto"/>
          <w:color w:val="auto"/>
        </w:rPr>
        <w:t>Participations</w:t>
      </w:r>
      <w:r>
        <w:rPr>
          <w:rFonts w:ascii="Arial" w:cs="Arial" w:eastAsia="Arial" w:hAnsi="Arial"/>
          <w:sz w:val="16"/>
          <w:szCs w:val="16"/>
          <w:color w:val="auto"/>
        </w:rPr>
        <w:t xml:space="preserve">. By the issuance of a Letter of Credit of a Class (or an amendment to a Letter of Credit increasing the amount thereof) by the Issuing Bank, and without any further action on the part of the Issuing Bank or the Lenders, the Issuing Bank hereby grants to each Lender of such Class, and each Lender of such Class hereby acquires from the Issuing Bank, a participation in such Letter of Credit equal to such Lender’s Applicable Dollar Percentage or Applicable Multicurrency Percentage, as the case may be, of the aggregate amount available to be drawn under such Letter of Credit. Each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applicable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be required to purchase a participation in a Letter of Credit pursuant to this </w:t>
      </w:r>
      <w:r>
        <w:rPr>
          <w:rFonts w:ascii="Arial" w:cs="Arial" w:eastAsia="Arial" w:hAnsi="Arial"/>
          <w:sz w:val="16"/>
          <w:szCs w:val="16"/>
          <w:u w:val="single" w:color="auto"/>
          <w:color w:val="auto"/>
        </w:rPr>
        <w:t>Section 2.05(e)</w:t>
      </w:r>
      <w:r>
        <w:rPr>
          <w:rFonts w:ascii="Arial" w:cs="Arial" w:eastAsia="Arial" w:hAnsi="Arial"/>
          <w:sz w:val="16"/>
          <w:szCs w:val="16"/>
          <w:color w:val="auto"/>
        </w:rPr>
        <w:t xml:space="preserve"> if (x)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would not be satisfied in respect of a Borrowing at the time such Letter of Credit was issued and (y) the Required Lenders of the respective Class shall have so notified the Issuing Bank in writing and shall not have subsequently determined that the circumstances giving rise to such conditions not being satisfied no longer exist.</w:t>
      </w:r>
    </w:p>
    <w:p>
      <w:pPr>
        <w:spacing w:after="0" w:line="168" w:lineRule="exact"/>
        <w:rPr>
          <w:sz w:val="20"/>
          <w:szCs w:val="20"/>
          <w:color w:val="auto"/>
        </w:rPr>
      </w:pPr>
    </w:p>
    <w:p>
      <w:pPr>
        <w:ind w:right="60" w:firstLine="898"/>
        <w:spacing w:after="0" w:line="269" w:lineRule="auto"/>
        <w:rPr>
          <w:sz w:val="20"/>
          <w:szCs w:val="20"/>
          <w:color w:val="auto"/>
        </w:rPr>
      </w:pPr>
      <w:r>
        <w:rPr>
          <w:rFonts w:ascii="Arial" w:cs="Arial" w:eastAsia="Arial" w:hAnsi="Arial"/>
          <w:sz w:val="17"/>
          <w:szCs w:val="17"/>
          <w:color w:val="auto"/>
        </w:rPr>
        <w:t xml:space="preserve">In consideration and in furtherance of the foregoing, each Lender of a Class hereby absolutely and unconditionally agrees to pay to the Administrative Agent, for account of the Issuing Bank, such Lender’s Applicable Dollar Percentage or Applicable Multicurrency Percentage, as the case may be, of each LC Disbursement made by the Issuing Bank in respect of Letters of Credit of such Class promptly upon the request of the Issuing Bank at any time from the time of such LC Disbursement until such LC Disbursement is reimbursed by the Borrower or at any time after any reimbursement payment is required to be refunded to the Borrower for any reason. Such payment shall be made without any offset, abatement, withholding or reduction whatsoever. Each such payment shall be made in the same manner as provided in </w:t>
      </w:r>
      <w:r>
        <w:rPr>
          <w:rFonts w:ascii="Arial" w:cs="Arial" w:eastAsia="Arial" w:hAnsi="Arial"/>
          <w:sz w:val="17"/>
          <w:szCs w:val="17"/>
          <w:u w:val="single" w:color="auto"/>
          <w:color w:val="auto"/>
        </w:rPr>
        <w:t>Section 2.06</w:t>
      </w:r>
      <w:r>
        <w:rPr>
          <w:rFonts w:ascii="Arial" w:cs="Arial" w:eastAsia="Arial" w:hAnsi="Arial"/>
          <w:sz w:val="17"/>
          <w:szCs w:val="17"/>
          <w:color w:val="auto"/>
        </w:rPr>
        <w:t xml:space="preserve"> with respect to Loans made by such Lender (and </w:t>
      </w:r>
      <w:r>
        <w:rPr>
          <w:rFonts w:ascii="Arial" w:cs="Arial" w:eastAsia="Arial" w:hAnsi="Arial"/>
          <w:sz w:val="17"/>
          <w:szCs w:val="17"/>
          <w:u w:val="single" w:color="auto"/>
          <w:color w:val="auto"/>
        </w:rPr>
        <w:t>Section 2.06</w:t>
      </w:r>
      <w:r>
        <w:rPr>
          <w:rFonts w:ascii="Arial" w:cs="Arial" w:eastAsia="Arial" w:hAnsi="Arial"/>
          <w:sz w:val="17"/>
          <w:szCs w:val="17"/>
          <w:color w:val="auto"/>
        </w:rPr>
        <w:t xml:space="preserve"> shall apply, </w:t>
      </w:r>
      <w:r>
        <w:rPr>
          <w:rFonts w:ascii="Arial" w:cs="Arial" w:eastAsia="Arial" w:hAnsi="Arial"/>
          <w:sz w:val="17"/>
          <w:szCs w:val="17"/>
          <w:u w:val="single" w:color="auto"/>
          <w:color w:val="auto"/>
        </w:rPr>
        <w:t>mutatis mutandis</w:t>
      </w:r>
      <w:r>
        <w:rPr>
          <w:rFonts w:ascii="Arial" w:cs="Arial" w:eastAsia="Arial" w:hAnsi="Arial"/>
          <w:sz w:val="17"/>
          <w:szCs w:val="17"/>
          <w:color w:val="auto"/>
        </w:rPr>
        <w:t>, to the payment obligations of the Lenders), and the Administrative Agent shall promptly pay to the Issuing Bank the amounts so received by it from the Lenders. Promptly following receipt by the Administrative Agent of any payment from the Borrower pursuant to the next following paragraph, the Administrative Agent shall distribute such payment to the Issuing Bank or, to the extent that the Lenders have made payments pursuant to this paragraph to reimburse the Issuing Bank, then</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274" w:right="339" w:bottom="1440" w:gutter="0" w:footer="0" w:header="0"/>
        </w:sectPr>
      </w:pPr>
    </w:p>
    <w:bookmarkStart w:id="52" w:name="page53"/>
    <w:bookmarkEnd w:id="52"/>
    <w:p>
      <w:pPr>
        <w:ind w:right="3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such Lenders and the Issuing Bank as their interests may appear. Any payment made by a Lender pursuant to this paragraph to reimburse the Issuing Bank for any LC Disbursement shall not constitute a Loan and shall not relieve the Borrower of its obligation to reimburse such LC Disbursement.</w:t>
      </w:r>
    </w:p>
    <w:p>
      <w:pPr>
        <w:spacing w:after="0" w:line="124" w:lineRule="exact"/>
        <w:rPr>
          <w:sz w:val="20"/>
          <w:szCs w:val="20"/>
          <w:color w:val="auto"/>
        </w:rPr>
      </w:pPr>
    </w:p>
    <w:p>
      <w:pPr>
        <w:ind w:right="40" w:firstLine="906"/>
        <w:spacing w:after="0" w:line="271" w:lineRule="auto"/>
        <w:tabs>
          <w:tab w:leader="none" w:pos="1123"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Reimbursement</w:t>
      </w:r>
      <w:r>
        <w:rPr>
          <w:rFonts w:ascii="Arial" w:cs="Arial" w:eastAsia="Arial" w:hAnsi="Arial"/>
          <w:sz w:val="17"/>
          <w:szCs w:val="17"/>
          <w:color w:val="auto"/>
        </w:rPr>
        <w:t xml:space="preserve">. If the Issuing Bank shall make any LC Disbursement in respect of a Letter of Credit, the Borrower shall reimburse the Issuing Bank in respect of such LC Disbursement by paying to the Administrative Agent an amount equal to such LC Disbursement not later than 11:00 a.m., Atlanta, Georgia time, on (i) the Business Day that the Borrower receives notice of such LC Disbursement, if such notice is received prior to 10:00 a.m., Atlanta, Georgia time, or (ii) the Business Day immediately following the day that the Borrower receives such notice, if such notice is not received prior to such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LC Disbursement is not less than $1,000,000 and is denominated in Dollars, the Borrower may, subject to the conditions to borrowing set forth herein, request in accordance with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2.04</w:t>
      </w:r>
      <w:r>
        <w:rPr>
          <w:rFonts w:ascii="Arial" w:cs="Arial" w:eastAsia="Arial" w:hAnsi="Arial"/>
          <w:sz w:val="17"/>
          <w:szCs w:val="17"/>
          <w:color w:val="auto"/>
        </w:rPr>
        <w:t xml:space="preserve"> that such payment be financed with a Syndicated ABR Borrowing or a Swingline Loan of the respective Class in an equivalent amount and, to the extent so financed, the Borrower’s obligation to make such payment shall be discharged and replaced by the resulting Syndicated ABR Borrowing or Swingline Loan.</w:t>
      </w:r>
    </w:p>
    <w:p>
      <w:pPr>
        <w:spacing w:after="0" w:line="178" w:lineRule="exact"/>
        <w:rPr>
          <w:sz w:val="20"/>
          <w:szCs w:val="20"/>
          <w:color w:val="auto"/>
        </w:rPr>
      </w:pPr>
    </w:p>
    <w:p>
      <w:pPr>
        <w:ind w:right="280" w:firstLine="898"/>
        <w:spacing w:after="0" w:line="263" w:lineRule="auto"/>
        <w:rPr>
          <w:sz w:val="20"/>
          <w:szCs w:val="20"/>
          <w:color w:val="auto"/>
        </w:rPr>
      </w:pPr>
      <w:r>
        <w:rPr>
          <w:rFonts w:ascii="Arial" w:cs="Arial" w:eastAsia="Arial" w:hAnsi="Arial"/>
          <w:sz w:val="18"/>
          <w:szCs w:val="18"/>
          <w:color w:val="auto"/>
        </w:rPr>
        <w:t>If the Borrower fails to make such payment when due, the Administrative Agent shall notify each applicable Lender of the applicable LC Disbursement, the payment then due from the Borrower in respect thereof and such Lender’s Applicable Dollar Percentage or Applicable Multicurrency Percentage, as the case may be, thereof.</w:t>
      </w:r>
    </w:p>
    <w:p>
      <w:pPr>
        <w:spacing w:after="0" w:line="184" w:lineRule="exact"/>
        <w:rPr>
          <w:sz w:val="20"/>
          <w:szCs w:val="20"/>
          <w:color w:val="auto"/>
        </w:rPr>
      </w:pPr>
    </w:p>
    <w:p>
      <w:pPr>
        <w:ind w:right="20" w:firstLine="906"/>
        <w:spacing w:after="0" w:line="272" w:lineRule="auto"/>
        <w:tabs>
          <w:tab w:leader="none" w:pos="1153"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Obligations Absolute</w:t>
      </w:r>
      <w:r>
        <w:rPr>
          <w:rFonts w:ascii="Arial" w:cs="Arial" w:eastAsia="Arial" w:hAnsi="Arial"/>
          <w:sz w:val="17"/>
          <w:szCs w:val="17"/>
          <w:color w:val="auto"/>
        </w:rPr>
        <w:t xml:space="preserve">. The Borrower’s obligation to reimburse LC Disbursements as provided in </w:t>
      </w:r>
      <w:r>
        <w:rPr>
          <w:rFonts w:ascii="Arial" w:cs="Arial" w:eastAsia="Arial" w:hAnsi="Arial"/>
          <w:sz w:val="17"/>
          <w:szCs w:val="17"/>
          <w:u w:val="single" w:color="auto"/>
          <w:color w:val="auto"/>
        </w:rPr>
        <w:t>paragraph (f)</w:t>
      </w:r>
      <w:r>
        <w:rPr>
          <w:rFonts w:ascii="Arial" w:cs="Arial" w:eastAsia="Arial" w:hAnsi="Arial"/>
          <w:sz w:val="17"/>
          <w:szCs w:val="17"/>
          <w:color w:val="auto"/>
        </w:rPr>
        <w:t xml:space="preserve"> of this Section shall be absolute, unconditional and irrevocable, and shall be performed strictly in accordance with the terms of this Agreement under any and all circumstances whatsoever and irrespective of (i) any lack of validity or enforceability of any Letter of Credit, or any term or provision therein, (ii) any draft or other document presented under a Letter of Credit proving to be forged, fraudulent or invalid in any respect or any statement therein being untrue or inaccurate in any respect, (iii) payment by the Issuing Bank under a Letter of Credit against presentation of a draft or other document that does not comply strictly with the terms of such Letter of Credit, and (iv) any other event or circumstance whatsoever, whether or not similar to any of the foregoing, that might, but for the provisions of this Section, constitute a legal or equitable discharge of the Borrower’s obligations hereunder.</w:t>
      </w:r>
    </w:p>
    <w:p>
      <w:pPr>
        <w:spacing w:after="0" w:line="177" w:lineRule="exact"/>
        <w:rPr>
          <w:sz w:val="20"/>
          <w:szCs w:val="20"/>
          <w:color w:val="auto"/>
        </w:rPr>
      </w:pPr>
    </w:p>
    <w:p>
      <w:pPr>
        <w:ind w:right="20" w:firstLine="898"/>
        <w:spacing w:after="0" w:line="291" w:lineRule="auto"/>
        <w:rPr>
          <w:sz w:val="20"/>
          <w:szCs w:val="20"/>
          <w:color w:val="auto"/>
        </w:rPr>
      </w:pPr>
      <w:r>
        <w:rPr>
          <w:rFonts w:ascii="Arial" w:cs="Arial" w:eastAsia="Arial" w:hAnsi="Arial"/>
          <w:sz w:val="16"/>
          <w:szCs w:val="16"/>
          <w:color w:val="auto"/>
        </w:rPr>
        <w:t xml:space="preserve">Neither the Administrative Agent, the Lenders nor the Issuing Bank, nor any of their Related Parties, shall have any liability or responsibility by reason of or in connection with the issuance or transfer of any Letter of Credit by the Issuing Bank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Issuing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be construed to excuse the Issuing Bank from liability to the Borrower to the extent of any direct damages (as opposed to consequential damages, claims in respect of which are hereby waived by the Borrower to the extent permitted by applicable law)</w:t>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274" w:right="339" w:bottom="1440" w:gutter="0" w:footer="0" w:header="0"/>
        </w:sectPr>
      </w:pPr>
    </w:p>
    <w:bookmarkStart w:id="53" w:name="page54"/>
    <w:bookmarkEnd w:id="53"/>
    <w:p>
      <w:pPr>
        <w:ind w:right="7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suffered by the Borrower that are caused by the Issuing Bank’s gross negligence or willful misconduct when determining whether drafts and other documents presented under a Letter of Credit comply with the terms thereof. The parties hereto expressly agree that:</w:t>
      </w:r>
    </w:p>
    <w:p>
      <w:pPr>
        <w:spacing w:after="0" w:line="38" w:lineRule="exact"/>
        <w:rPr>
          <w:sz w:val="20"/>
          <w:szCs w:val="20"/>
          <w:color w:val="auto"/>
        </w:rPr>
      </w:pPr>
    </w:p>
    <w:p>
      <w:pPr>
        <w:ind w:left="460" w:right="40" w:firstLine="428"/>
        <w:spacing w:after="0" w:line="263" w:lineRule="auto"/>
        <w:tabs>
          <w:tab w:leader="none" w:pos="1106"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Issuing Bank may accept documents that appear on their face to be in substantial compliance with the terms of a Letter of Credit without responsibility for further investigation, regardless of any notice or information to the contrary, and may make payment upon presentation of documents that appear on their face to be in substantial compliance with the terms of such Letter of Credit;</w:t>
      </w:r>
    </w:p>
    <w:p>
      <w:pPr>
        <w:spacing w:after="0" w:line="75" w:lineRule="exact"/>
        <w:rPr>
          <w:rFonts w:ascii="Arial" w:cs="Arial" w:eastAsia="Arial" w:hAnsi="Arial"/>
          <w:sz w:val="18"/>
          <w:szCs w:val="18"/>
          <w:color w:val="auto"/>
        </w:rPr>
      </w:pPr>
    </w:p>
    <w:p>
      <w:pPr>
        <w:ind w:left="460" w:right="740" w:firstLine="428"/>
        <w:spacing w:after="0" w:line="277" w:lineRule="auto"/>
        <w:tabs>
          <w:tab w:leader="none" w:pos="1156"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Issuing Bank shall have the right, in its sole discretion, to decline to accept such documents and to make such payment if such documents are not in strict compliance with the terms of such Letter of Credit and</w:t>
      </w:r>
    </w:p>
    <w:p>
      <w:pPr>
        <w:spacing w:after="0" w:line="62" w:lineRule="exact"/>
        <w:rPr>
          <w:rFonts w:ascii="Arial" w:cs="Arial" w:eastAsia="Arial" w:hAnsi="Arial"/>
          <w:sz w:val="18"/>
          <w:szCs w:val="18"/>
          <w:color w:val="auto"/>
        </w:rPr>
      </w:pPr>
    </w:p>
    <w:p>
      <w:pPr>
        <w:ind w:left="460" w:right="20" w:firstLine="428"/>
        <w:spacing w:after="0" w:line="263" w:lineRule="auto"/>
        <w:tabs>
          <w:tab w:leader="none" w:pos="1206"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this sentence shall establish the standard of care to be exercised by the Issuing Bank when determining whether drafts and other documents presented under a Letter of Credit comply with the terms thereof (and the parties hereto hereby waive, to the extent permitted by applicable law, any standard of care inconsistent with the foregoing).</w:t>
      </w:r>
    </w:p>
    <w:p>
      <w:pPr>
        <w:spacing w:after="0" w:line="183" w:lineRule="exact"/>
        <w:rPr>
          <w:rFonts w:ascii="Arial" w:cs="Arial" w:eastAsia="Arial" w:hAnsi="Arial"/>
          <w:sz w:val="18"/>
          <w:szCs w:val="18"/>
          <w:color w:val="auto"/>
        </w:rPr>
      </w:pPr>
    </w:p>
    <w:p>
      <w:pPr>
        <w:ind w:right="20" w:firstLine="906"/>
        <w:spacing w:after="0" w:line="257" w:lineRule="auto"/>
        <w:tabs>
          <w:tab w:leader="none" w:pos="1153"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Disbursement Procedures</w:t>
      </w:r>
      <w:r>
        <w:rPr>
          <w:rFonts w:ascii="Arial" w:cs="Arial" w:eastAsia="Arial" w:hAnsi="Arial"/>
          <w:sz w:val="18"/>
          <w:szCs w:val="18"/>
          <w:color w:val="auto"/>
        </w:rPr>
        <w:t xml:space="preserve">. The Issuing Bank shall, within a reasonable time following its receipt thereof, examine all documents purporting to represent a demand for payment under a Letter of Credit. The Issuing Bank shall promptly after such examination notify the Administrative Agent and the Borrower by telephone (confirmed by telecopy) of such demand for payment and whether the Issuing Bank has made or will make an LC Disbursement thereunder;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failure to give or delay in giving such notice shall not relieve the Borrower of its obligation to reimburse the Issuing Bank and the applicable Lenders with respect to any such LC Disbursement.</w:t>
      </w:r>
    </w:p>
    <w:p>
      <w:pPr>
        <w:spacing w:after="0" w:line="187" w:lineRule="exact"/>
        <w:rPr>
          <w:rFonts w:ascii="Arial" w:cs="Arial" w:eastAsia="Arial" w:hAnsi="Arial"/>
          <w:sz w:val="18"/>
          <w:szCs w:val="18"/>
          <w:color w:val="auto"/>
        </w:rPr>
      </w:pPr>
    </w:p>
    <w:p>
      <w:pPr>
        <w:ind w:right="80" w:firstLine="906"/>
        <w:spacing w:after="0" w:line="272" w:lineRule="auto"/>
        <w:tabs>
          <w:tab w:leader="none" w:pos="1113" w:val="left"/>
        </w:tabs>
        <w:numPr>
          <w:ilvl w:val="1"/>
          <w:numId w:val="40"/>
        </w:numPr>
        <w:rPr>
          <w:rFonts w:ascii="Arial" w:cs="Arial" w:eastAsia="Arial" w:hAnsi="Arial"/>
          <w:sz w:val="17"/>
          <w:szCs w:val="17"/>
          <w:color w:val="auto"/>
        </w:rPr>
      </w:pPr>
      <w:r>
        <w:rPr>
          <w:rFonts w:ascii="Arial" w:cs="Arial" w:eastAsia="Arial" w:hAnsi="Arial"/>
          <w:sz w:val="17"/>
          <w:szCs w:val="17"/>
          <w:u w:val="single" w:color="auto"/>
          <w:color w:val="auto"/>
        </w:rPr>
        <w:t>Interim Interest</w:t>
      </w:r>
      <w:r>
        <w:rPr>
          <w:rFonts w:ascii="Arial" w:cs="Arial" w:eastAsia="Arial" w:hAnsi="Arial"/>
          <w:sz w:val="17"/>
          <w:szCs w:val="17"/>
          <w:color w:val="auto"/>
        </w:rPr>
        <w:t xml:space="preserve">. If the Issuing Bank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at the rate per annum then applicable to Syndicated ABR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Borrower fails to reimburse such LC Disbursement within two Business Days following the date when due pursuant to </w:t>
      </w:r>
      <w:r>
        <w:rPr>
          <w:rFonts w:ascii="Arial" w:cs="Arial" w:eastAsia="Arial" w:hAnsi="Arial"/>
          <w:sz w:val="17"/>
          <w:szCs w:val="17"/>
          <w:u w:val="single" w:color="auto"/>
          <w:color w:val="auto"/>
        </w:rPr>
        <w:t>paragraph (f)</w:t>
      </w:r>
      <w:r>
        <w:rPr>
          <w:rFonts w:ascii="Arial" w:cs="Arial" w:eastAsia="Arial" w:hAnsi="Arial"/>
          <w:sz w:val="17"/>
          <w:szCs w:val="17"/>
          <w:color w:val="auto"/>
        </w:rPr>
        <w:t xml:space="preserve"> of this Section, then the provisions of </w:t>
      </w:r>
      <w:r>
        <w:rPr>
          <w:rFonts w:ascii="Arial" w:cs="Arial" w:eastAsia="Arial" w:hAnsi="Arial"/>
          <w:sz w:val="17"/>
          <w:szCs w:val="17"/>
          <w:u w:val="single" w:color="auto"/>
          <w:color w:val="auto"/>
        </w:rPr>
        <w:t>Section 2.12(c)</w:t>
      </w:r>
      <w:r>
        <w:rPr>
          <w:rFonts w:ascii="Arial" w:cs="Arial" w:eastAsia="Arial" w:hAnsi="Arial"/>
          <w:sz w:val="17"/>
          <w:szCs w:val="17"/>
          <w:color w:val="auto"/>
        </w:rPr>
        <w:t xml:space="preserve"> shall apply. Interest accrued pursuant to this paragraph shall be for account of the Issuing Bank, except that interest accrued on and after the date of payment by any Lender pursuant to </w:t>
      </w:r>
      <w:r>
        <w:rPr>
          <w:rFonts w:ascii="Arial" w:cs="Arial" w:eastAsia="Arial" w:hAnsi="Arial"/>
          <w:sz w:val="17"/>
          <w:szCs w:val="17"/>
          <w:u w:val="single" w:color="auto"/>
          <w:color w:val="auto"/>
        </w:rPr>
        <w:t>paragraph (f)</w:t>
      </w:r>
      <w:r>
        <w:rPr>
          <w:rFonts w:ascii="Arial" w:cs="Arial" w:eastAsia="Arial" w:hAnsi="Arial"/>
          <w:sz w:val="17"/>
          <w:szCs w:val="17"/>
          <w:color w:val="auto"/>
        </w:rPr>
        <w:t xml:space="preserve"> of this Section to reimburse the Issuing Bank shall be for account of such Lender to the extent of such payment.</w:t>
      </w:r>
    </w:p>
    <w:p>
      <w:pPr>
        <w:spacing w:after="0" w:line="177" w:lineRule="exact"/>
        <w:rPr>
          <w:rFonts w:ascii="Arial" w:cs="Arial" w:eastAsia="Arial" w:hAnsi="Arial"/>
          <w:sz w:val="17"/>
          <w:szCs w:val="17"/>
          <w:color w:val="auto"/>
        </w:rPr>
      </w:pPr>
    </w:p>
    <w:p>
      <w:pPr>
        <w:ind w:right="60" w:firstLine="906"/>
        <w:spacing w:after="0" w:line="257" w:lineRule="auto"/>
        <w:tabs>
          <w:tab w:leader="none" w:pos="1113"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Resignation and/or Replacement of Issuing Bank</w:t>
      </w:r>
      <w:r>
        <w:rPr>
          <w:rFonts w:ascii="Arial" w:cs="Arial" w:eastAsia="Arial" w:hAnsi="Arial"/>
          <w:sz w:val="18"/>
          <w:szCs w:val="18"/>
          <w:color w:val="auto"/>
        </w:rPr>
        <w:t xml:space="preserve">. The Issuing Bank may resign and be replaced at any time by written agreement among the Borrower, the Administrative Agent, the resigning Issuing Bank and the successor Issuing Bank. The Administrative Agent shall notify the Lenders of any such resignation and replacement of the Issuing Bank. Upon the effectiveness of any resignation of the Issuing Bank, the Borrower shall pay all unpaid fees accrued for account of the resigning Issuing Bank pursuant to </w:t>
      </w:r>
      <w:r>
        <w:rPr>
          <w:rFonts w:ascii="Arial" w:cs="Arial" w:eastAsia="Arial" w:hAnsi="Arial"/>
          <w:sz w:val="18"/>
          <w:szCs w:val="18"/>
          <w:u w:val="single" w:color="auto"/>
          <w:color w:val="auto"/>
        </w:rPr>
        <w:t>Section 2.11(b)</w:t>
      </w:r>
      <w:r>
        <w:rPr>
          <w:rFonts w:ascii="Arial" w:cs="Arial" w:eastAsia="Arial" w:hAnsi="Arial"/>
          <w:sz w:val="18"/>
          <w:szCs w:val="18"/>
          <w:color w:val="auto"/>
        </w:rPr>
        <w:t>. From and after the effective date of the appointment of a successor Issuing Bank, (i) the successor Issuing Bank</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274" w:right="339" w:bottom="1440" w:gutter="0" w:footer="0" w:header="0"/>
        </w:sectPr>
      </w:pPr>
    </w:p>
    <w:bookmarkStart w:id="54" w:name="page55"/>
    <w:bookmarkEnd w:id="5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shall have all the rights and obligations of the replaced Issuing Bank under this Agreement with respect to Letters of Credit to be issued thereafter and</w:t>
      </w:r>
    </w:p>
    <w:p>
      <w:pPr>
        <w:spacing w:after="0" w:line="46" w:lineRule="exact"/>
        <w:rPr>
          <w:sz w:val="20"/>
          <w:szCs w:val="20"/>
          <w:color w:val="auto"/>
        </w:rPr>
      </w:pPr>
    </w:p>
    <w:p>
      <w:pPr>
        <w:ind w:right="200" w:firstLine="8"/>
        <w:spacing w:after="0" w:line="273" w:lineRule="auto"/>
        <w:tabs>
          <w:tab w:leader="none" w:pos="265"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references herein to the term “Issuing Bank” shall be deemed to refer to such successor or to any previous Issuing Bank, or to such successor and all previous Issuing Banks, as the context shall require. After the effective resignation of the Issuing Bank hereunder, the resigning Issuing Bank, as the case may be, shall remain a party hereto and shall continue to have all the rights and obligations of the Issuing Bank under this Agreement with respect to Letters of Credit issued by it prior to such resignation, but shall not be required to issue additional Letters of Credit.</w:t>
      </w:r>
    </w:p>
    <w:p>
      <w:pPr>
        <w:spacing w:after="0" w:line="176" w:lineRule="exact"/>
        <w:rPr>
          <w:rFonts w:ascii="Arial" w:cs="Arial" w:eastAsia="Arial" w:hAnsi="Arial"/>
          <w:sz w:val="17"/>
          <w:szCs w:val="17"/>
          <w:color w:val="auto"/>
        </w:rPr>
      </w:pPr>
    </w:p>
    <w:p>
      <w:pPr>
        <w:ind w:right="60" w:firstLine="906"/>
        <w:spacing w:after="0" w:line="286" w:lineRule="auto"/>
        <w:tabs>
          <w:tab w:leader="none" w:pos="1153" w:val="left"/>
        </w:tabs>
        <w:numPr>
          <w:ilvl w:val="1"/>
          <w:numId w:val="41"/>
        </w:numPr>
        <w:rPr>
          <w:rFonts w:ascii="Arial" w:cs="Arial" w:eastAsia="Arial" w:hAnsi="Arial"/>
          <w:sz w:val="16"/>
          <w:szCs w:val="16"/>
          <w:color w:val="auto"/>
        </w:rPr>
      </w:pPr>
      <w:r>
        <w:rPr>
          <w:rFonts w:ascii="Arial" w:cs="Arial" w:eastAsia="Arial" w:hAnsi="Arial"/>
          <w:sz w:val="16"/>
          <w:szCs w:val="16"/>
          <w:u w:val="single" w:color="auto"/>
          <w:color w:val="auto"/>
        </w:rPr>
        <w:t>Cash Collateralization</w:t>
      </w:r>
      <w:r>
        <w:rPr>
          <w:rFonts w:ascii="Arial" w:cs="Arial" w:eastAsia="Arial" w:hAnsi="Arial"/>
          <w:sz w:val="16"/>
          <w:szCs w:val="16"/>
          <w:color w:val="auto"/>
        </w:rPr>
        <w:t xml:space="preserve">. If the Borrower shall be required to provide Cash Collateral for LC Exposure pursuant to </w:t>
      </w:r>
      <w:r>
        <w:rPr>
          <w:rFonts w:ascii="Arial" w:cs="Arial" w:eastAsia="Arial" w:hAnsi="Arial"/>
          <w:sz w:val="16"/>
          <w:szCs w:val="16"/>
          <w:u w:val="single" w:color="auto"/>
          <w:color w:val="auto"/>
        </w:rPr>
        <w:t>Section 2.05(d)</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2.09(a)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2.10(b)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or the last paragraph of </w:t>
      </w:r>
      <w:r>
        <w:rPr>
          <w:rFonts w:ascii="Arial" w:cs="Arial" w:eastAsia="Arial" w:hAnsi="Arial"/>
          <w:sz w:val="16"/>
          <w:szCs w:val="16"/>
          <w:u w:val="single" w:color="auto"/>
          <w:color w:val="auto"/>
        </w:rPr>
        <w:t>Article VII</w:t>
      </w:r>
      <w:r>
        <w:rPr>
          <w:rFonts w:ascii="Arial" w:cs="Arial" w:eastAsia="Arial" w:hAnsi="Arial"/>
          <w:sz w:val="16"/>
          <w:szCs w:val="16"/>
          <w:color w:val="auto"/>
        </w:rPr>
        <w:t>, the Borrower shall immediately deposit into a segregated collateral account or accounts (herein, collectively, the “</w:t>
      </w:r>
      <w:r>
        <w:rPr>
          <w:rFonts w:ascii="Arial" w:cs="Arial" w:eastAsia="Arial" w:hAnsi="Arial"/>
          <w:sz w:val="16"/>
          <w:szCs w:val="16"/>
          <w:u w:val="single" w:color="auto"/>
          <w:color w:val="auto"/>
        </w:rPr>
        <w:t>Letter of Credit Collateral Account</w:t>
      </w:r>
      <w:r>
        <w:rPr>
          <w:rFonts w:ascii="Arial" w:cs="Arial" w:eastAsia="Arial" w:hAnsi="Arial"/>
          <w:sz w:val="16"/>
          <w:szCs w:val="16"/>
          <w:color w:val="auto"/>
        </w:rPr>
        <w:t>”) in the name and under the dominion and control of the Administrative Agent Cash denominated in the Currency of the Letter of Credit under which such LC Exposure arises in an amount equal to the amount required under</w:t>
      </w:r>
    </w:p>
    <w:p>
      <w:pPr>
        <w:spacing w:after="0" w:line="1" w:lineRule="exact"/>
        <w:rPr>
          <w:rFonts w:ascii="Arial" w:cs="Arial" w:eastAsia="Arial" w:hAnsi="Arial"/>
          <w:sz w:val="16"/>
          <w:szCs w:val="16"/>
          <w:color w:val="auto"/>
        </w:rPr>
      </w:pPr>
    </w:p>
    <w:p>
      <w:pPr>
        <w:ind w:right="40"/>
        <w:spacing w:after="0" w:line="253" w:lineRule="auto"/>
        <w:rPr>
          <w:rFonts w:ascii="Arial" w:cs="Arial" w:eastAsia="Arial" w:hAnsi="Arial"/>
          <w:sz w:val="16"/>
          <w:szCs w:val="16"/>
          <w:color w:val="auto"/>
        </w:rPr>
      </w:pPr>
      <w:r>
        <w:rPr>
          <w:rFonts w:ascii="Arial" w:cs="Arial" w:eastAsia="Arial" w:hAnsi="Arial"/>
          <w:sz w:val="18"/>
          <w:szCs w:val="18"/>
          <w:u w:val="single" w:color="auto"/>
          <w:color w:val="auto"/>
        </w:rPr>
        <w:t>Section 2.05(d)</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2.09(a)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2.10(b)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or the last paragraph of </w:t>
      </w:r>
      <w:r>
        <w:rPr>
          <w:rFonts w:ascii="Arial" w:cs="Arial" w:eastAsia="Arial" w:hAnsi="Arial"/>
          <w:sz w:val="18"/>
          <w:szCs w:val="18"/>
          <w:u w:val="single" w:color="auto"/>
          <w:color w:val="auto"/>
        </w:rPr>
        <w:t>Article VII</w:t>
      </w:r>
      <w:r>
        <w:rPr>
          <w:rFonts w:ascii="Arial" w:cs="Arial" w:eastAsia="Arial" w:hAnsi="Arial"/>
          <w:sz w:val="18"/>
          <w:szCs w:val="18"/>
          <w:color w:val="auto"/>
        </w:rPr>
        <w:t>, as applicable. Such deposit shall be held by the Administrative Agent as collateral in the first instance for the LC Exposure under this Agreement and thereafter for the payment of the “Secured Obligations” under and as defined in the Guarantee and Security Agreement, and for these purposes the Borrower hereby grants a security interest to the Administrative Agent for the benefit of the Lenders in the Letter of Credit Collateral Account and in any financial assets (as defined in the Uniform Commercial Code) or other property held therein.</w:t>
      </w:r>
    </w:p>
    <w:p>
      <w:pPr>
        <w:spacing w:after="0" w:line="19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Funding of Borrowings</w:t>
      </w:r>
      <w:r>
        <w:rPr>
          <w:rFonts w:ascii="Arial" w:cs="Arial" w:eastAsia="Arial" w:hAnsi="Arial"/>
          <w:sz w:val="18"/>
          <w:szCs w:val="18"/>
          <w:color w:val="auto"/>
        </w:rPr>
        <w:t>.</w:t>
      </w:r>
    </w:p>
    <w:p>
      <w:pPr>
        <w:spacing w:after="0" w:line="225" w:lineRule="exact"/>
        <w:rPr>
          <w:sz w:val="20"/>
          <w:szCs w:val="20"/>
          <w:color w:val="auto"/>
        </w:rPr>
      </w:pPr>
    </w:p>
    <w:p>
      <w:pPr>
        <w:ind w:right="60" w:firstLine="906"/>
        <w:spacing w:after="0" w:line="273" w:lineRule="auto"/>
        <w:tabs>
          <w:tab w:leader="none" w:pos="1143"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Funding by Lenders</w:t>
      </w:r>
      <w:r>
        <w:rPr>
          <w:rFonts w:ascii="Arial" w:cs="Arial" w:eastAsia="Arial" w:hAnsi="Arial"/>
          <w:sz w:val="17"/>
          <w:szCs w:val="17"/>
          <w:color w:val="auto"/>
        </w:rPr>
        <w:t xml:space="preserve">. Each Lender shall make each Loan to be made by it hereunder on the proposed date thereof by wire transfer of immediately available funds by 11:00 a.m., Atlanta, Georgia time, to the account of the Administrative Agent most recently designated by it for such purpose by notice to the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Swingline Loans shall be made as provided in </w:t>
      </w:r>
      <w:r>
        <w:rPr>
          <w:rFonts w:ascii="Arial" w:cs="Arial" w:eastAsia="Arial" w:hAnsi="Arial"/>
          <w:sz w:val="17"/>
          <w:szCs w:val="17"/>
          <w:u w:val="single" w:color="auto"/>
          <w:color w:val="auto"/>
        </w:rPr>
        <w:t>Section 2.04</w:t>
      </w:r>
      <w:r>
        <w:rPr>
          <w:rFonts w:ascii="Arial" w:cs="Arial" w:eastAsia="Arial" w:hAnsi="Arial"/>
          <w:sz w:val="17"/>
          <w:szCs w:val="17"/>
          <w:color w:val="auto"/>
        </w:rPr>
        <w:t xml:space="preserve">. The Administrative Agent will make such Loans available to the Borrower by promptly crediting the amounts so received, in like funds, to an account of the Borrower designated by the Borrower in the applicable Borrowing Request;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Syndicated ABR Borrowings made to finance the reimbursement of an LC Disbursement as provided in </w:t>
      </w:r>
      <w:r>
        <w:rPr>
          <w:rFonts w:ascii="Arial" w:cs="Arial" w:eastAsia="Arial" w:hAnsi="Arial"/>
          <w:sz w:val="17"/>
          <w:szCs w:val="17"/>
          <w:u w:val="single" w:color="auto"/>
          <w:color w:val="auto"/>
        </w:rPr>
        <w:t>Section 2.05(f)</w:t>
      </w:r>
      <w:r>
        <w:rPr>
          <w:rFonts w:ascii="Arial" w:cs="Arial" w:eastAsia="Arial" w:hAnsi="Arial"/>
          <w:sz w:val="17"/>
          <w:szCs w:val="17"/>
          <w:color w:val="auto"/>
        </w:rPr>
        <w:t xml:space="preserve"> shall be remitted by the Administrative Agent to the Issuing Bank.</w:t>
      </w:r>
    </w:p>
    <w:p>
      <w:pPr>
        <w:spacing w:after="0" w:line="177" w:lineRule="exact"/>
        <w:rPr>
          <w:rFonts w:ascii="Arial" w:cs="Arial" w:eastAsia="Arial" w:hAnsi="Arial"/>
          <w:sz w:val="17"/>
          <w:szCs w:val="17"/>
          <w:color w:val="auto"/>
        </w:rPr>
      </w:pPr>
    </w:p>
    <w:p>
      <w:pPr>
        <w:ind w:firstLine="906"/>
        <w:spacing w:after="0" w:line="272" w:lineRule="auto"/>
        <w:tabs>
          <w:tab w:leader="none" w:pos="1153"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Presumption by the Administrative Agent</w:t>
      </w:r>
      <w:r>
        <w:rPr>
          <w:rFonts w:ascii="Arial" w:cs="Arial" w:eastAsia="Arial" w:hAnsi="Arial"/>
          <w:sz w:val="17"/>
          <w:szCs w:val="17"/>
          <w:color w:val="auto"/>
        </w:rPr>
        <w:t xml:space="preserve">. 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7"/>
          <w:szCs w:val="17"/>
          <w:u w:val="single" w:color="auto"/>
          <w:color w:val="auto"/>
        </w:rPr>
        <w:t>paragraph (a)</w:t>
      </w:r>
      <w:r>
        <w:rPr>
          <w:rFonts w:ascii="Arial" w:cs="Arial" w:eastAsia="Arial" w:hAnsi="Arial"/>
          <w:sz w:val="17"/>
          <w:szCs w:val="17"/>
          <w:color w:val="auto"/>
        </w:rPr>
        <w:t xml:space="preserve"> of this Section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Federal Funds</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274" w:right="339" w:bottom="1440" w:gutter="0" w:footer="0" w:header="0"/>
        </w:sectPr>
      </w:pPr>
    </w:p>
    <w:bookmarkStart w:id="55" w:name="page56"/>
    <w:bookmarkEnd w:id="55"/>
    <w:p>
      <w:pPr>
        <w:ind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Effective Rate or (ii) in the case of the Borrower, the interest rate applicable to ABR Loans. If such Lender pays such amount to the Administrative Agent, then such amount shall constitute such Lender’s Loan included in such Borrowing.</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Interest Elections</w:t>
      </w:r>
      <w:r>
        <w:rPr>
          <w:rFonts w:ascii="Arial" w:cs="Arial" w:eastAsia="Arial" w:hAnsi="Arial"/>
          <w:sz w:val="18"/>
          <w:szCs w:val="18"/>
          <w:color w:val="auto"/>
        </w:rPr>
        <w:t>.</w:t>
      </w:r>
    </w:p>
    <w:p>
      <w:pPr>
        <w:spacing w:after="0" w:line="225" w:lineRule="exact"/>
        <w:rPr>
          <w:sz w:val="20"/>
          <w:szCs w:val="20"/>
          <w:color w:val="auto"/>
        </w:rPr>
      </w:pPr>
    </w:p>
    <w:p>
      <w:pPr>
        <w:ind w:right="20" w:firstLine="906"/>
        <w:spacing w:after="0" w:line="285" w:lineRule="auto"/>
        <w:tabs>
          <w:tab w:leader="none" w:pos="1143" w:val="left"/>
        </w:tabs>
        <w:numPr>
          <w:ilvl w:val="2"/>
          <w:numId w:val="43"/>
        </w:numPr>
        <w:rPr>
          <w:rFonts w:ascii="Arial" w:cs="Arial" w:eastAsia="Arial" w:hAnsi="Arial"/>
          <w:sz w:val="16"/>
          <w:szCs w:val="16"/>
          <w:color w:val="auto"/>
        </w:rPr>
      </w:pPr>
      <w:r>
        <w:rPr>
          <w:rFonts w:ascii="Arial" w:cs="Arial" w:eastAsia="Arial" w:hAnsi="Arial"/>
          <w:sz w:val="16"/>
          <w:szCs w:val="16"/>
          <w:u w:val="single" w:color="auto"/>
          <w:color w:val="auto"/>
        </w:rPr>
        <w:t>Elections by the Borrower for Syndicated Borrowings</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2.03(d)</w:t>
      </w:r>
      <w:r>
        <w:rPr>
          <w:rFonts w:ascii="Arial" w:cs="Arial" w:eastAsia="Arial" w:hAnsi="Arial"/>
          <w:sz w:val="16"/>
          <w:szCs w:val="16"/>
          <w:color w:val="auto"/>
        </w:rPr>
        <w:t xml:space="preserve">, the Loans constituting each Syndicated Borrowing initially shall be of the Type specified in the applicable Borrowing Request and, in the case of a Eurocurrency Borrowing, shall have the Interest Period specified in such Borrowing Request. Thereafter, the Borrower may elect to convert such Borrowing to a Borrowing of a different Type or to continue such Borrowing as a Borrowing of the same Type and, in the case of a Eurocurrency Borrowing, may elect the Interest Period therefor, all as provided in this Section;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a Syndicated Borrowing of a Class may only be continued or converted into a Syndicated Borrowing of the same Class,</w:t>
      </w:r>
    </w:p>
    <w:p>
      <w:pPr>
        <w:spacing w:after="0" w:line="1" w:lineRule="exact"/>
        <w:rPr>
          <w:rFonts w:ascii="Arial" w:cs="Arial" w:eastAsia="Arial" w:hAnsi="Arial"/>
          <w:sz w:val="16"/>
          <w:szCs w:val="16"/>
          <w:color w:val="auto"/>
        </w:rPr>
      </w:pPr>
    </w:p>
    <w:p>
      <w:pPr>
        <w:ind w:left="280" w:hanging="272"/>
        <w:spacing w:after="0"/>
        <w:tabs>
          <w:tab w:leader="none" w:pos="2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 Syndicated Borrowing denominated in one Currency may not be continued as, or converted to, a Syndicated Borrowing in a different Currency,</w:t>
      </w:r>
    </w:p>
    <w:p>
      <w:pPr>
        <w:spacing w:after="0" w:line="20" w:lineRule="exact"/>
        <w:rPr>
          <w:rFonts w:ascii="Arial" w:cs="Arial" w:eastAsia="Arial" w:hAnsi="Arial"/>
          <w:sz w:val="17"/>
          <w:szCs w:val="17"/>
          <w:color w:val="auto"/>
        </w:rPr>
      </w:pPr>
    </w:p>
    <w:p>
      <w:pPr>
        <w:ind w:right="200" w:firstLine="8"/>
        <w:spacing w:after="0" w:line="252" w:lineRule="auto"/>
        <w:tabs>
          <w:tab w:leader="none" w:pos="315"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 Eurocurrency Borrowing denominated in a Foreign Currency may be continued if, after giving effect thereto, the aggregate Revolving Multicurrency Credit Exposures would exceed the aggregate Multicurrency Commitments, and (iv) a Eurocurrency Borrowing denominated in a Foreign Currency may not be converted to a Borrowing of a different Type. The Borrower may elect different options with respect to different portions of the affected Borrowing, in which case each such portion shall be allocated ratably among the Lenders of the respective Class holding the Loans constituting such Borrowing, and the Loans constituting each such portion shall be considered a separate Borrowing. This Section shall not apply to Swingline Borrowings, which may not be converted or continued.</w:t>
      </w:r>
    </w:p>
    <w:p>
      <w:pPr>
        <w:spacing w:after="0" w:line="193" w:lineRule="exact"/>
        <w:rPr>
          <w:rFonts w:ascii="Arial" w:cs="Arial" w:eastAsia="Arial" w:hAnsi="Arial"/>
          <w:sz w:val="18"/>
          <w:szCs w:val="18"/>
          <w:color w:val="auto"/>
        </w:rPr>
      </w:pPr>
    </w:p>
    <w:p>
      <w:pPr>
        <w:ind w:right="40" w:firstLine="906"/>
        <w:spacing w:after="0" w:line="275" w:lineRule="auto"/>
        <w:tabs>
          <w:tab w:leader="none" w:pos="1153" w:val="left"/>
        </w:tabs>
        <w:numPr>
          <w:ilvl w:val="2"/>
          <w:numId w:val="44"/>
        </w:numPr>
        <w:rPr>
          <w:rFonts w:ascii="Arial" w:cs="Arial" w:eastAsia="Arial" w:hAnsi="Arial"/>
          <w:sz w:val="17"/>
          <w:szCs w:val="17"/>
          <w:color w:val="auto"/>
        </w:rPr>
      </w:pPr>
      <w:r>
        <w:rPr>
          <w:rFonts w:ascii="Arial" w:cs="Arial" w:eastAsia="Arial" w:hAnsi="Arial"/>
          <w:sz w:val="17"/>
          <w:szCs w:val="17"/>
          <w:u w:val="single" w:color="auto"/>
          <w:color w:val="auto"/>
        </w:rPr>
        <w:t>Notice of Elections</w:t>
      </w:r>
      <w:r>
        <w:rPr>
          <w:rFonts w:ascii="Arial" w:cs="Arial" w:eastAsia="Arial" w:hAnsi="Arial"/>
          <w:sz w:val="17"/>
          <w:szCs w:val="17"/>
          <w:color w:val="auto"/>
        </w:rPr>
        <w:t xml:space="preserve">. To make an election pursuant to this Section, the Borrower shall notify the Administrative Agent of such election by telephone by the time that a Borrowing Request would be required under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if the Borrower were requesting a Syndicated Borrowing of the Type resulting from such election to be made on the effective date of such election. Each such telephonic Interest Election Request shall be irrevocable and shall be confirmed promptly (but no later than the close of business on the date of such request) by hand delivery or telecopy to the Administrative Agent of a written Interest Election Request in a form approved by the Administrative Agent and signed by the Borrower.</w:t>
      </w:r>
    </w:p>
    <w:p>
      <w:pPr>
        <w:spacing w:after="0" w:line="176" w:lineRule="exact"/>
        <w:rPr>
          <w:rFonts w:ascii="Arial" w:cs="Arial" w:eastAsia="Arial" w:hAnsi="Arial"/>
          <w:sz w:val="17"/>
          <w:szCs w:val="17"/>
          <w:color w:val="auto"/>
        </w:rPr>
      </w:pPr>
    </w:p>
    <w:p>
      <w:pPr>
        <w:ind w:right="400" w:firstLine="906"/>
        <w:spacing w:after="0" w:line="277" w:lineRule="auto"/>
        <w:tabs>
          <w:tab w:leader="none" w:pos="1143" w:val="left"/>
        </w:tabs>
        <w:numPr>
          <w:ilvl w:val="2"/>
          <w:numId w:val="44"/>
        </w:numPr>
        <w:rPr>
          <w:rFonts w:ascii="Arial" w:cs="Arial" w:eastAsia="Arial" w:hAnsi="Arial"/>
          <w:sz w:val="18"/>
          <w:szCs w:val="18"/>
          <w:color w:val="auto"/>
        </w:rPr>
      </w:pPr>
      <w:r>
        <w:rPr>
          <w:rFonts w:ascii="Arial" w:cs="Arial" w:eastAsia="Arial" w:hAnsi="Arial"/>
          <w:sz w:val="18"/>
          <w:szCs w:val="18"/>
          <w:u w:val="single" w:color="auto"/>
          <w:color w:val="auto"/>
        </w:rPr>
        <w:t>Content of Interest Election Requests</w:t>
      </w:r>
      <w:r>
        <w:rPr>
          <w:rFonts w:ascii="Arial" w:cs="Arial" w:eastAsia="Arial" w:hAnsi="Arial"/>
          <w:sz w:val="18"/>
          <w:szCs w:val="18"/>
          <w:color w:val="auto"/>
        </w:rPr>
        <w:t xml:space="preserve">. Each telephonic and written Interest Election Request shall specify the following information in compliance with </w:t>
      </w:r>
      <w:r>
        <w:rPr>
          <w:rFonts w:ascii="Arial" w:cs="Arial" w:eastAsia="Arial" w:hAnsi="Arial"/>
          <w:sz w:val="18"/>
          <w:szCs w:val="18"/>
          <w:u w:val="single" w:color="auto"/>
          <w:color w:val="auto"/>
        </w:rPr>
        <w:t>Section 2.02</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jc w:val="both"/>
        <w:ind w:left="460" w:right="140" w:firstLine="428"/>
        <w:spacing w:after="0" w:line="263" w:lineRule="auto"/>
        <w:tabs>
          <w:tab w:leader="none" w:pos="1106" w:val="left"/>
        </w:tabs>
        <w:numPr>
          <w:ilvl w:val="1"/>
          <w:numId w:val="44"/>
        </w:numPr>
        <w:rPr>
          <w:rFonts w:ascii="Arial" w:cs="Arial" w:eastAsia="Arial" w:hAnsi="Arial"/>
          <w:sz w:val="18"/>
          <w:szCs w:val="18"/>
          <w:color w:val="auto"/>
        </w:rPr>
      </w:pPr>
      <w:r>
        <w:rPr>
          <w:rFonts w:ascii="Arial" w:cs="Arial" w:eastAsia="Arial" w:hAnsi="Arial"/>
          <w:sz w:val="18"/>
          <w:szCs w:val="18"/>
          <w:color w:val="auto"/>
        </w:rPr>
        <w:t xml:space="preserve">the Borrowing (including the Class) to which such Interest Election Request applies and, if different options are being elected with respect to different portions thereof, the portions thereof to be allocated to each resulting Borrowing (in which case the information to be specified pursuant to </w:t>
      </w:r>
      <w:r>
        <w:rPr>
          <w:rFonts w:ascii="Arial" w:cs="Arial" w:eastAsia="Arial" w:hAnsi="Arial"/>
          <w:sz w:val="18"/>
          <w:szCs w:val="18"/>
          <w:u w:val="single" w:color="auto"/>
          <w:color w:val="auto"/>
        </w:rPr>
        <w:t>clauses (iii)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of this paragraph shall be specified for each resulting Borrowing);</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274" w:right="339" w:bottom="1440" w:gutter="0" w:footer="0" w:header="0"/>
        </w:sectPr>
      </w:pPr>
    </w:p>
    <w:bookmarkStart w:id="56" w:name="page57"/>
    <w:bookmarkEnd w:id="56"/>
    <w:p>
      <w:pPr>
        <w:ind w:left="1160" w:hanging="272"/>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effective date of the election made pursuant to such Interest Election Request, which shall be a Business Day;</w:t>
      </w:r>
    </w:p>
    <w:p>
      <w:pPr>
        <w:spacing w:after="0" w:line="117" w:lineRule="exact"/>
        <w:rPr>
          <w:rFonts w:ascii="Arial" w:cs="Arial" w:eastAsia="Arial" w:hAnsi="Arial"/>
          <w:sz w:val="18"/>
          <w:szCs w:val="18"/>
          <w:color w:val="auto"/>
        </w:rPr>
      </w:pPr>
    </w:p>
    <w:p>
      <w:pPr>
        <w:ind w:left="460" w:right="560" w:firstLine="428"/>
        <w:spacing w:after="0" w:line="277" w:lineRule="auto"/>
        <w:tabs>
          <w:tab w:leader="none" w:pos="1206" w:val="left"/>
        </w:tabs>
        <w:numPr>
          <w:ilvl w:val="0"/>
          <w:numId w:val="45"/>
        </w:numPr>
        <w:rPr>
          <w:rFonts w:ascii="Arial" w:cs="Arial" w:eastAsia="Arial" w:hAnsi="Arial"/>
          <w:sz w:val="18"/>
          <w:szCs w:val="18"/>
          <w:color w:val="auto"/>
        </w:rPr>
      </w:pPr>
      <w:r>
        <w:rPr>
          <w:rFonts w:ascii="Arial" w:cs="Arial" w:eastAsia="Arial" w:hAnsi="Arial"/>
          <w:sz w:val="18"/>
          <w:szCs w:val="18"/>
          <w:color w:val="auto"/>
        </w:rPr>
        <w:t>whether, in the case of a Borrowing denominated in Dollars, the resulting Borrowing is to be an ABR Borrowing or a Eurocurrency Borrowing; and</w:t>
      </w:r>
    </w:p>
    <w:p>
      <w:pPr>
        <w:spacing w:after="0" w:line="62" w:lineRule="exact"/>
        <w:rPr>
          <w:rFonts w:ascii="Arial" w:cs="Arial" w:eastAsia="Arial" w:hAnsi="Arial"/>
          <w:sz w:val="18"/>
          <w:szCs w:val="18"/>
          <w:color w:val="auto"/>
        </w:rPr>
      </w:pPr>
    </w:p>
    <w:p>
      <w:pPr>
        <w:ind w:left="460" w:right="260" w:firstLine="428"/>
        <w:spacing w:after="0" w:line="277" w:lineRule="auto"/>
        <w:tabs>
          <w:tab w:leader="none" w:pos="1196"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if the resulting Borrowing is a Eurocurrency Borrowing, the Interest Period therefor after giving effect to such election, which shall be a period contemplated by the definition of the term “Interest Period” and permitted under </w:t>
      </w:r>
      <w:r>
        <w:rPr>
          <w:rFonts w:ascii="Arial" w:cs="Arial" w:eastAsia="Arial" w:hAnsi="Arial"/>
          <w:sz w:val="18"/>
          <w:szCs w:val="18"/>
          <w:u w:val="single" w:color="auto"/>
          <w:color w:val="auto"/>
        </w:rPr>
        <w:t>Section 2.02(d)</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220" w:firstLine="906"/>
        <w:spacing w:after="0" w:line="277" w:lineRule="auto"/>
        <w:tabs>
          <w:tab w:leader="none" w:pos="1153"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Notice by the Administrative Agent to the Lenders</w:t>
      </w:r>
      <w:r>
        <w:rPr>
          <w:rFonts w:ascii="Arial" w:cs="Arial" w:eastAsia="Arial" w:hAnsi="Arial"/>
          <w:sz w:val="18"/>
          <w:szCs w:val="18"/>
          <w:color w:val="auto"/>
        </w:rPr>
        <w:t>. Promptly following receipt of an Interest Election Request, the Administrative Agent shall advise each applicable Lender of the details thereof and of such Lender’s portion of each resulting Borrowing.</w:t>
      </w:r>
    </w:p>
    <w:p>
      <w:pPr>
        <w:spacing w:after="0" w:line="170" w:lineRule="exact"/>
        <w:rPr>
          <w:rFonts w:ascii="Arial" w:cs="Arial" w:eastAsia="Arial" w:hAnsi="Arial"/>
          <w:sz w:val="18"/>
          <w:szCs w:val="18"/>
          <w:color w:val="auto"/>
        </w:rPr>
      </w:pPr>
    </w:p>
    <w:p>
      <w:pPr>
        <w:ind w:right="40" w:firstLine="906"/>
        <w:spacing w:after="0" w:line="290" w:lineRule="auto"/>
        <w:tabs>
          <w:tab w:leader="none" w:pos="1143" w:val="left"/>
        </w:tabs>
        <w:numPr>
          <w:ilvl w:val="1"/>
          <w:numId w:val="45"/>
        </w:numPr>
        <w:rPr>
          <w:rFonts w:ascii="Arial" w:cs="Arial" w:eastAsia="Arial" w:hAnsi="Arial"/>
          <w:sz w:val="16"/>
          <w:szCs w:val="16"/>
          <w:color w:val="auto"/>
        </w:rPr>
      </w:pPr>
      <w:r>
        <w:rPr>
          <w:rFonts w:ascii="Arial" w:cs="Arial" w:eastAsia="Arial" w:hAnsi="Arial"/>
          <w:sz w:val="16"/>
          <w:szCs w:val="16"/>
          <w:u w:val="single" w:color="auto"/>
          <w:color w:val="auto"/>
        </w:rPr>
        <w:t>Failure to Elect; Events of Default</w:t>
      </w:r>
      <w:r>
        <w:rPr>
          <w:rFonts w:ascii="Arial" w:cs="Arial" w:eastAsia="Arial" w:hAnsi="Arial"/>
          <w:sz w:val="16"/>
          <w:szCs w:val="16"/>
          <w:color w:val="auto"/>
        </w:rPr>
        <w:t>. If the Borrower fails to deliver a timely and complete Interest Election Request with respect to a Eurocurrency Borrowing prior to the end of the Interest Period therefor, then, unless such Borrowing is repaid as provided herein, (i) if such Borrowing is denominated in Dollars, at the end of such Interest Period such Borrowing shall be converted to a Syndicated Eurocurrency Borrowing of the same Class having an Interest Period of one month, and (ii) if such Borrowing is denominated in a Foreign Currency, the Borrower shall be deemed to have selected an Interest Period of one month’s duration. Notwithstanding any contrary provision hereof, if an Event of Default has occurred and is continuing and the Administrative Agent, at the request of the Required Lenders, so notifies the Borrower, (i) any Eurocurrency Borrowing denominated in Dollars shall, at the end of the applicable Interest Period for such Eurocurrency Borrowing, be automatically converted to an ABR Borrowing and (ii) any Eurocurrency Borrowing denominated in a Foreign Currency shall not have an Interest Period of more than one month’s duration.</w:t>
      </w:r>
    </w:p>
    <w:p>
      <w:pPr>
        <w:spacing w:after="0" w:line="16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Termination, Reduction or Increase of the Commitments</w:t>
      </w:r>
      <w:r>
        <w:rPr>
          <w:rFonts w:ascii="Arial" w:cs="Arial" w:eastAsia="Arial" w:hAnsi="Arial"/>
          <w:sz w:val="18"/>
          <w:szCs w:val="18"/>
          <w:color w:val="auto"/>
        </w:rPr>
        <w: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Scheduled Termination</w:t>
      </w:r>
      <w:r>
        <w:rPr>
          <w:rFonts w:ascii="Arial" w:cs="Arial" w:eastAsia="Arial" w:hAnsi="Arial"/>
          <w:sz w:val="16"/>
          <w:szCs w:val="16"/>
          <w:color w:val="auto"/>
        </w:rPr>
        <w:t>. Unless previously terminated, the Commitments of each Class shall terminate on the Commitment Termination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ind w:right="20" w:firstLine="906"/>
        <w:spacing w:after="0" w:line="293" w:lineRule="auto"/>
        <w:tabs>
          <w:tab w:leader="none" w:pos="1153"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Voluntary Termination or Reduction</w:t>
      </w:r>
      <w:r>
        <w:rPr>
          <w:rFonts w:ascii="Arial" w:cs="Arial" w:eastAsia="Arial" w:hAnsi="Arial"/>
          <w:sz w:val="16"/>
          <w:szCs w:val="16"/>
          <w:color w:val="auto"/>
        </w:rPr>
        <w:t xml:space="preserve">. The Borrower may at any time terminate, or from time to time reduce, the Commitments of either Class;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each reduction of the Commitments of a Class shall be in an amount that is $25,000,000 or a larger multiple of $5,000,000 in excess thereof and (ii) the Borrower shall not terminate or reduce the Commitments of either Class if, after giving effect to any concurrent prepayment of the Syndicated Loans of such Class in accordance with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the total Revolving Credit Exposures of such Class would exceed the total Commitments of such Class. Any such reduction of the Commitments below the principal amount of the Swingline Loans permitted under </w:t>
      </w:r>
      <w:r>
        <w:rPr>
          <w:rFonts w:ascii="Arial" w:cs="Arial" w:eastAsia="Arial" w:hAnsi="Arial"/>
          <w:sz w:val="16"/>
          <w:szCs w:val="16"/>
          <w:u w:val="single" w:color="auto"/>
          <w:color w:val="auto"/>
        </w:rPr>
        <w:t>Section 2.04(a)(i)</w:t>
      </w:r>
      <w:r>
        <w:rPr>
          <w:rFonts w:ascii="Arial" w:cs="Arial" w:eastAsia="Arial" w:hAnsi="Arial"/>
          <w:sz w:val="16"/>
          <w:szCs w:val="16"/>
          <w:color w:val="auto"/>
        </w:rPr>
        <w:t xml:space="preserve"> and the Letters of Credit permitted under </w:t>
      </w:r>
      <w:r>
        <w:rPr>
          <w:rFonts w:ascii="Arial" w:cs="Arial" w:eastAsia="Arial" w:hAnsi="Arial"/>
          <w:sz w:val="16"/>
          <w:szCs w:val="16"/>
          <w:u w:val="single" w:color="auto"/>
          <w:color w:val="auto"/>
        </w:rPr>
        <w:t>Section 2.05(c)(i)</w:t>
      </w:r>
      <w:r>
        <w:rPr>
          <w:rFonts w:ascii="Arial" w:cs="Arial" w:eastAsia="Arial" w:hAnsi="Arial"/>
          <w:sz w:val="16"/>
          <w:szCs w:val="16"/>
          <w:color w:val="auto"/>
        </w:rPr>
        <w:t xml:space="preserve"> shall result in a dollar-for-dollar reduction of such amounts as applicable.</w:t>
      </w:r>
    </w:p>
    <w:p>
      <w:pPr>
        <w:spacing w:after="0" w:line="164" w:lineRule="exact"/>
        <w:rPr>
          <w:rFonts w:ascii="Arial" w:cs="Arial" w:eastAsia="Arial" w:hAnsi="Arial"/>
          <w:sz w:val="16"/>
          <w:szCs w:val="16"/>
          <w:color w:val="auto"/>
        </w:rPr>
      </w:pPr>
    </w:p>
    <w:p>
      <w:pPr>
        <w:ind w:right="180" w:firstLine="906"/>
        <w:spacing w:after="0" w:line="263" w:lineRule="auto"/>
        <w:tabs>
          <w:tab w:leader="none" w:pos="1143"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Notice of Voluntary Termination or Reduction</w:t>
      </w:r>
      <w:r>
        <w:rPr>
          <w:rFonts w:ascii="Arial" w:cs="Arial" w:eastAsia="Arial" w:hAnsi="Arial"/>
          <w:sz w:val="18"/>
          <w:szCs w:val="18"/>
          <w:color w:val="auto"/>
        </w:rPr>
        <w:t xml:space="preserve">. The Borrower shall notify the Administrative Agent of any election to terminate or reduce the Commitments under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of this Section at least two Business Days prior to the effective date of such termination or reduction, specifying such election and the effective date thereof. Promptly following receipt of any notice, the</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274" w:right="339" w:bottom="1440" w:gutter="0" w:footer="0" w:header="0"/>
        </w:sectPr>
      </w:pPr>
    </w:p>
    <w:bookmarkStart w:id="57" w:name="page58"/>
    <w:bookmarkEnd w:id="57"/>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Administrative Agent shall advise the applicable Lenders of the contents thereof. Each notice delivered by the Borrower pursuant to this Section shall be irrevocable;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notice of termination of the Commitments of a Class delivered by the Borrower may state that such notice is conditioned upon the effectiveness of other credit facilities, in which case such notice may be revoked by the Borrower (by notice to the Administrative Agent on or prior to the specified effective date) if such condition is not satisfied.</w:t>
      </w:r>
    </w:p>
    <w:p>
      <w:pPr>
        <w:spacing w:after="0" w:line="187" w:lineRule="exact"/>
        <w:rPr>
          <w:sz w:val="20"/>
          <w:szCs w:val="20"/>
          <w:color w:val="auto"/>
        </w:rPr>
      </w:pPr>
    </w:p>
    <w:p>
      <w:pPr>
        <w:ind w:right="40" w:firstLine="906"/>
        <w:spacing w:after="0" w:line="308" w:lineRule="auto"/>
        <w:tabs>
          <w:tab w:leader="none" w:pos="1153" w:val="left"/>
        </w:tabs>
        <w:numPr>
          <w:ilvl w:val="1"/>
          <w:numId w:val="47"/>
        </w:numPr>
        <w:rPr>
          <w:rFonts w:ascii="Arial" w:cs="Arial" w:eastAsia="Arial" w:hAnsi="Arial"/>
          <w:sz w:val="17"/>
          <w:szCs w:val="17"/>
          <w:color w:val="auto"/>
        </w:rPr>
      </w:pPr>
      <w:r>
        <w:rPr>
          <w:rFonts w:ascii="Arial" w:cs="Arial" w:eastAsia="Arial" w:hAnsi="Arial"/>
          <w:sz w:val="17"/>
          <w:szCs w:val="17"/>
          <w:u w:val="single" w:color="auto"/>
          <w:color w:val="auto"/>
        </w:rPr>
        <w:t>Effect of Termination or Reduction</w:t>
      </w:r>
      <w:r>
        <w:rPr>
          <w:rFonts w:ascii="Arial" w:cs="Arial" w:eastAsia="Arial" w:hAnsi="Arial"/>
          <w:sz w:val="17"/>
          <w:szCs w:val="17"/>
          <w:color w:val="auto"/>
        </w:rPr>
        <w:t>. Any termination or reduction of the Commitments of a Class shall be permanent. Each reduction of the Commitments of a Class shall be made ratably among the Lenders of such Class in accordance with their respective Commitments.</w:t>
      </w:r>
    </w:p>
    <w:p>
      <w:pPr>
        <w:spacing w:after="0" w:line="146" w:lineRule="exact"/>
        <w:rPr>
          <w:rFonts w:ascii="Arial" w:cs="Arial" w:eastAsia="Arial" w:hAnsi="Arial"/>
          <w:sz w:val="17"/>
          <w:szCs w:val="17"/>
          <w:color w:val="auto"/>
        </w:rPr>
      </w:pPr>
    </w:p>
    <w:p>
      <w:pPr>
        <w:ind w:left="1160" w:hanging="254"/>
        <w:spacing w:after="0"/>
        <w:tabs>
          <w:tab w:leader="none" w:pos="1160"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Increase of the Commitments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40" w:firstLine="428"/>
        <w:spacing w:after="0" w:line="285" w:lineRule="auto"/>
        <w:tabs>
          <w:tab w:leader="none" w:pos="1106"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Requests for Increase by Borrower</w:t>
      </w:r>
      <w:r>
        <w:rPr>
          <w:rFonts w:ascii="Arial" w:cs="Arial" w:eastAsia="Arial" w:hAnsi="Arial"/>
          <w:sz w:val="16"/>
          <w:szCs w:val="16"/>
          <w:color w:val="auto"/>
        </w:rPr>
        <w:t>. The Borrower may, at any time, request that the Commitments hereunder of a Class be increased (each such proposed increase being a “</w:t>
      </w:r>
      <w:r>
        <w:rPr>
          <w:rFonts w:ascii="Arial" w:cs="Arial" w:eastAsia="Arial" w:hAnsi="Arial"/>
          <w:sz w:val="16"/>
          <w:szCs w:val="16"/>
          <w:u w:val="single" w:color="auto"/>
          <w:color w:val="auto"/>
        </w:rPr>
        <w:t>Commitment Increase</w:t>
      </w:r>
      <w:r>
        <w:rPr>
          <w:rFonts w:ascii="Arial" w:cs="Arial" w:eastAsia="Arial" w:hAnsi="Arial"/>
          <w:sz w:val="16"/>
          <w:szCs w:val="16"/>
          <w:color w:val="auto"/>
        </w:rPr>
        <w:t>”), upon notice to the Administrative Agent (who shall promptly notify the Lenders), which notice shall specify each existing Lender (each an “</w:t>
      </w:r>
      <w:r>
        <w:rPr>
          <w:rFonts w:ascii="Arial" w:cs="Arial" w:eastAsia="Arial" w:hAnsi="Arial"/>
          <w:sz w:val="16"/>
          <w:szCs w:val="16"/>
          <w:u w:val="single" w:color="auto"/>
          <w:color w:val="auto"/>
        </w:rPr>
        <w:t>Increasing Lender</w:t>
      </w:r>
      <w:r>
        <w:rPr>
          <w:rFonts w:ascii="Arial" w:cs="Arial" w:eastAsia="Arial" w:hAnsi="Arial"/>
          <w:sz w:val="16"/>
          <w:szCs w:val="16"/>
          <w:color w:val="auto"/>
        </w:rPr>
        <w:t>”) and/or each additional lender (each an “</w:t>
      </w:r>
      <w:r>
        <w:rPr>
          <w:rFonts w:ascii="Arial" w:cs="Arial" w:eastAsia="Arial" w:hAnsi="Arial"/>
          <w:sz w:val="16"/>
          <w:szCs w:val="16"/>
          <w:u w:val="single" w:color="auto"/>
          <w:color w:val="auto"/>
        </w:rPr>
        <w:t>Assuming Lender</w:t>
      </w:r>
      <w:r>
        <w:rPr>
          <w:rFonts w:ascii="Arial" w:cs="Arial" w:eastAsia="Arial" w:hAnsi="Arial"/>
          <w:sz w:val="16"/>
          <w:szCs w:val="16"/>
          <w:color w:val="auto"/>
        </w:rPr>
        <w:t>”) that shall have agreed to an additional Commitment and the date on which such increase is to be effective (the “</w:t>
      </w:r>
      <w:r>
        <w:rPr>
          <w:rFonts w:ascii="Arial" w:cs="Arial" w:eastAsia="Arial" w:hAnsi="Arial"/>
          <w:sz w:val="16"/>
          <w:szCs w:val="16"/>
          <w:u w:val="single" w:color="auto"/>
          <w:color w:val="auto"/>
        </w:rPr>
        <w:t>Commitment Increase Date</w:t>
      </w:r>
      <w:r>
        <w:rPr>
          <w:rFonts w:ascii="Arial" w:cs="Arial" w:eastAsia="Arial" w:hAnsi="Arial"/>
          <w:sz w:val="16"/>
          <w:szCs w:val="16"/>
          <w:color w:val="auto"/>
        </w:rPr>
        <w:t>”), which shall be a Business Day at least three Business Days (or such lesser period as the Administrative Agent may reasonably agree) after delivery of such notice and</w:t>
      </w:r>
    </w:p>
    <w:p>
      <w:pPr>
        <w:spacing w:after="0" w:line="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 xml:space="preserve">30 days prior to the Commitment Termination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02" w:lineRule="exact"/>
        <w:rPr>
          <w:rFonts w:ascii="Arial" w:cs="Arial" w:eastAsia="Arial" w:hAnsi="Arial"/>
          <w:sz w:val="16"/>
          <w:szCs w:val="16"/>
          <w:color w:val="auto"/>
        </w:rPr>
      </w:pPr>
    </w:p>
    <w:p>
      <w:pPr>
        <w:jc w:val="both"/>
        <w:ind w:left="900" w:right="60" w:firstLine="420"/>
        <w:spacing w:after="0" w:line="263" w:lineRule="auto"/>
        <w:tabs>
          <w:tab w:leader="none" w:pos="1608" w:val="left"/>
        </w:tabs>
        <w:numPr>
          <w:ilvl w:val="2"/>
          <w:numId w:val="48"/>
        </w:numPr>
        <w:rPr>
          <w:rFonts w:ascii="Arial" w:cs="Arial" w:eastAsia="Arial" w:hAnsi="Arial"/>
          <w:sz w:val="18"/>
          <w:szCs w:val="18"/>
          <w:color w:val="auto"/>
        </w:rPr>
      </w:pPr>
      <w:r>
        <w:rPr>
          <w:rFonts w:ascii="Arial" w:cs="Arial" w:eastAsia="Arial" w:hAnsi="Arial"/>
          <w:sz w:val="18"/>
          <w:szCs w:val="18"/>
          <w:color w:val="auto"/>
        </w:rPr>
        <w:t>the minimum amount of the Commitment of any Assuming Lender, and the minimum amount of the increase of the Commitment of any Increasing Lender, as part of such Commitment Increase shall be $10,000,000 or a larger multiple of $5,000,000 in excess thereof (or such lesser amount as the Administrative Agent may reasonably agree);</w:t>
      </w:r>
    </w:p>
    <w:p>
      <w:pPr>
        <w:spacing w:after="0" w:line="75" w:lineRule="exact"/>
        <w:rPr>
          <w:rFonts w:ascii="Arial" w:cs="Arial" w:eastAsia="Arial" w:hAnsi="Arial"/>
          <w:sz w:val="18"/>
          <w:szCs w:val="18"/>
          <w:color w:val="auto"/>
        </w:rPr>
      </w:pPr>
    </w:p>
    <w:p>
      <w:pPr>
        <w:ind w:left="900" w:right="540" w:firstLine="420"/>
        <w:spacing w:after="0" w:line="277" w:lineRule="auto"/>
        <w:tabs>
          <w:tab w:leader="none" w:pos="1598" w:val="left"/>
        </w:tabs>
        <w:numPr>
          <w:ilvl w:val="2"/>
          <w:numId w:val="48"/>
        </w:numPr>
        <w:rPr>
          <w:rFonts w:ascii="Arial" w:cs="Arial" w:eastAsia="Arial" w:hAnsi="Arial"/>
          <w:sz w:val="18"/>
          <w:szCs w:val="18"/>
          <w:color w:val="auto"/>
        </w:rPr>
      </w:pPr>
      <w:r>
        <w:rPr>
          <w:rFonts w:ascii="Arial" w:cs="Arial" w:eastAsia="Arial" w:hAnsi="Arial"/>
          <w:sz w:val="18"/>
          <w:szCs w:val="18"/>
          <w:color w:val="auto"/>
        </w:rPr>
        <w:t>immediately after giving effect to such Commitment Increase, the total Commitments of all of the Lenders hereunder shall not exceed $700,000,000;</w:t>
      </w:r>
    </w:p>
    <w:p>
      <w:pPr>
        <w:spacing w:after="0" w:line="62" w:lineRule="exact"/>
        <w:rPr>
          <w:rFonts w:ascii="Arial" w:cs="Arial" w:eastAsia="Arial" w:hAnsi="Arial"/>
          <w:sz w:val="18"/>
          <w:szCs w:val="18"/>
          <w:color w:val="auto"/>
        </w:rPr>
      </w:pPr>
    </w:p>
    <w:p>
      <w:pPr>
        <w:ind w:left="900" w:right="60" w:firstLine="420"/>
        <w:spacing w:after="0" w:line="277" w:lineRule="auto"/>
        <w:tabs>
          <w:tab w:leader="none" w:pos="1598" w:val="left"/>
        </w:tabs>
        <w:numPr>
          <w:ilvl w:val="2"/>
          <w:numId w:val="48"/>
        </w:numPr>
        <w:rPr>
          <w:rFonts w:ascii="Arial" w:cs="Arial" w:eastAsia="Arial" w:hAnsi="Arial"/>
          <w:sz w:val="18"/>
          <w:szCs w:val="18"/>
          <w:color w:val="auto"/>
        </w:rPr>
      </w:pPr>
      <w:r>
        <w:rPr>
          <w:rFonts w:ascii="Arial" w:cs="Arial" w:eastAsia="Arial" w:hAnsi="Arial"/>
          <w:sz w:val="18"/>
          <w:szCs w:val="18"/>
          <w:color w:val="auto"/>
        </w:rPr>
        <w:t>each Assuming Lender shall be consented to by the Administrative Agent and the Issuing Bank (such consent not to be unreasonably withheld);</w:t>
      </w:r>
    </w:p>
    <w:p>
      <w:pPr>
        <w:spacing w:after="0" w:line="62" w:lineRule="exact"/>
        <w:rPr>
          <w:rFonts w:ascii="Arial" w:cs="Arial" w:eastAsia="Arial" w:hAnsi="Arial"/>
          <w:sz w:val="18"/>
          <w:szCs w:val="18"/>
          <w:color w:val="auto"/>
        </w:rPr>
      </w:pPr>
    </w:p>
    <w:p>
      <w:pPr>
        <w:ind w:left="900" w:right="80" w:firstLine="420"/>
        <w:spacing w:after="0" w:line="277" w:lineRule="auto"/>
        <w:tabs>
          <w:tab w:leader="none" w:pos="1608" w:val="left"/>
        </w:tabs>
        <w:numPr>
          <w:ilvl w:val="2"/>
          <w:numId w:val="48"/>
        </w:numPr>
        <w:rPr>
          <w:rFonts w:ascii="Arial" w:cs="Arial" w:eastAsia="Arial" w:hAnsi="Arial"/>
          <w:sz w:val="18"/>
          <w:szCs w:val="18"/>
          <w:color w:val="auto"/>
        </w:rPr>
      </w:pPr>
      <w:r>
        <w:rPr>
          <w:rFonts w:ascii="Arial" w:cs="Arial" w:eastAsia="Arial" w:hAnsi="Arial"/>
          <w:sz w:val="18"/>
          <w:szCs w:val="18"/>
          <w:color w:val="auto"/>
        </w:rPr>
        <w:t>no Default shall have occurred and be continuing on such Commitment Increase Date or shall result from the proposed Commitment Increase; and</w:t>
      </w:r>
    </w:p>
    <w:p>
      <w:pPr>
        <w:spacing w:after="0" w:line="62" w:lineRule="exact"/>
        <w:rPr>
          <w:rFonts w:ascii="Arial" w:cs="Arial" w:eastAsia="Arial" w:hAnsi="Arial"/>
          <w:sz w:val="18"/>
          <w:szCs w:val="18"/>
          <w:color w:val="auto"/>
        </w:rPr>
      </w:pPr>
    </w:p>
    <w:p>
      <w:pPr>
        <w:ind w:left="900" w:right="80" w:firstLine="420"/>
        <w:spacing w:after="0" w:line="259" w:lineRule="auto"/>
        <w:tabs>
          <w:tab w:leader="none" w:pos="1588" w:val="left"/>
        </w:tabs>
        <w:numPr>
          <w:ilvl w:val="2"/>
          <w:numId w:val="48"/>
        </w:numPr>
        <w:rPr>
          <w:rFonts w:ascii="Arial" w:cs="Arial" w:eastAsia="Arial" w:hAnsi="Arial"/>
          <w:sz w:val="18"/>
          <w:szCs w:val="18"/>
          <w:color w:val="auto"/>
        </w:rPr>
      </w:pPr>
      <w:r>
        <w:rPr>
          <w:rFonts w:ascii="Arial" w:cs="Arial" w:eastAsia="Arial" w:hAnsi="Arial"/>
          <w:sz w:val="18"/>
          <w:szCs w:val="18"/>
          <w:color w:val="auto"/>
        </w:rPr>
        <w:t>the representations and warranties contained in this Agreement shall be true and correct in all material respects (or, in the case of any portion of the representations and warranties already subject to a materiality qualifier, true and correct in all respects) on and as of the Commitment Increase Date as if made on and as of such date (or, if any such representation or warranty is expressly stated to have been made as of a specific date, as of such specific date).</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274" w:right="339" w:bottom="1440" w:gutter="0" w:footer="0" w:header="0"/>
        </w:sectPr>
      </w:pPr>
    </w:p>
    <w:bookmarkStart w:id="58" w:name="page59"/>
    <w:bookmarkEnd w:id="58"/>
    <w:p>
      <w:pPr>
        <w:ind w:firstLine="428"/>
        <w:spacing w:after="0" w:line="263" w:lineRule="auto"/>
        <w:tabs>
          <w:tab w:leader="none" w:pos="696"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Effectiveness of Commitment Increase by Borrower</w:t>
      </w:r>
      <w:r>
        <w:rPr>
          <w:rFonts w:ascii="Arial" w:cs="Arial" w:eastAsia="Arial" w:hAnsi="Arial"/>
          <w:sz w:val="18"/>
          <w:szCs w:val="18"/>
          <w:color w:val="auto"/>
        </w:rPr>
        <w:t xml:space="preserve">. An Assuming Lender, if any, shall become a Lender hereunder as of such Commitment Increase Date and the Commitment of the respective Class of any Increasing Lender and such Assuming Lender shall be increased as of such Commitment Increase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75" w:lineRule="exact"/>
        <w:rPr>
          <w:rFonts w:ascii="Arial" w:cs="Arial" w:eastAsia="Arial" w:hAnsi="Arial"/>
          <w:sz w:val="18"/>
          <w:szCs w:val="18"/>
          <w:color w:val="auto"/>
        </w:rPr>
      </w:pPr>
    </w:p>
    <w:p>
      <w:pPr>
        <w:ind w:left="440" w:right="40" w:firstLine="420"/>
        <w:spacing w:after="0" w:line="311" w:lineRule="auto"/>
        <w:tabs>
          <w:tab w:leader="none" w:pos="1108" w:val="left"/>
        </w:tabs>
        <w:numPr>
          <w:ilvl w:val="1"/>
          <w:numId w:val="49"/>
        </w:numPr>
        <w:rPr>
          <w:rFonts w:ascii="Arial" w:cs="Arial" w:eastAsia="Arial" w:hAnsi="Arial"/>
          <w:sz w:val="16"/>
          <w:szCs w:val="16"/>
          <w:color w:val="auto"/>
        </w:rPr>
      </w:pPr>
      <w:r>
        <w:rPr>
          <w:rFonts w:ascii="Arial" w:cs="Arial" w:eastAsia="Arial" w:hAnsi="Arial"/>
          <w:sz w:val="16"/>
          <w:szCs w:val="16"/>
          <w:color w:val="auto"/>
        </w:rPr>
        <w:t xml:space="preserve">the Administrative Agent shall have received on or prior to 11:00 a.m., Atlanta, Georgia time, on such Commitment Increase Date (or on or prior to a time on an earlier date specified by the Administrative Agent) a certificate of a duly authorized officer of the Borrower stating that each of the applicable conditions to such commitment Increase set forth in the foregoing </w:t>
      </w:r>
      <w:r>
        <w:rPr>
          <w:rFonts w:ascii="Arial" w:cs="Arial" w:eastAsia="Arial" w:hAnsi="Arial"/>
          <w:sz w:val="16"/>
          <w:szCs w:val="16"/>
          <w:u w:val="single" w:color="auto"/>
          <w:color w:val="auto"/>
        </w:rPr>
        <w:t>paragraph (i)</w:t>
      </w:r>
      <w:r>
        <w:rPr>
          <w:rFonts w:ascii="Arial" w:cs="Arial" w:eastAsia="Arial" w:hAnsi="Arial"/>
          <w:sz w:val="16"/>
          <w:szCs w:val="16"/>
          <w:color w:val="auto"/>
        </w:rPr>
        <w:t xml:space="preserve"> has been satisfied; and</w:t>
      </w:r>
    </w:p>
    <w:p>
      <w:pPr>
        <w:spacing w:after="0" w:line="40" w:lineRule="exact"/>
        <w:rPr>
          <w:rFonts w:ascii="Arial" w:cs="Arial" w:eastAsia="Arial" w:hAnsi="Arial"/>
          <w:sz w:val="16"/>
          <w:szCs w:val="16"/>
          <w:color w:val="auto"/>
        </w:rPr>
      </w:pPr>
    </w:p>
    <w:p>
      <w:pPr>
        <w:ind w:left="440" w:right="60" w:firstLine="420"/>
        <w:spacing w:after="0" w:line="275" w:lineRule="auto"/>
        <w:tabs>
          <w:tab w:leader="none" w:pos="1108" w:val="left"/>
        </w:tabs>
        <w:numPr>
          <w:ilvl w:val="1"/>
          <w:numId w:val="49"/>
        </w:numPr>
        <w:rPr>
          <w:rFonts w:ascii="Arial" w:cs="Arial" w:eastAsia="Arial" w:hAnsi="Arial"/>
          <w:sz w:val="17"/>
          <w:szCs w:val="17"/>
          <w:color w:val="auto"/>
        </w:rPr>
      </w:pPr>
      <w:r>
        <w:rPr>
          <w:rFonts w:ascii="Arial" w:cs="Arial" w:eastAsia="Arial" w:hAnsi="Arial"/>
          <w:sz w:val="17"/>
          <w:szCs w:val="17"/>
          <w:color w:val="auto"/>
        </w:rPr>
        <w:t>each Assuming Lender or Increasing Lender shall have delivered to the Administrative Agent, on or prior to 11:00 a.m., Atlanta, Georgia time on such commitment Increase Date (or on or prior to a time on an earlier date specified by the Administrative Agent), an agreement, in form and substance satisfactory to the Borrower and the Administrative Agent, pursuant to which such Lender shall, effective as of such Commitment Increase Date, undertake a Commitment or an increase of Commitment in each case of the respective Class, duly executed by such Assuming Lender and the Borrower and acknowledged by the Administrative Agent.</w:t>
      </w:r>
    </w:p>
    <w:p>
      <w:pPr>
        <w:spacing w:after="0" w:line="68"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Promptly following satisfaction of such conditions, the Administrative Agent shall notify the Lenders of such Class (including any Assuming Lenders) thereof and of the occurrence of the Commitment Increase Date by facsimile transmission or electronic messaging system.</w:t>
      </w:r>
    </w:p>
    <w:p>
      <w:pPr>
        <w:spacing w:after="0" w:line="16" w:lineRule="exact"/>
        <w:rPr>
          <w:sz w:val="20"/>
          <w:szCs w:val="20"/>
          <w:color w:val="auto"/>
        </w:rPr>
      </w:pPr>
    </w:p>
    <w:p>
      <w:pPr>
        <w:ind w:right="360" w:firstLine="428"/>
        <w:spacing w:after="0" w:line="259" w:lineRule="auto"/>
        <w:tabs>
          <w:tab w:leader="none" w:pos="746"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Recordation into Register</w:t>
      </w:r>
      <w:r>
        <w:rPr>
          <w:rFonts w:ascii="Arial" w:cs="Arial" w:eastAsia="Arial" w:hAnsi="Arial"/>
          <w:sz w:val="18"/>
          <w:szCs w:val="18"/>
          <w:color w:val="auto"/>
        </w:rPr>
        <w:t xml:space="preserve">. Upon its receipt of an agreement referred to in </w:t>
      </w:r>
      <w:r>
        <w:rPr>
          <w:rFonts w:ascii="Arial" w:cs="Arial" w:eastAsia="Arial" w:hAnsi="Arial"/>
          <w:sz w:val="18"/>
          <w:szCs w:val="18"/>
          <w:u w:val="single" w:color="auto"/>
          <w:color w:val="auto"/>
        </w:rPr>
        <w:t>clause (ii)(y)</w:t>
      </w:r>
      <w:r>
        <w:rPr>
          <w:rFonts w:ascii="Arial" w:cs="Arial" w:eastAsia="Arial" w:hAnsi="Arial"/>
          <w:sz w:val="18"/>
          <w:szCs w:val="18"/>
          <w:color w:val="auto"/>
        </w:rPr>
        <w:t xml:space="preserve"> above executed by an Assuming Lender or any Increasing Lender, together with the certificate referred to in </w:t>
      </w:r>
      <w:r>
        <w:rPr>
          <w:rFonts w:ascii="Arial" w:cs="Arial" w:eastAsia="Arial" w:hAnsi="Arial"/>
          <w:sz w:val="18"/>
          <w:szCs w:val="18"/>
          <w:u w:val="single" w:color="auto"/>
          <w:color w:val="auto"/>
        </w:rPr>
        <w:t>clause (ii)(x)</w:t>
      </w:r>
      <w:r>
        <w:rPr>
          <w:rFonts w:ascii="Arial" w:cs="Arial" w:eastAsia="Arial" w:hAnsi="Arial"/>
          <w:sz w:val="18"/>
          <w:szCs w:val="18"/>
          <w:color w:val="auto"/>
        </w:rPr>
        <w:t xml:space="preserve"> above, the Administrative Agent shall, if such agreement has been completed, (x) accept such agreement, (y) record the information contained therein in the Register and (z) give prompt notice thereof to the Borrower.</w:t>
      </w:r>
    </w:p>
    <w:p>
      <w:pPr>
        <w:spacing w:after="0" w:line="78" w:lineRule="exact"/>
        <w:rPr>
          <w:rFonts w:ascii="Arial" w:cs="Arial" w:eastAsia="Arial" w:hAnsi="Arial"/>
          <w:sz w:val="18"/>
          <w:szCs w:val="18"/>
          <w:color w:val="auto"/>
        </w:rPr>
      </w:pPr>
    </w:p>
    <w:p>
      <w:pPr>
        <w:ind w:right="160" w:firstLine="428"/>
        <w:spacing w:after="0" w:line="290" w:lineRule="auto"/>
        <w:tabs>
          <w:tab w:leader="none" w:pos="736"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Adjustments of Borrowings upon Effectiveness of Increase</w:t>
      </w:r>
      <w:r>
        <w:rPr>
          <w:rFonts w:ascii="Arial" w:cs="Arial" w:eastAsia="Arial" w:hAnsi="Arial"/>
          <w:sz w:val="16"/>
          <w:szCs w:val="16"/>
          <w:color w:val="auto"/>
        </w:rPr>
        <w:t xml:space="preserve">. On the Commitment Increase Date, the Borrower shall (A) prepay the outstanding Loans (if any) of the affected Class in full, (B) simultaneously borrow new Loans of such Class hereunder in an amount equal to such prepayment;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w:t>
      </w:r>
      <w:r>
        <w:rPr>
          <w:rFonts w:ascii="Arial" w:cs="Arial" w:eastAsia="Arial" w:hAnsi="Arial"/>
          <w:sz w:val="16"/>
          <w:szCs w:val="16"/>
          <w:u w:val="single" w:color="auto"/>
          <w:color w:val="auto"/>
        </w:rPr>
        <w:t>subclauses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(x) the prepayment to, and borrowing from, any existing Lender shall be effected by book entry to the extent that any portion of the amount prepaid to such Lender will be subsequently borrowed from such Lender and (y) the existing Lenders, the Increasing Lenders and the Assuming Lenders shall make and receive payments among themselves, in a manner acceptable to the Administrative Agent, so that, after giving effect thereto, the Loans of such Class are held ratably by the Lenders of such Class in accordance with the respective Commitments of such Class of such Lenders (after giving effect to such Commitment Increase) and (C) pay to the Lenders of such Class the amounts, if any, payable under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as a result of any such prepayment. Concurrently</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780"/>
          </w:cols>
          <w:pgMar w:left="780" w:top="274" w:right="339" w:bottom="1440" w:gutter="0" w:footer="0" w:header="0"/>
        </w:sectPr>
      </w:pPr>
    </w:p>
    <w:bookmarkStart w:id="59" w:name="page60"/>
    <w:bookmarkEnd w:id="59"/>
    <w:p>
      <w:pPr>
        <w:ind w:left="460"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therewith, the Lenders of such Class shall be deemed to have adjusted their participation interests in any outstanding Letters of Credit of such Class so that such interests are held ratably in accordance with their commitments of such Class as so increased.</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u w:val="single" w:color="auto"/>
          <w:color w:val="auto"/>
        </w:rPr>
        <w:t>Repayment of Loans; Evidence of Debt</w:t>
      </w:r>
      <w:r>
        <w:rPr>
          <w:rFonts w:ascii="Arial" w:cs="Arial" w:eastAsia="Arial" w:hAnsi="Arial"/>
          <w:sz w:val="18"/>
          <w:szCs w:val="18"/>
          <w:color w:val="auto"/>
        </w:rPr>
        <w:t>.</w:t>
      </w:r>
    </w:p>
    <w:p>
      <w:pPr>
        <w:spacing w:after="0" w:line="225" w:lineRule="exact"/>
        <w:rPr>
          <w:sz w:val="20"/>
          <w:szCs w:val="20"/>
          <w:color w:val="auto"/>
        </w:rPr>
      </w:pPr>
    </w:p>
    <w:p>
      <w:pPr>
        <w:ind w:left="1160" w:hanging="254"/>
        <w:spacing w:after="0"/>
        <w:tabs>
          <w:tab w:leader="none" w:pos="1160"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Repayment</w:t>
      </w:r>
      <w:r>
        <w:rPr>
          <w:rFonts w:ascii="Arial" w:cs="Arial" w:eastAsia="Arial" w:hAnsi="Arial"/>
          <w:sz w:val="18"/>
          <w:szCs w:val="18"/>
          <w:color w:val="auto"/>
        </w:rPr>
        <w:t>. The Borrower hereby unconditionally promises to pay the Loans of each Class as follows:</w:t>
      </w:r>
    </w:p>
    <w:p>
      <w:pPr>
        <w:spacing w:after="0" w:line="117" w:lineRule="exact"/>
        <w:rPr>
          <w:rFonts w:ascii="Arial" w:cs="Arial" w:eastAsia="Arial" w:hAnsi="Arial"/>
          <w:sz w:val="18"/>
          <w:szCs w:val="18"/>
          <w:color w:val="auto"/>
        </w:rPr>
      </w:pPr>
    </w:p>
    <w:p>
      <w:pPr>
        <w:ind w:left="460" w:right="400" w:firstLine="428"/>
        <w:spacing w:after="0" w:line="277" w:lineRule="auto"/>
        <w:tabs>
          <w:tab w:leader="none" w:pos="1106"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the Administrative Agent for account of the Lenders of such Class the outstanding principal amount of the Syndicated Loans of such Class on the Final Maturity Date; and</w:t>
      </w:r>
    </w:p>
    <w:p>
      <w:pPr>
        <w:spacing w:after="0" w:line="62" w:lineRule="exact"/>
        <w:rPr>
          <w:rFonts w:ascii="Arial" w:cs="Arial" w:eastAsia="Arial" w:hAnsi="Arial"/>
          <w:sz w:val="18"/>
          <w:szCs w:val="18"/>
          <w:color w:val="auto"/>
        </w:rPr>
      </w:pPr>
    </w:p>
    <w:p>
      <w:pPr>
        <w:ind w:left="460" w:right="80" w:firstLine="428"/>
        <w:spacing w:after="0" w:line="259" w:lineRule="auto"/>
        <w:tabs>
          <w:tab w:leader="none" w:pos="1156"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to the Swingline Lender the then unpaid principal amount of each Swingline Loan of such Class denominated in Dollars, on the earlier of the Commitment Termination Date and the first date after such Swingline Loan is made that is the 15th or last day of a calendar month and is at least ten Business Days after such Swingline Loan is made;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on each date that a Syndicated Borrowing of such Class is made, the Borrower shall repay all Swingline Loans of such Class then outstanding.</w:t>
      </w:r>
    </w:p>
    <w:p>
      <w:pPr>
        <w:spacing w:after="0" w:line="187" w:lineRule="exact"/>
        <w:rPr>
          <w:sz w:val="20"/>
          <w:szCs w:val="20"/>
          <w:color w:val="auto"/>
        </w:rPr>
      </w:pPr>
    </w:p>
    <w:p>
      <w:pPr>
        <w:ind w:right="120" w:firstLine="898"/>
        <w:spacing w:after="0" w:line="279" w:lineRule="auto"/>
        <w:rPr>
          <w:sz w:val="20"/>
          <w:szCs w:val="20"/>
          <w:color w:val="auto"/>
        </w:rPr>
      </w:pPr>
      <w:r>
        <w:rPr>
          <w:rFonts w:ascii="Arial" w:cs="Arial" w:eastAsia="Arial" w:hAnsi="Arial"/>
          <w:sz w:val="17"/>
          <w:szCs w:val="17"/>
          <w:color w:val="auto"/>
        </w:rPr>
        <w:t>In addition, on the Commitment Termination Date, the Borrower shall deposit into the Letter of Credit Collateral Account Cash (denominated in the Currency of the Letter of Credit under which such LC Exposure arises) in an amount equal to 100% of the undrawn face amount of all Letters of Credit outstanding on the close of business on the Commitment Termination Date, such deposit to be held by the Administrative Agent as collateral security for the LC Exposure under this Agreement in respect of the undrawn portion of such Letters of Credit.</w:t>
      </w:r>
    </w:p>
    <w:p>
      <w:pPr>
        <w:spacing w:after="0" w:line="171" w:lineRule="exact"/>
        <w:rPr>
          <w:sz w:val="20"/>
          <w:szCs w:val="20"/>
          <w:color w:val="auto"/>
        </w:rPr>
      </w:pPr>
    </w:p>
    <w:p>
      <w:pPr>
        <w:ind w:right="200" w:firstLine="906"/>
        <w:spacing w:after="0" w:line="254" w:lineRule="auto"/>
        <w:tabs>
          <w:tab w:leader="none" w:pos="1153"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Manner of Payment</w:t>
      </w:r>
      <w:r>
        <w:rPr>
          <w:rFonts w:ascii="Arial" w:cs="Arial" w:eastAsia="Arial" w:hAnsi="Arial"/>
          <w:sz w:val="18"/>
          <w:szCs w:val="18"/>
          <w:color w:val="auto"/>
        </w:rPr>
        <w:t xml:space="preserve">. Prior to any repayment or prepayment of any Borrowings of any Class hereunder, the Borrower shall select the Borrowing or Borrowings of such Class to be paid and shall notify the Administrative Agent by telephone (confirmed by telecopy) of such selection not later than the time set forth in </w:t>
      </w:r>
      <w:r>
        <w:rPr>
          <w:rFonts w:ascii="Arial" w:cs="Arial" w:eastAsia="Arial" w:hAnsi="Arial"/>
          <w:sz w:val="18"/>
          <w:szCs w:val="18"/>
          <w:u w:val="single" w:color="auto"/>
          <w:color w:val="auto"/>
        </w:rPr>
        <w:t>Section 2.10(f)</w:t>
      </w:r>
      <w:r>
        <w:rPr>
          <w:rFonts w:ascii="Arial" w:cs="Arial" w:eastAsia="Arial" w:hAnsi="Arial"/>
          <w:sz w:val="18"/>
          <w:szCs w:val="18"/>
          <w:color w:val="auto"/>
        </w:rPr>
        <w:t xml:space="preserve"> prior to the scheduled date of such repayment;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repayment of Borrowings of a Class shall be applied to repay any outstanding ABR Borrowings of such Class before any other Borrowings of such Class. If the Borrower fails to make a timely selection of the Borrowing or Borrowings to be repaid or prepaid, such payment shall be applied, first, to pay any outstanding ABR Borrowings of the applicable Class and, second, to other Borrowings of such Class in the order of the remaining duration of their respective Interest Periods (the Borrowing with the shortest remaining Interest Period to be repaid first). Each payment of a Syndicated Borrowing shall be applied ratably to the Loans included in such Borrowing.</w:t>
      </w:r>
    </w:p>
    <w:p>
      <w:pPr>
        <w:spacing w:after="0" w:line="191" w:lineRule="exact"/>
        <w:rPr>
          <w:rFonts w:ascii="Arial" w:cs="Arial" w:eastAsia="Arial" w:hAnsi="Arial"/>
          <w:sz w:val="18"/>
          <w:szCs w:val="18"/>
          <w:color w:val="auto"/>
        </w:rPr>
      </w:pPr>
    </w:p>
    <w:p>
      <w:pPr>
        <w:jc w:val="both"/>
        <w:ind w:right="120" w:firstLine="906"/>
        <w:spacing w:after="0" w:line="263" w:lineRule="auto"/>
        <w:tabs>
          <w:tab w:leader="none" w:pos="1143"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Maintenance of Records by Lenders</w:t>
      </w:r>
      <w:r>
        <w:rPr>
          <w:rFonts w:ascii="Arial" w:cs="Arial" w:eastAsia="Arial" w:hAnsi="Arial"/>
          <w:sz w:val="18"/>
          <w:szCs w:val="18"/>
          <w:color w:val="auto"/>
        </w:rPr>
        <w:t>. Each Lender shall maintain in accordance with its usual practice records evidencing the indebtedness of the Borrower to such Lender resulting from each Loan made by such Lender, including the amounts and Currency of principal and interest payable and paid to such Lender from time to time hereunder.</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274" w:right="339" w:bottom="1440" w:gutter="0" w:footer="0" w:header="0"/>
        </w:sectPr>
      </w:pPr>
    </w:p>
    <w:bookmarkStart w:id="60" w:name="page61"/>
    <w:bookmarkEnd w:id="60"/>
    <w:p>
      <w:pPr>
        <w:jc w:val="both"/>
        <w:ind w:right="360" w:firstLine="906"/>
        <w:spacing w:after="0" w:line="301" w:lineRule="auto"/>
        <w:tabs>
          <w:tab w:leader="none" w:pos="1153"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Maintenance of Records by the Administrative Agent</w:t>
      </w:r>
      <w:r>
        <w:rPr>
          <w:rFonts w:ascii="Arial" w:cs="Arial" w:eastAsia="Arial" w:hAnsi="Arial"/>
          <w:sz w:val="16"/>
          <w:szCs w:val="16"/>
          <w:color w:val="auto"/>
        </w:rPr>
        <w:t>. The Administrative Agent shall maintain records in which it shall record (i) the amount and Currency of each Loan made hereunder, the Class and Type thereof and each Interest Period therefor, (ii) the amount and Currency of any principal or interest due and payable or to become due and payable from the Borrower to each Lender of such Class hereunder and (iii) the amount and Currency of any sum received by the Administrative Agent hereunder for account of the Lenders and each Lender’s share thereof.</w:t>
      </w:r>
    </w:p>
    <w:p>
      <w:pPr>
        <w:spacing w:after="0" w:line="157" w:lineRule="exact"/>
        <w:rPr>
          <w:rFonts w:ascii="Arial" w:cs="Arial" w:eastAsia="Arial" w:hAnsi="Arial"/>
          <w:sz w:val="16"/>
          <w:szCs w:val="16"/>
          <w:color w:val="auto"/>
        </w:rPr>
      </w:pPr>
    </w:p>
    <w:p>
      <w:pPr>
        <w:jc w:val="both"/>
        <w:ind w:right="120" w:firstLine="906"/>
        <w:spacing w:after="0" w:line="259" w:lineRule="auto"/>
        <w:tabs>
          <w:tab w:leader="none" w:pos="1143"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Effect of Entries</w:t>
      </w:r>
      <w:r>
        <w:rPr>
          <w:rFonts w:ascii="Arial" w:cs="Arial" w:eastAsia="Arial" w:hAnsi="Arial"/>
          <w:sz w:val="18"/>
          <w:szCs w:val="18"/>
          <w:color w:val="auto"/>
        </w:rPr>
        <w:t xml:space="preserve">. The entries made in the records maintained pursuant to </w:t>
      </w:r>
      <w:r>
        <w:rPr>
          <w:rFonts w:ascii="Arial" w:cs="Arial" w:eastAsia="Arial" w:hAnsi="Arial"/>
          <w:sz w:val="18"/>
          <w:szCs w:val="18"/>
          <w:u w:val="single" w:color="auto"/>
          <w:color w:val="auto"/>
        </w:rPr>
        <w:t>paragraph (c)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of this Section shall be </w:t>
      </w:r>
      <w:r>
        <w:rPr>
          <w:rFonts w:ascii="Arial" w:cs="Arial" w:eastAsia="Arial" w:hAnsi="Arial"/>
          <w:sz w:val="18"/>
          <w:szCs w:val="18"/>
          <w:u w:val="single" w:color="auto"/>
          <w:color w:val="auto"/>
        </w:rPr>
        <w:t>prima facie</w:t>
      </w:r>
      <w:r>
        <w:rPr>
          <w:rFonts w:ascii="Arial" w:cs="Arial" w:eastAsia="Arial" w:hAnsi="Arial"/>
          <w:sz w:val="18"/>
          <w:szCs w:val="18"/>
          <w:color w:val="auto"/>
        </w:rPr>
        <w:t xml:space="preserve"> evidence, absent obvious error, of the existence and amounts of the obligations recorded therein;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of any Lender or the Administrative Agent to maintain such records or any error therein shall not in any manner affect the obligation of the Borrower to repay the Loans in accordance with the terms of this Agreement.</w:t>
      </w:r>
    </w:p>
    <w:p>
      <w:pPr>
        <w:spacing w:after="0" w:line="186" w:lineRule="exact"/>
        <w:rPr>
          <w:rFonts w:ascii="Arial" w:cs="Arial" w:eastAsia="Arial" w:hAnsi="Arial"/>
          <w:sz w:val="18"/>
          <w:szCs w:val="18"/>
          <w:color w:val="auto"/>
        </w:rPr>
      </w:pPr>
    </w:p>
    <w:p>
      <w:pPr>
        <w:ind w:right="120" w:firstLine="906"/>
        <w:spacing w:after="0" w:line="275" w:lineRule="auto"/>
        <w:tabs>
          <w:tab w:leader="none" w:pos="1123"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Promissory Notes</w:t>
      </w:r>
      <w:r>
        <w:rPr>
          <w:rFonts w:ascii="Arial" w:cs="Arial" w:eastAsia="Arial" w:hAnsi="Arial"/>
          <w:sz w:val="17"/>
          <w:szCs w:val="17"/>
          <w:color w:val="auto"/>
        </w:rPr>
        <w:t xml:space="preserve">. Any Lender may request that Loans of any Class made by it be evidenced by a promissory note; in such event, the Borrower shall prepare, execute and deliver to such Lender a promissory note payable to such Lender (or, if requested by such Lender, to such Lender and its registered assigns) and in a form approved by the Administrative Agent. Thereafter, the Loans evidenced by such promissory note and interest thereon shall at all times (including after assignment pursuant to </w:t>
      </w:r>
      <w:r>
        <w:rPr>
          <w:rFonts w:ascii="Arial" w:cs="Arial" w:eastAsia="Arial" w:hAnsi="Arial"/>
          <w:sz w:val="17"/>
          <w:szCs w:val="17"/>
          <w:u w:val="single" w:color="auto"/>
          <w:color w:val="auto"/>
        </w:rPr>
        <w:t>Section 9.04</w:t>
      </w:r>
      <w:r>
        <w:rPr>
          <w:rFonts w:ascii="Arial" w:cs="Arial" w:eastAsia="Arial" w:hAnsi="Arial"/>
          <w:sz w:val="17"/>
          <w:szCs w:val="17"/>
          <w:color w:val="auto"/>
        </w:rPr>
        <w:t>) be represented by one or more promissory notes in such form payable to the payee named therein (or, if such promissory note is a registered note, to such payee and its registered assigns).</w:t>
      </w:r>
    </w:p>
    <w:p>
      <w:pPr>
        <w:spacing w:after="0" w:line="17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Prepayment of Loans</w:t>
      </w:r>
      <w:r>
        <w:rPr>
          <w:rFonts w:ascii="Arial" w:cs="Arial" w:eastAsia="Arial" w:hAnsi="Arial"/>
          <w:sz w:val="18"/>
          <w:szCs w:val="18"/>
          <w:color w:val="auto"/>
        </w:rPr>
        <w:t>.</w:t>
      </w:r>
    </w:p>
    <w:p>
      <w:pPr>
        <w:spacing w:after="0" w:line="225" w:lineRule="exact"/>
        <w:rPr>
          <w:sz w:val="20"/>
          <w:szCs w:val="20"/>
          <w:color w:val="auto"/>
        </w:rPr>
      </w:pPr>
    </w:p>
    <w:p>
      <w:pPr>
        <w:ind w:right="240" w:firstLine="906"/>
        <w:spacing w:after="0" w:line="277" w:lineRule="auto"/>
        <w:tabs>
          <w:tab w:leader="none" w:pos="1143"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Optional Prepayments</w:t>
      </w:r>
      <w:r>
        <w:rPr>
          <w:rFonts w:ascii="Arial" w:cs="Arial" w:eastAsia="Arial" w:hAnsi="Arial"/>
          <w:sz w:val="18"/>
          <w:szCs w:val="18"/>
          <w:color w:val="auto"/>
        </w:rPr>
        <w:t xml:space="preserve">. The Borrower shall have the right at any time and from time to time to prepay any Borrowing in whole or in part, without premium or penalty except for payments under </w:t>
      </w:r>
      <w:r>
        <w:rPr>
          <w:rFonts w:ascii="Arial" w:cs="Arial" w:eastAsia="Arial" w:hAnsi="Arial"/>
          <w:sz w:val="18"/>
          <w:szCs w:val="18"/>
          <w:u w:val="single" w:color="auto"/>
          <w:color w:val="auto"/>
        </w:rPr>
        <w:t>Section 2.15</w:t>
      </w:r>
      <w:r>
        <w:rPr>
          <w:rFonts w:ascii="Arial" w:cs="Arial" w:eastAsia="Arial" w:hAnsi="Arial"/>
          <w:sz w:val="18"/>
          <w:szCs w:val="18"/>
          <w:color w:val="auto"/>
        </w:rPr>
        <w:t>, subject to the requirements of this Section.</w:t>
      </w:r>
    </w:p>
    <w:p>
      <w:pPr>
        <w:spacing w:after="0" w:line="170" w:lineRule="exact"/>
        <w:rPr>
          <w:rFonts w:ascii="Arial" w:cs="Arial" w:eastAsia="Arial" w:hAnsi="Arial"/>
          <w:sz w:val="18"/>
          <w:szCs w:val="18"/>
          <w:color w:val="auto"/>
        </w:rPr>
      </w:pPr>
    </w:p>
    <w:p>
      <w:pPr>
        <w:ind w:left="1160" w:hanging="254"/>
        <w:spacing w:after="0"/>
        <w:tabs>
          <w:tab w:leader="none" w:pos="1160"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Mandatory Prepayments due to Changes in Exchange Rates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20" w:firstLine="428"/>
        <w:spacing w:after="0" w:line="291" w:lineRule="auto"/>
        <w:tabs>
          <w:tab w:leader="none" w:pos="1106"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Determination of Amount Outstanding</w:t>
      </w:r>
      <w:r>
        <w:rPr>
          <w:rFonts w:ascii="Arial" w:cs="Arial" w:eastAsia="Arial" w:hAnsi="Arial"/>
          <w:sz w:val="16"/>
          <w:szCs w:val="16"/>
          <w:color w:val="auto"/>
        </w:rPr>
        <w:t>. On each Quarterly Date and, in addition, promptly upon the receipt by the Administrative Agent of a Currency Valuation Notice (as defined below), the Administrative Agent shall determine the aggregate Revolving Multicurrency Credit Exposure. For the purpose of this determination, the outstanding principal amount of any Loan that is denominated in any Foreign Currency shall be deemed to be the Dollar Equivalent of the amount in the Foreign Currency of such Loan, determined as of such Quarterly Date or, in the case of a Currency Valuation Notice received by the Administrative Agent prior to 11:00 a.m., Atlanta, Georgia time, on a Business Day, on such Business Day or, in the case of a Currency Valuation Notice otherwise received, on the first Business Day after such Currency Valuation Notice is received. Upon making such determination, the Administrative Agent shall promptly notify the Multicurrency Lenders and the Borrower thereof.</w:t>
      </w:r>
    </w:p>
    <w:p>
      <w:pPr>
        <w:spacing w:after="0" w:line="58" w:lineRule="exact"/>
        <w:rPr>
          <w:rFonts w:ascii="Arial" w:cs="Arial" w:eastAsia="Arial" w:hAnsi="Arial"/>
          <w:sz w:val="16"/>
          <w:szCs w:val="16"/>
          <w:color w:val="auto"/>
        </w:rPr>
      </w:pPr>
    </w:p>
    <w:p>
      <w:pPr>
        <w:ind w:left="460" w:right="380" w:firstLine="428"/>
        <w:spacing w:after="0" w:line="277" w:lineRule="auto"/>
        <w:tabs>
          <w:tab w:leader="none" w:pos="1156"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Prepayment</w:t>
      </w:r>
      <w:r>
        <w:rPr>
          <w:rFonts w:ascii="Arial" w:cs="Arial" w:eastAsia="Arial" w:hAnsi="Arial"/>
          <w:sz w:val="18"/>
          <w:szCs w:val="18"/>
          <w:color w:val="auto"/>
        </w:rPr>
        <w:t xml:space="preserve">. If on the date of such determination the aggregate Revolving Multicurrency Credit Exposure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Multicurrency LC Exposure fully Cash Collateralized on such date exceeds 105% of the aggregate amount of the Multicurrency</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274" w:right="339" w:bottom="1440" w:gutter="0" w:footer="0" w:header="0"/>
        </w:sectPr>
      </w:pPr>
    </w:p>
    <w:bookmarkStart w:id="61" w:name="page62"/>
    <w:bookmarkEnd w:id="61"/>
    <w:p>
      <w:pPr>
        <w:ind w:left="460" w:right="10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Commitments as then in effect, the Borrower shall, if requested by the Required Multicurrency Lenders (through the Administrative Agent), prepay the Syndicated Multicurrency Loans and Swingline Multicurrency Loans (and/or provide Cash Collateral for Multicurrency LC Exposure as specified in </w:t>
      </w:r>
      <w:r>
        <w:rPr>
          <w:rFonts w:ascii="Arial" w:cs="Arial" w:eastAsia="Arial" w:hAnsi="Arial"/>
          <w:sz w:val="16"/>
          <w:szCs w:val="16"/>
          <w:u w:val="single" w:color="auto"/>
          <w:color w:val="auto"/>
        </w:rPr>
        <w:t>Section 2.05(k)</w:t>
      </w:r>
      <w:r>
        <w:rPr>
          <w:rFonts w:ascii="Arial" w:cs="Arial" w:eastAsia="Arial" w:hAnsi="Arial"/>
          <w:sz w:val="16"/>
          <w:szCs w:val="16"/>
          <w:color w:val="auto"/>
        </w:rPr>
        <w:t>) within 15 Business Days following the Borrower’s receipt of such request in such amounts as shall be necessary so that after giving effect thereto the aggregate Revolving Multicurrency Credit Exposure does not exceed the Multicurrency Commitments.</w:t>
      </w:r>
    </w:p>
    <w:p>
      <w:pPr>
        <w:spacing w:after="0" w:line="15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For purposes hereof “</w:t>
      </w:r>
      <w:r>
        <w:rPr>
          <w:rFonts w:ascii="Arial" w:cs="Arial" w:eastAsia="Arial" w:hAnsi="Arial"/>
          <w:sz w:val="18"/>
          <w:szCs w:val="18"/>
          <w:u w:val="single" w:color="auto"/>
          <w:color w:val="auto"/>
        </w:rPr>
        <w:t>Currency Valuation Notice</w:t>
      </w:r>
      <w:r>
        <w:rPr>
          <w:rFonts w:ascii="Arial" w:cs="Arial" w:eastAsia="Arial" w:hAnsi="Arial"/>
          <w:sz w:val="18"/>
          <w:szCs w:val="18"/>
          <w:color w:val="auto"/>
        </w:rPr>
        <w:t>” means a notice given by the Required Multicurrency Lenders to the Administrative Agent stating that such notice is a “Currency Valuation Notice” and requesting that the Administrative Agent determine the aggregate Revolving Multicurrency Credit Exposure. The Administrative Agent shall not be required to make more than one valuation determination pursuant to Currency Valuation Notices within any rolling three month period.</w:t>
      </w:r>
    </w:p>
    <w:p>
      <w:pPr>
        <w:spacing w:after="0" w:line="187" w:lineRule="exact"/>
        <w:rPr>
          <w:sz w:val="20"/>
          <w:szCs w:val="20"/>
          <w:color w:val="auto"/>
        </w:rPr>
      </w:pPr>
    </w:p>
    <w:p>
      <w:pPr>
        <w:ind w:right="580" w:firstLine="898"/>
        <w:spacing w:after="0" w:line="277" w:lineRule="auto"/>
        <w:rPr>
          <w:sz w:val="20"/>
          <w:szCs w:val="20"/>
          <w:color w:val="auto"/>
        </w:rPr>
      </w:pPr>
      <w:r>
        <w:rPr>
          <w:rFonts w:ascii="Arial" w:cs="Arial" w:eastAsia="Arial" w:hAnsi="Arial"/>
          <w:sz w:val="18"/>
          <w:szCs w:val="18"/>
          <w:color w:val="auto"/>
        </w:rPr>
        <w:t xml:space="preserve">Any prepayment pursuant to this paragraph shall be applied,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Swingline Multicurrency Loans outstanding,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Syndicated Multicurrency Loans outstanding and </w:t>
      </w:r>
      <w:r>
        <w:rPr>
          <w:rFonts w:ascii="Arial" w:cs="Arial" w:eastAsia="Arial" w:hAnsi="Arial"/>
          <w:sz w:val="18"/>
          <w:szCs w:val="18"/>
          <w:u w:val="single" w:color="auto"/>
          <w:color w:val="auto"/>
        </w:rPr>
        <w:t>third</w:t>
      </w:r>
      <w:r>
        <w:rPr>
          <w:rFonts w:ascii="Arial" w:cs="Arial" w:eastAsia="Arial" w:hAnsi="Arial"/>
          <w:sz w:val="18"/>
          <w:szCs w:val="18"/>
          <w:color w:val="auto"/>
        </w:rPr>
        <w:t>, as cover for Multicurrency LC Exposure.</w:t>
      </w:r>
    </w:p>
    <w:p>
      <w:pPr>
        <w:spacing w:after="0" w:line="170" w:lineRule="exact"/>
        <w:rPr>
          <w:sz w:val="20"/>
          <w:szCs w:val="20"/>
          <w:color w:val="auto"/>
        </w:rPr>
      </w:pPr>
    </w:p>
    <w:p>
      <w:pPr>
        <w:ind w:right="240" w:firstLine="906"/>
        <w:spacing w:after="0" w:line="287" w:lineRule="auto"/>
        <w:tabs>
          <w:tab w:leader="none" w:pos="1143" w:val="left"/>
        </w:tabs>
        <w:numPr>
          <w:ilvl w:val="1"/>
          <w:numId w:val="57"/>
        </w:numPr>
        <w:rPr>
          <w:rFonts w:ascii="Arial" w:cs="Arial" w:eastAsia="Arial" w:hAnsi="Arial"/>
          <w:sz w:val="16"/>
          <w:szCs w:val="16"/>
          <w:color w:val="auto"/>
        </w:rPr>
      </w:pPr>
      <w:r>
        <w:rPr>
          <w:rFonts w:ascii="Arial" w:cs="Arial" w:eastAsia="Arial" w:hAnsi="Arial"/>
          <w:sz w:val="16"/>
          <w:szCs w:val="16"/>
          <w:u w:val="single" w:color="auto"/>
          <w:color w:val="auto"/>
        </w:rPr>
        <w:t>Mandatory Prepayments due to Borrowing Base Deficiency</w:t>
      </w:r>
      <w:r>
        <w:rPr>
          <w:rFonts w:ascii="Arial" w:cs="Arial" w:eastAsia="Arial" w:hAnsi="Arial"/>
          <w:sz w:val="16"/>
          <w:szCs w:val="16"/>
          <w:color w:val="auto"/>
        </w:rPr>
        <w:t xml:space="preserve">. In the event that at any time any Borrowing Base Deficiency shall exist, the Borrower shall, within two Business Days, prepay the Loans (or provide Cash Collateral for Letters of Credit as contemplated by </w:t>
      </w:r>
      <w:r>
        <w:rPr>
          <w:rFonts w:ascii="Arial" w:cs="Arial" w:eastAsia="Arial" w:hAnsi="Arial"/>
          <w:sz w:val="16"/>
          <w:szCs w:val="16"/>
          <w:u w:val="single" w:color="auto"/>
          <w:color w:val="auto"/>
        </w:rPr>
        <w:t>Section 2.05(k)</w:t>
      </w:r>
      <w:r>
        <w:rPr>
          <w:rFonts w:ascii="Arial" w:cs="Arial" w:eastAsia="Arial" w:hAnsi="Arial"/>
          <w:sz w:val="16"/>
          <w:szCs w:val="16"/>
          <w:color w:val="auto"/>
        </w:rPr>
        <w:t xml:space="preserve">) or reduce Other Covered Indebtedness in such amounts as shall be necessary so that such Borrowing Base Deficiency is immediately cured;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2" w:lineRule="exact"/>
        <w:rPr>
          <w:rFonts w:ascii="Arial" w:cs="Arial" w:eastAsia="Arial" w:hAnsi="Arial"/>
          <w:sz w:val="16"/>
          <w:szCs w:val="16"/>
          <w:color w:val="auto"/>
        </w:rPr>
      </w:pPr>
    </w:p>
    <w:p>
      <w:pPr>
        <w:ind w:right="60" w:firstLine="8"/>
        <w:spacing w:after="0" w:line="288" w:lineRule="auto"/>
        <w:tabs>
          <w:tab w:leader="none" w:pos="215"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aggregate amount of such prepayment of Loans (and Cash Collateral for Letters of Credit) shall be at least equal to the Revolving Percentage times the aggregate prepayment of the Covered Debt Amount, and (ii) if, within five Business Days after delivery of a Borrowing Base Certificate demonstrating such Borrowing Base Deficiency (and/or at such other times as the Borrower has knowledge of such Borrowing Base Deficiency), the Borrower shall present the Administrative Agent a reasonably feasible plan acceptable to the Administrative Agent in its sole discretion to enable such Borrowing Base Deficiency to be cured within 30 Business Days (which 30-Business Day period shall include the five Business Days permitted for delivery of such plan), then such prepayment or reduction shall not be required to be effected immediately but may be effected in accordance with such plan (with such modifications as the Borrower may reasonably determine), so long as such Borrowing Base Deficiency is cured within such 30-Business Day period.</w:t>
      </w:r>
    </w:p>
    <w:p>
      <w:pPr>
        <w:spacing w:after="0" w:line="168" w:lineRule="exact"/>
        <w:rPr>
          <w:rFonts w:ascii="Arial" w:cs="Arial" w:eastAsia="Arial" w:hAnsi="Arial"/>
          <w:sz w:val="16"/>
          <w:szCs w:val="16"/>
          <w:color w:val="auto"/>
        </w:rPr>
      </w:pPr>
    </w:p>
    <w:p>
      <w:pPr>
        <w:ind w:right="140" w:firstLine="906"/>
        <w:spacing w:after="0" w:line="279" w:lineRule="auto"/>
        <w:tabs>
          <w:tab w:leader="none" w:pos="1153" w:val="left"/>
        </w:tabs>
        <w:numPr>
          <w:ilvl w:val="1"/>
          <w:numId w:val="58"/>
        </w:numPr>
        <w:rPr>
          <w:rFonts w:ascii="Arial" w:cs="Arial" w:eastAsia="Arial" w:hAnsi="Arial"/>
          <w:sz w:val="17"/>
          <w:szCs w:val="17"/>
          <w:color w:val="auto"/>
        </w:rPr>
      </w:pPr>
      <w:r>
        <w:rPr>
          <w:rFonts w:ascii="Arial" w:cs="Arial" w:eastAsia="Arial" w:hAnsi="Arial"/>
          <w:sz w:val="17"/>
          <w:szCs w:val="17"/>
          <w:u w:val="single" w:color="auto"/>
          <w:color w:val="auto"/>
        </w:rPr>
        <w:t>Mandatory Prepayments Due to Change in Investment Policies</w:t>
      </w:r>
      <w:r>
        <w:rPr>
          <w:rFonts w:ascii="Arial" w:cs="Arial" w:eastAsia="Arial" w:hAnsi="Arial"/>
          <w:sz w:val="17"/>
          <w:szCs w:val="17"/>
          <w:color w:val="auto"/>
        </w:rPr>
        <w:t>. In the event that at any time the Borrower or any of its Subsidiaries (other than Immaterial Subsidiaries) shall change or modify in any material respect the Investment Policies without the consent of the Required Lenders (other than a Permitted Policy Amendment), the Borrower shall prepay the Loans and Cash Collateralize the LC Exposure then outstanding in full, together with accrued interest thereon and all fees and other obligations of the Borrower accrued hereunder.</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274" w:right="339" w:bottom="1440" w:gutter="0" w:footer="0" w:header="0"/>
        </w:sectPr>
      </w:pPr>
    </w:p>
    <w:bookmarkStart w:id="62" w:name="page63"/>
    <w:bookmarkEnd w:id="62"/>
    <w:p>
      <w:pPr>
        <w:ind w:right="120" w:firstLine="906"/>
        <w:spacing w:after="0" w:line="277" w:lineRule="auto"/>
        <w:tabs>
          <w:tab w:leader="none" w:pos="1143"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Mandatory Prepayments During Amortization Period</w:t>
      </w:r>
      <w:r>
        <w:rPr>
          <w:rFonts w:ascii="Arial" w:cs="Arial" w:eastAsia="Arial" w:hAnsi="Arial"/>
          <w:sz w:val="18"/>
          <w:szCs w:val="18"/>
          <w:color w:val="auto"/>
        </w:rPr>
        <w:t>. During the period commencing on the date immediately following the Commitment Termination Date and ending on the Final Maturity Date:</w:t>
      </w:r>
    </w:p>
    <w:p>
      <w:pPr>
        <w:spacing w:after="0" w:line="62" w:lineRule="exact"/>
        <w:rPr>
          <w:rFonts w:ascii="Arial" w:cs="Arial" w:eastAsia="Arial" w:hAnsi="Arial"/>
          <w:sz w:val="18"/>
          <w:szCs w:val="18"/>
          <w:color w:val="auto"/>
        </w:rPr>
      </w:pPr>
    </w:p>
    <w:p>
      <w:pPr>
        <w:ind w:left="460" w:right="200" w:firstLine="428"/>
        <w:spacing w:after="0" w:line="279" w:lineRule="auto"/>
        <w:tabs>
          <w:tab w:leader="none" w:pos="1106"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Asset Disposition</w:t>
      </w:r>
      <w:r>
        <w:rPr>
          <w:rFonts w:ascii="Arial" w:cs="Arial" w:eastAsia="Arial" w:hAnsi="Arial"/>
          <w:sz w:val="17"/>
          <w:szCs w:val="17"/>
          <w:color w:val="auto"/>
        </w:rPr>
        <w:t xml:space="preserve">. If the Borrower or any of its Subsidiaries (other than a Financing Subsidiary) Disposes of any property which results in the receipt by such Person of Net Cash Proceeds in excess of $3,000,000 in the aggregate since the Commitment Termination Date, the Borrower shall prepay an aggregate principal amount of Loans equal to 100% of such Net Cash Proceeds no later than the fifth Business Day following the receipt of such Net Cash Proceeds (such prepayments to be applied as set forth in </w:t>
      </w:r>
      <w:r>
        <w:rPr>
          <w:rFonts w:ascii="Arial" w:cs="Arial" w:eastAsia="Arial" w:hAnsi="Arial"/>
          <w:sz w:val="17"/>
          <w:szCs w:val="17"/>
          <w:u w:val="single" w:color="auto"/>
          <w:color w:val="auto"/>
        </w:rPr>
        <w:t>Section 2.09(a)</w:t>
      </w:r>
      <w:r>
        <w:rPr>
          <w:rFonts w:ascii="Arial" w:cs="Arial" w:eastAsia="Arial" w:hAnsi="Arial"/>
          <w:sz w:val="17"/>
          <w:szCs w:val="17"/>
          <w:color w:val="auto"/>
        </w:rPr>
        <w:t>).</w:t>
      </w:r>
    </w:p>
    <w:p>
      <w:pPr>
        <w:spacing w:after="0" w:line="63" w:lineRule="exact"/>
        <w:rPr>
          <w:rFonts w:ascii="Arial" w:cs="Arial" w:eastAsia="Arial" w:hAnsi="Arial"/>
          <w:sz w:val="17"/>
          <w:szCs w:val="17"/>
          <w:color w:val="auto"/>
        </w:rPr>
      </w:pPr>
    </w:p>
    <w:p>
      <w:pPr>
        <w:ind w:left="460" w:right="300" w:firstLine="428"/>
        <w:spacing w:after="0" w:line="279" w:lineRule="auto"/>
        <w:tabs>
          <w:tab w:leader="none" w:pos="1156"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Equity Issuance</w:t>
      </w:r>
      <w:r>
        <w:rPr>
          <w:rFonts w:ascii="Arial" w:cs="Arial" w:eastAsia="Arial" w:hAnsi="Arial"/>
          <w:sz w:val="17"/>
          <w:szCs w:val="17"/>
          <w:color w:val="auto"/>
        </w:rPr>
        <w:t xml:space="preserve">. Upon the sale or issuance by the Borrower or any of its Subsidiaries (other than a Financing Subsidiary) of any of its Equity Interests (other than any sales or issuances of Equity Interests to the Borrower or any Subsidiary Guarantor), the Borrower shall prepay an aggregate principal amount of Loans equal to 75% of all Net Cash Proceeds received therefrom no later than the fifth Business Day following the receipt of such Net Cash Proceeds (such prepayments to be applied as set forth in </w:t>
      </w:r>
      <w:r>
        <w:rPr>
          <w:rFonts w:ascii="Arial" w:cs="Arial" w:eastAsia="Arial" w:hAnsi="Arial"/>
          <w:sz w:val="17"/>
          <w:szCs w:val="17"/>
          <w:u w:val="single" w:color="auto"/>
          <w:color w:val="auto"/>
        </w:rPr>
        <w:t>Section 2.09(b)</w:t>
      </w:r>
      <w:r>
        <w:rPr>
          <w:rFonts w:ascii="Arial" w:cs="Arial" w:eastAsia="Arial" w:hAnsi="Arial"/>
          <w:sz w:val="17"/>
          <w:szCs w:val="17"/>
          <w:color w:val="auto"/>
        </w:rPr>
        <w:t>).</w:t>
      </w:r>
    </w:p>
    <w:p>
      <w:pPr>
        <w:spacing w:after="0" w:line="63" w:lineRule="exact"/>
        <w:rPr>
          <w:rFonts w:ascii="Arial" w:cs="Arial" w:eastAsia="Arial" w:hAnsi="Arial"/>
          <w:sz w:val="17"/>
          <w:szCs w:val="17"/>
          <w:color w:val="auto"/>
        </w:rPr>
      </w:pPr>
    </w:p>
    <w:p>
      <w:pPr>
        <w:ind w:left="460" w:right="60" w:firstLine="428"/>
        <w:spacing w:after="0" w:line="311" w:lineRule="auto"/>
        <w:tabs>
          <w:tab w:leader="none" w:pos="1206"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Indebtedness</w:t>
      </w:r>
      <w:r>
        <w:rPr>
          <w:rFonts w:ascii="Arial" w:cs="Arial" w:eastAsia="Arial" w:hAnsi="Arial"/>
          <w:sz w:val="16"/>
          <w:szCs w:val="16"/>
          <w:color w:val="auto"/>
        </w:rPr>
        <w:t xml:space="preserve">. Upon the incurrence or issuance by the Borrower or any of its Subsidiaries (other than a Financing Subsidiary) of any Indebtedness, the Borrower shall prepay an aggregate principal amount of Loans equal to 100% of all Net Cash Proceeds received therefrom no later than the fifth Business Day following the receipt of such Net Cash Proceeds (such prepayments to be applied as set forth in </w:t>
      </w:r>
      <w:r>
        <w:rPr>
          <w:rFonts w:ascii="Arial" w:cs="Arial" w:eastAsia="Arial" w:hAnsi="Arial"/>
          <w:sz w:val="16"/>
          <w:szCs w:val="16"/>
          <w:u w:val="single" w:color="auto"/>
          <w:color w:val="auto"/>
        </w:rPr>
        <w:t>Section 2.09(b)</w:t>
      </w:r>
      <w:r>
        <w:rPr>
          <w:rFonts w:ascii="Arial" w:cs="Arial" w:eastAsia="Arial" w:hAnsi="Arial"/>
          <w:sz w:val="16"/>
          <w:szCs w:val="16"/>
          <w:color w:val="auto"/>
        </w:rPr>
        <w:t>).</w:t>
      </w:r>
    </w:p>
    <w:p>
      <w:pPr>
        <w:spacing w:after="0" w:line="40" w:lineRule="exact"/>
        <w:rPr>
          <w:rFonts w:ascii="Arial" w:cs="Arial" w:eastAsia="Arial" w:hAnsi="Arial"/>
          <w:sz w:val="16"/>
          <w:szCs w:val="16"/>
          <w:color w:val="auto"/>
        </w:rPr>
      </w:pPr>
    </w:p>
    <w:p>
      <w:pPr>
        <w:ind w:left="460" w:right="420" w:firstLine="428"/>
        <w:spacing w:after="0" w:line="275" w:lineRule="auto"/>
        <w:tabs>
          <w:tab w:leader="none" w:pos="1196"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Extraordinary Receipt</w:t>
      </w:r>
      <w:r>
        <w:rPr>
          <w:rFonts w:ascii="Arial" w:cs="Arial" w:eastAsia="Arial" w:hAnsi="Arial"/>
          <w:sz w:val="17"/>
          <w:szCs w:val="17"/>
          <w:color w:val="auto"/>
        </w:rPr>
        <w:t xml:space="preserve">. Upon any Extraordinary Receipt (which, when taken with all other Extraordinary Receipts received after the Commitment Termination Date, exceeds $7,500,000 in the aggregate) received by or paid to or for the account of the Borrower or any of its Subsidiaries (other than a Financing Subsidiary), and not otherwise included in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2.10(e)</w:t>
      </w:r>
      <w:r>
        <w:rPr>
          <w:rFonts w:ascii="Arial" w:cs="Arial" w:eastAsia="Arial" w:hAnsi="Arial"/>
          <w:sz w:val="17"/>
          <w:szCs w:val="17"/>
          <w:color w:val="auto"/>
        </w:rPr>
        <w:t xml:space="preserve">, the Borrower shall prepay an aggregate principal amount of Loans equal to 100% of all Net Cash Proceeds received therefrom no later than the fifth Business Day following the receipt of such Net Cash Proceeds (such prepayments to be applied as set forth in </w:t>
      </w:r>
      <w:r>
        <w:rPr>
          <w:rFonts w:ascii="Arial" w:cs="Arial" w:eastAsia="Arial" w:hAnsi="Arial"/>
          <w:sz w:val="17"/>
          <w:szCs w:val="17"/>
          <w:u w:val="single" w:color="auto"/>
          <w:color w:val="auto"/>
        </w:rPr>
        <w:t>Section 2.09(b)</w:t>
      </w:r>
      <w:r>
        <w:rPr>
          <w:rFonts w:ascii="Arial" w:cs="Arial" w:eastAsia="Arial" w:hAnsi="Arial"/>
          <w:sz w:val="17"/>
          <w:szCs w:val="17"/>
          <w:color w:val="auto"/>
        </w:rPr>
        <w:t>).</w:t>
      </w:r>
    </w:p>
    <w:p>
      <w:pPr>
        <w:spacing w:after="0" w:line="68" w:lineRule="exact"/>
        <w:rPr>
          <w:rFonts w:ascii="Arial" w:cs="Arial" w:eastAsia="Arial" w:hAnsi="Arial"/>
          <w:sz w:val="17"/>
          <w:szCs w:val="17"/>
          <w:color w:val="auto"/>
        </w:rPr>
      </w:pPr>
    </w:p>
    <w:p>
      <w:pPr>
        <w:ind w:left="460" w:right="40" w:firstLine="428"/>
        <w:spacing w:after="0" w:line="291" w:lineRule="auto"/>
        <w:tabs>
          <w:tab w:leader="none" w:pos="1146"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Return of Capital</w:t>
      </w:r>
      <w:r>
        <w:rPr>
          <w:rFonts w:ascii="Arial" w:cs="Arial" w:eastAsia="Arial" w:hAnsi="Arial"/>
          <w:sz w:val="16"/>
          <w:szCs w:val="16"/>
          <w:color w:val="auto"/>
        </w:rPr>
        <w:t>. If any Obligor shall receive any Return of Capital (other than from any Financing Subsidiary), the Borrower shall prepay an aggregate principal amount of Loans equal to 90% of such Return of Capital (excluding amounts payable by the Borrower pursuant to</w:t>
      </w:r>
    </w:p>
    <w:p>
      <w:pPr>
        <w:ind w:left="460" w:right="420"/>
        <w:spacing w:after="0" w:line="260" w:lineRule="auto"/>
        <w:rPr>
          <w:rFonts w:ascii="Arial" w:cs="Arial" w:eastAsia="Arial" w:hAnsi="Arial"/>
          <w:sz w:val="16"/>
          <w:szCs w:val="16"/>
          <w:color w:val="auto"/>
        </w:rPr>
      </w:pP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no later than the fifth Business Day following the receipt of such Return of Capital (such prepayments to be applied as set forth in </w:t>
      </w:r>
      <w:r>
        <w:rPr>
          <w:rFonts w:ascii="Arial" w:cs="Arial" w:eastAsia="Arial" w:hAnsi="Arial"/>
          <w:sz w:val="18"/>
          <w:szCs w:val="18"/>
          <w:u w:val="single" w:color="auto"/>
          <w:color w:val="auto"/>
        </w:rPr>
        <w:t>Section 2.09(b)</w:t>
      </w:r>
      <w:r>
        <w:rPr>
          <w:rFonts w:ascii="Arial" w:cs="Arial" w:eastAsia="Arial" w:hAnsi="Arial"/>
          <w:sz w:val="18"/>
          <w:szCs w:val="18"/>
          <w:color w:val="auto"/>
        </w:rPr>
        <w:t>).</w:t>
      </w:r>
    </w:p>
    <w:p>
      <w:pPr>
        <w:spacing w:after="0" w:line="185"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 xml:space="preserve">Notwithstanding the foregoing, Net Cash Proceeds and Return of Capital required to be applied to the prepayment of the Loans pursuant to this </w:t>
      </w:r>
      <w:r>
        <w:rPr>
          <w:rFonts w:ascii="Arial" w:cs="Arial" w:eastAsia="Arial" w:hAnsi="Arial"/>
          <w:sz w:val="18"/>
          <w:szCs w:val="18"/>
          <w:u w:val="single" w:color="auto"/>
          <w:color w:val="auto"/>
        </w:rPr>
        <w:t>Section 2.10(e)</w:t>
      </w:r>
      <w:r>
        <w:rPr>
          <w:rFonts w:ascii="Arial" w:cs="Arial" w:eastAsia="Arial" w:hAnsi="Arial"/>
          <w:sz w:val="18"/>
          <w:szCs w:val="18"/>
          <w:color w:val="auto"/>
        </w:rPr>
        <w:t xml:space="preserve"> shall (A) be applied in accordance with the Guarantee and Security Agreement or intercreditor arrangement acceptable to the Administrative Agent in its sole discretion, as applicable, (B) exclude the amount necessary for the Borrower to make all required distributions (which shall be no less than the amount estimated in good faith by Borrower under</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274" w:right="339" w:bottom="1440" w:gutter="0" w:footer="0" w:header="0"/>
        </w:sectPr>
      </w:pPr>
    </w:p>
    <w:bookmarkStart w:id="63" w:name="page64"/>
    <w:bookmarkEnd w:id="63"/>
    <w:p>
      <w:pPr>
        <w:ind w:right="60"/>
        <w:spacing w:after="0" w:line="271"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6.05(b)</w:t>
      </w:r>
      <w:r>
        <w:rPr>
          <w:rFonts w:ascii="Arial" w:cs="Arial" w:eastAsia="Arial" w:hAnsi="Arial"/>
          <w:sz w:val="17"/>
          <w:szCs w:val="17"/>
          <w:color w:val="auto"/>
        </w:rPr>
        <w:t xml:space="preserve"> herein) to maintain the status of a RIC under the Code and a “business development company” under the Investment Company Act for so long as the Borrower retains such status and to avoid payment by the Borrower of federal excise Taxes imposed by Section 4982 of the Code for so long as the Borrower retains the status of a RIC under the Code and (C) if the Loans to be prepaid are Eurocurrency Loans, the Borrower may defer such prepayment until the last day of the Interest Period applicable to such Loans, so long as the Borrower deposits an amount equal to such Net Cash Proceeds, no later than the fifth Business Day following the receipt of such Net Cash Proceeds, into a segregated collateral account in the name and under the dominion and control of the Administrative Agent, pending application of such amount to the prepayment of the Loans on the last day of such Interest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the Administrative Agent may direct the application of such deposits as set forth in </w:t>
      </w:r>
      <w:r>
        <w:rPr>
          <w:rFonts w:ascii="Arial" w:cs="Arial" w:eastAsia="Arial" w:hAnsi="Arial"/>
          <w:sz w:val="17"/>
          <w:szCs w:val="17"/>
          <w:u w:val="single" w:color="auto"/>
          <w:color w:val="auto"/>
        </w:rPr>
        <w:t>Section 2.09(b)</w:t>
      </w:r>
      <w:r>
        <w:rPr>
          <w:rFonts w:ascii="Arial" w:cs="Arial" w:eastAsia="Arial" w:hAnsi="Arial"/>
          <w:sz w:val="17"/>
          <w:szCs w:val="17"/>
          <w:color w:val="auto"/>
        </w:rPr>
        <w:t xml:space="preserve"> at any time and if the Administrative Agent does so, no amounts will be payable by the Borrower pursuant to </w:t>
      </w:r>
      <w:r>
        <w:rPr>
          <w:rFonts w:ascii="Arial" w:cs="Arial" w:eastAsia="Arial" w:hAnsi="Arial"/>
          <w:sz w:val="17"/>
          <w:szCs w:val="17"/>
          <w:u w:val="single" w:color="auto"/>
          <w:color w:val="auto"/>
        </w:rPr>
        <w:t>Section 2.15</w:t>
      </w:r>
      <w:r>
        <w:rPr>
          <w:rFonts w:ascii="Arial" w:cs="Arial" w:eastAsia="Arial" w:hAnsi="Arial"/>
          <w:sz w:val="17"/>
          <w:szCs w:val="17"/>
          <w:color w:val="auto"/>
        </w:rPr>
        <w:t>.</w:t>
      </w:r>
    </w:p>
    <w:p>
      <w:pPr>
        <w:spacing w:after="0" w:line="178" w:lineRule="exact"/>
        <w:rPr>
          <w:sz w:val="20"/>
          <w:szCs w:val="20"/>
          <w:color w:val="auto"/>
        </w:rPr>
      </w:pPr>
    </w:p>
    <w:p>
      <w:pPr>
        <w:ind w:right="20" w:firstLine="906"/>
        <w:spacing w:after="0" w:line="285" w:lineRule="auto"/>
        <w:tabs>
          <w:tab w:leader="none" w:pos="1123"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Notices, Etc</w:t>
      </w:r>
      <w:r>
        <w:rPr>
          <w:rFonts w:ascii="Arial" w:cs="Arial" w:eastAsia="Arial" w:hAnsi="Arial"/>
          <w:sz w:val="16"/>
          <w:szCs w:val="16"/>
          <w:color w:val="auto"/>
        </w:rPr>
        <w:t xml:space="preserve">. The Borrower shall notify the Administrative Agent (and, in the case of prepayment of a Swingline Loan, the Swingline Lender) by telephone (confirmed by telecopy) of any prepayment hereunder (i) in the case of prepayment of a Eurocurrency Borrowing denominated in Dollars (other than in the case of a prepayment pursuant to </w:t>
      </w:r>
      <w:r>
        <w:rPr>
          <w:rFonts w:ascii="Arial" w:cs="Arial" w:eastAsia="Arial" w:hAnsi="Arial"/>
          <w:sz w:val="16"/>
          <w:szCs w:val="16"/>
          <w:u w:val="single" w:color="auto"/>
          <w:color w:val="auto"/>
        </w:rPr>
        <w:t>Section 2.10(e)</w:t>
      </w:r>
      <w:r>
        <w:rPr>
          <w:rFonts w:ascii="Arial" w:cs="Arial" w:eastAsia="Arial" w:hAnsi="Arial"/>
          <w:sz w:val="16"/>
          <w:szCs w:val="16"/>
          <w:color w:val="auto"/>
        </w:rPr>
        <w:t xml:space="preserve">), not later than 11:00 a.m., Atlanta, Georgia time, two Business Days before the date of prepayment, (ii) in the case of prepayment of a Eurocurrency Borrowing denominated in a Foreign Currency (other than in the case of a prepayment pursuant to </w:t>
      </w:r>
      <w:r>
        <w:rPr>
          <w:rFonts w:ascii="Arial" w:cs="Arial" w:eastAsia="Arial" w:hAnsi="Arial"/>
          <w:sz w:val="16"/>
          <w:szCs w:val="16"/>
          <w:u w:val="single" w:color="auto"/>
          <w:color w:val="auto"/>
        </w:rPr>
        <w:t>Section 2.10(e)</w:t>
      </w:r>
      <w:r>
        <w:rPr>
          <w:rFonts w:ascii="Arial" w:cs="Arial" w:eastAsia="Arial" w:hAnsi="Arial"/>
          <w:sz w:val="16"/>
          <w:szCs w:val="16"/>
          <w:color w:val="auto"/>
        </w:rPr>
        <w:t xml:space="preserve">), not later than 11:00 a.m., London time, four Business Days before the date of prepayment, (iii) in the case of prepayment of a Syndicated ABR Borrowing (other than in the case of a prepayment pursuant to </w:t>
      </w:r>
      <w:r>
        <w:rPr>
          <w:rFonts w:ascii="Arial" w:cs="Arial" w:eastAsia="Arial" w:hAnsi="Arial"/>
          <w:sz w:val="16"/>
          <w:szCs w:val="16"/>
          <w:u w:val="single" w:color="auto"/>
          <w:color w:val="auto"/>
        </w:rPr>
        <w:t>Section 2.10(e))</w:t>
      </w:r>
      <w:r>
        <w:rPr>
          <w:rFonts w:ascii="Arial" w:cs="Arial" w:eastAsia="Arial" w:hAnsi="Arial"/>
          <w:sz w:val="16"/>
          <w:szCs w:val="16"/>
          <w:color w:val="auto"/>
        </w:rPr>
        <w:t xml:space="preserve">, not later than 11:00 a.m., Atlanta, Georgia time, one Business Day before the date of prepayment, (iv) in the case of prepayment of a Swingline Loan, not later than 11:00 a.m., Atlanta, Georgia time, on the date of prepayment, or (v) in the case of any prepayment pursuant to </w:t>
      </w:r>
      <w:r>
        <w:rPr>
          <w:rFonts w:ascii="Arial" w:cs="Arial" w:eastAsia="Arial" w:hAnsi="Arial"/>
          <w:sz w:val="16"/>
          <w:szCs w:val="16"/>
          <w:u w:val="single" w:color="auto"/>
          <w:color w:val="auto"/>
        </w:rPr>
        <w:t>Section 2.10(e)</w:t>
      </w:r>
      <w:r>
        <w:rPr>
          <w:rFonts w:ascii="Arial" w:cs="Arial" w:eastAsia="Arial" w:hAnsi="Arial"/>
          <w:sz w:val="16"/>
          <w:szCs w:val="16"/>
          <w:color w:val="auto"/>
        </w:rPr>
        <w:t xml:space="preserve">, not later than 11:00 a.m., Atlanta, Georgia time, one Business Day before the date of prepayment. Each such notice shall be irrevocable and shall specify the prepayment date, the principal amount of each Borrowing or portion thereof to be prepaid and, in the case of a mandatory prepayment, a reasonably detailed calculation of the amount of such prepayment;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(i) a notice of prepayment is given in connection with a conditional notice of termination of the Commitments of a Class as contemplated by </w:t>
      </w:r>
      <w:r>
        <w:rPr>
          <w:rFonts w:ascii="Arial" w:cs="Arial" w:eastAsia="Arial" w:hAnsi="Arial"/>
          <w:sz w:val="16"/>
          <w:szCs w:val="16"/>
          <w:u w:val="single" w:color="auto"/>
          <w:color w:val="auto"/>
        </w:rPr>
        <w:t>Section 2.08</w:t>
      </w:r>
      <w:r>
        <w:rPr>
          <w:rFonts w:ascii="Arial" w:cs="Arial" w:eastAsia="Arial" w:hAnsi="Arial"/>
          <w:sz w:val="16"/>
          <w:szCs w:val="16"/>
          <w:color w:val="auto"/>
        </w:rPr>
        <w:t xml:space="preserve">, then such notice of prepayment may be revoked if such notice of termination is revoked in accordance with </w:t>
      </w:r>
      <w:r>
        <w:rPr>
          <w:rFonts w:ascii="Arial" w:cs="Arial" w:eastAsia="Arial" w:hAnsi="Arial"/>
          <w:sz w:val="16"/>
          <w:szCs w:val="16"/>
          <w:u w:val="single" w:color="auto"/>
          <w:color w:val="auto"/>
        </w:rPr>
        <w:t>Section 2.08</w:t>
      </w:r>
      <w:r>
        <w:rPr>
          <w:rFonts w:ascii="Arial" w:cs="Arial" w:eastAsia="Arial" w:hAnsi="Arial"/>
          <w:sz w:val="16"/>
          <w:szCs w:val="16"/>
          <w:color w:val="auto"/>
        </w:rPr>
        <w:t xml:space="preserve"> and (ii) any notice given in connection with </w:t>
      </w:r>
      <w:r>
        <w:rPr>
          <w:rFonts w:ascii="Arial" w:cs="Arial" w:eastAsia="Arial" w:hAnsi="Arial"/>
          <w:sz w:val="16"/>
          <w:szCs w:val="16"/>
          <w:u w:val="single" w:color="auto"/>
          <w:color w:val="auto"/>
        </w:rPr>
        <w:t>Section 2.10(e)</w:t>
      </w:r>
      <w:r>
        <w:rPr>
          <w:rFonts w:ascii="Arial" w:cs="Arial" w:eastAsia="Arial" w:hAnsi="Arial"/>
          <w:sz w:val="16"/>
          <w:szCs w:val="16"/>
          <w:color w:val="auto"/>
        </w:rPr>
        <w:t xml:space="preserve"> may be conditioned on the consummation of the applicable transaction contemplated by such Section and the receipt by the Borrower or any such Subsidiary (other than a Financing Subsidiary) of Net Cash Proceeds. Promptly following receipt of any such notice relating to a Syndicated Borrowing, the Administrative Agent shall advise the affected Lenders of the contents thereof. Each partial prepayment of any Borrowing shall be in an amount that would be permitted in the case of a Borrowing of the same Type as provided in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or in the case of a Swingline Loan, as provided in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except as necessary to apply fully the required amount of a mandatory prepayment. Each prepayment of a Syndicated Borrowing of a Class shall be applied ratably to the Loans of such Class included in the prepaid Borrowing. Prepayments shall be accompanied by accrued interest to the extent required by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and shall be made in the manner specified in </w:t>
      </w:r>
      <w:r>
        <w:rPr>
          <w:rFonts w:ascii="Arial" w:cs="Arial" w:eastAsia="Arial" w:hAnsi="Arial"/>
          <w:sz w:val="16"/>
          <w:szCs w:val="16"/>
          <w:u w:val="single" w:color="auto"/>
          <w:color w:val="auto"/>
        </w:rPr>
        <w:t>Section 2.09(b)</w:t>
      </w:r>
      <w:r>
        <w:rPr>
          <w:rFonts w:ascii="Arial" w:cs="Arial" w:eastAsia="Arial" w:hAnsi="Arial"/>
          <w:sz w:val="16"/>
          <w:szCs w:val="16"/>
          <w:color w:val="auto"/>
        </w:rPr>
        <w:t>.</w:t>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274" w:right="339" w:bottom="1440" w:gutter="0" w:footer="0" w:header="0"/>
        </w:sectPr>
      </w:pPr>
    </w:p>
    <w:bookmarkStart w:id="64" w:name="page65"/>
    <w:bookmarkEnd w:id="64"/>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2.11. </w:t>
      </w:r>
      <w:r>
        <w:rPr>
          <w:rFonts w:ascii="Arial" w:cs="Arial" w:eastAsia="Arial" w:hAnsi="Arial"/>
          <w:sz w:val="18"/>
          <w:szCs w:val="18"/>
          <w:u w:val="single" w:color="auto"/>
          <w:color w:val="auto"/>
        </w:rPr>
        <w:t>Fees</w:t>
      </w:r>
      <w:r>
        <w:rPr>
          <w:rFonts w:ascii="Arial" w:cs="Arial" w:eastAsia="Arial" w:hAnsi="Arial"/>
          <w:sz w:val="18"/>
          <w:szCs w:val="18"/>
          <w:color w:val="auto"/>
        </w:rPr>
        <w:t>.</w:t>
      </w:r>
    </w:p>
    <w:p>
      <w:pPr>
        <w:spacing w:after="0" w:line="225" w:lineRule="exact"/>
        <w:rPr>
          <w:sz w:val="20"/>
          <w:szCs w:val="20"/>
          <w:color w:val="auto"/>
        </w:rPr>
      </w:pPr>
    </w:p>
    <w:p>
      <w:pPr>
        <w:ind w:right="60" w:firstLine="906"/>
        <w:spacing w:after="0" w:line="270" w:lineRule="auto"/>
        <w:tabs>
          <w:tab w:leader="none" w:pos="1143"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Commitment Fee</w:t>
      </w:r>
      <w:r>
        <w:rPr>
          <w:rFonts w:ascii="Arial" w:cs="Arial" w:eastAsia="Arial" w:hAnsi="Arial"/>
          <w:sz w:val="17"/>
          <w:szCs w:val="17"/>
          <w:color w:val="auto"/>
        </w:rPr>
        <w:t>. The Borrower agrees to pay to the Administrative Agent for account of each Lender a commitment fee, which shall accrue at a rate per annum equal to 0.375% on the average daily unused amount of the Dollar Commitment and Multicurrency Commitment, as applicable, of such Lender during the period from and including the date hereof to but excluding the earlier of the date such commitment terminates and the Commitment Termination Date. Accrued commitment fees shall be payable within one Business Day after each Quarterly Date and on the earlier of the date the Commitments of the respective Class terminate and the Commitment Termination Date, commencing on the first such date to occur after the date hereof. All commitment fees shall be computed on the basis of a year of 360 days and shall be payable for the actual number of days elapsed (including the first day but excluding the last day). For purposes of computing commitment fees, the Commitment of any Class of a Lender shall be deemed to be used to the extent of the outstanding Syndicated Loans and LC Exposure of such Class of such Lender (and the Swingline Exposure of such Class of such Lender shall be disregarded for such purpose).</w:t>
      </w:r>
    </w:p>
    <w:p>
      <w:pPr>
        <w:spacing w:after="0" w:line="180" w:lineRule="exact"/>
        <w:rPr>
          <w:rFonts w:ascii="Arial" w:cs="Arial" w:eastAsia="Arial" w:hAnsi="Arial"/>
          <w:sz w:val="17"/>
          <w:szCs w:val="17"/>
          <w:color w:val="auto"/>
        </w:rPr>
      </w:pPr>
    </w:p>
    <w:p>
      <w:pPr>
        <w:ind w:right="20" w:firstLine="906"/>
        <w:spacing w:after="0" w:line="285" w:lineRule="auto"/>
        <w:tabs>
          <w:tab w:leader="none" w:pos="1153"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Letter of Credit Fees</w:t>
      </w:r>
      <w:r>
        <w:rPr>
          <w:rFonts w:ascii="Arial" w:cs="Arial" w:eastAsia="Arial" w:hAnsi="Arial"/>
          <w:sz w:val="16"/>
          <w:szCs w:val="16"/>
          <w:color w:val="auto"/>
        </w:rPr>
        <w:t xml:space="preserve">. The Borrower agrees to pay (i) to the Administrative Agent for account of each Lender a participation fee with respect to its participations in Letters of Credit of each Class, which shall accrue at a rate per annum equal to the Applicable Margin applicable to interest on Eurocurrency Loans on the average daily amount of such Lender’s LC Exposure of such Class (excluding any portion thereof attributable to unreimbursed LC Disbursements) during the period from and including the Effective Date to but excluding the later of the date on which such Lender’s Commitment of such Class terminates and the date on which such Lender ceases to have any LC Exposure of such Class, and (ii) to the Issuing Bank a fronting fee, which shall accrue at the rate of 0.125% per annum on the average daily amount of the LC Exposure (excluding any portion thereof attributable to unreimbursed LC Disbursements) during the period from and including the Effective Date to but excluding the later of the date of termination of the Commitments and the date on which there ceases to be any LC Exposure, as well as the Issuing Bank’s standard fees with respect to the issuance, amendment, renewal or extension of any Letter of Credit or processing of drawings thereunder. Participation fees and fronting fees accrued through and including each Quarterly Date shall be payable on the third Business Day following such Quarterly Date, commencing on the first such date to occur after the Effective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such fees with respect to the Letters of Credit shall be payable on the Termination Date and the Borrower shall pay any such fees that have accrued and that are unpaid on the Termination Date and, in the event any Letters of Credit shall be outstanding that have expiration dates after the Termination Date, the Borrower shall prepay on the Termination Date the full amount of the participation and fronting fees that will accrue on such Letters of Credit subsequent to the Termination Date through but not including the date such outstanding Letters of Credit are scheduled to expire (and, in that connection, the Lenders agree not later than the date two Business Days after the date upon which the last such Letter of Credit shall expire or be terminated to rebate to the Borrower the excess, if any, of the aggregate participation and fronting fees that have been prepaid by the Borrower over the sum of the amount of such fees that ultimately accrue through the date of such expiration or termination and the aggregate amount of all other unpaid obligations hereunder at such time). Any other fees payable to the Issuing Bank pursuant to this paragraph shall be payable within 10 days after demand. All participation fees and fronting fees shall be computed on the basis of a year of 360 days and shall be payable for the actual number of days elapsed (including the first day but excluding the last day).</w:t>
      </w:r>
    </w:p>
    <w:p>
      <w:pPr>
        <w:spacing w:after="0" w:line="31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274" w:right="339" w:bottom="1440" w:gutter="0" w:footer="0" w:header="0"/>
        </w:sectPr>
      </w:pPr>
    </w:p>
    <w:bookmarkStart w:id="65" w:name="page66"/>
    <w:bookmarkEnd w:id="65"/>
    <w:p>
      <w:pPr>
        <w:ind w:right="120" w:firstLine="906"/>
        <w:spacing w:after="0" w:line="277" w:lineRule="auto"/>
        <w:tabs>
          <w:tab w:leader="none" w:pos="1143"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Administrative Agent Fees</w:t>
      </w:r>
      <w:r>
        <w:rPr>
          <w:rFonts w:ascii="Arial" w:cs="Arial" w:eastAsia="Arial" w:hAnsi="Arial"/>
          <w:sz w:val="18"/>
          <w:szCs w:val="18"/>
          <w:color w:val="auto"/>
        </w:rPr>
        <w:t>. The Borrower agrees to pay to the Administrative Agent, for its own account, fees payable in the amounts and at the times separately agreed upon between the Borrower and the Administrative Agent.</w:t>
      </w:r>
    </w:p>
    <w:p>
      <w:pPr>
        <w:spacing w:after="0" w:line="170" w:lineRule="exact"/>
        <w:rPr>
          <w:rFonts w:ascii="Arial" w:cs="Arial" w:eastAsia="Arial" w:hAnsi="Arial"/>
          <w:sz w:val="18"/>
          <w:szCs w:val="18"/>
          <w:color w:val="auto"/>
        </w:rPr>
      </w:pPr>
    </w:p>
    <w:p>
      <w:pPr>
        <w:ind w:right="120" w:firstLine="906"/>
        <w:spacing w:after="0" w:line="279" w:lineRule="auto"/>
        <w:tabs>
          <w:tab w:leader="none" w:pos="1153"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Payment of Fees</w:t>
      </w:r>
      <w:r>
        <w:rPr>
          <w:rFonts w:ascii="Arial" w:cs="Arial" w:eastAsia="Arial" w:hAnsi="Arial"/>
          <w:sz w:val="17"/>
          <w:szCs w:val="17"/>
          <w:color w:val="auto"/>
        </w:rPr>
        <w:t>. All fees payable hereunder shall be paid on the dates due, in Dollars (or, at the election of the Borrower with respect to any fees payable to the Issuing Bank on account of Letters of Credit issued in any Foreign Currency, in such Foreign Currency) and immediately available funds, to the Administrative Agent (or to the Issuing Bank, in the case of fees payable to it) for distribution, in the case of facility fees and participation fees, to the Lenders entitled thereto. Fees paid shall not be refundable under any circumstances absent obvious error.</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Interest</w:t>
      </w:r>
      <w:r>
        <w:rPr>
          <w:rFonts w:ascii="Arial" w:cs="Arial" w:eastAsia="Arial" w:hAnsi="Arial"/>
          <w:sz w:val="18"/>
          <w:szCs w:val="18"/>
          <w:color w:val="auto"/>
        </w:rPr>
        <w:t>.</w:t>
      </w:r>
    </w:p>
    <w:p>
      <w:pPr>
        <w:spacing w:after="0" w:line="225" w:lineRule="exact"/>
        <w:rPr>
          <w:sz w:val="20"/>
          <w:szCs w:val="20"/>
          <w:color w:val="auto"/>
        </w:rPr>
      </w:pPr>
    </w:p>
    <w:p>
      <w:pPr>
        <w:ind w:right="100" w:firstLine="906"/>
        <w:spacing w:after="0" w:line="277" w:lineRule="auto"/>
        <w:tabs>
          <w:tab w:leader="none" w:pos="1143" w:val="left"/>
        </w:tabs>
        <w:numPr>
          <w:ilvl w:val="1"/>
          <w:numId w:val="64"/>
        </w:numPr>
        <w:rPr>
          <w:rFonts w:ascii="Arial" w:cs="Arial" w:eastAsia="Arial" w:hAnsi="Arial"/>
          <w:sz w:val="18"/>
          <w:szCs w:val="18"/>
          <w:color w:val="auto"/>
        </w:rPr>
      </w:pPr>
      <w:r>
        <w:rPr>
          <w:rFonts w:ascii="Arial" w:cs="Arial" w:eastAsia="Arial" w:hAnsi="Arial"/>
          <w:sz w:val="18"/>
          <w:szCs w:val="18"/>
          <w:u w:val="single" w:color="auto"/>
          <w:color w:val="auto"/>
        </w:rPr>
        <w:t>ABR Loans</w:t>
      </w:r>
      <w:r>
        <w:rPr>
          <w:rFonts w:ascii="Arial" w:cs="Arial" w:eastAsia="Arial" w:hAnsi="Arial"/>
          <w:sz w:val="18"/>
          <w:szCs w:val="18"/>
          <w:color w:val="auto"/>
        </w:rPr>
        <w:t xml:space="preserve">. The Loans constituting each ABR Borrowing (including each Swingline Loan) shall bear interest at a rate per annum equal to the Alternate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w:t>
      </w:r>
    </w:p>
    <w:p>
      <w:pPr>
        <w:spacing w:after="0" w:line="170" w:lineRule="exact"/>
        <w:rPr>
          <w:rFonts w:ascii="Arial" w:cs="Arial" w:eastAsia="Arial" w:hAnsi="Arial"/>
          <w:sz w:val="18"/>
          <w:szCs w:val="18"/>
          <w:color w:val="auto"/>
        </w:rPr>
      </w:pPr>
    </w:p>
    <w:p>
      <w:pPr>
        <w:ind w:right="320" w:firstLine="906"/>
        <w:spacing w:after="0" w:line="277" w:lineRule="auto"/>
        <w:tabs>
          <w:tab w:leader="none" w:pos="1153" w:val="left"/>
        </w:tabs>
        <w:numPr>
          <w:ilvl w:val="1"/>
          <w:numId w:val="64"/>
        </w:numPr>
        <w:rPr>
          <w:rFonts w:ascii="Arial" w:cs="Arial" w:eastAsia="Arial" w:hAnsi="Arial"/>
          <w:sz w:val="18"/>
          <w:szCs w:val="18"/>
          <w:color w:val="auto"/>
        </w:rPr>
      </w:pPr>
      <w:r>
        <w:rPr>
          <w:rFonts w:ascii="Arial" w:cs="Arial" w:eastAsia="Arial" w:hAnsi="Arial"/>
          <w:sz w:val="18"/>
          <w:szCs w:val="18"/>
          <w:u w:val="single" w:color="auto"/>
          <w:color w:val="auto"/>
        </w:rPr>
        <w:t>Eurocurrency Loans</w:t>
      </w:r>
      <w:r>
        <w:rPr>
          <w:rFonts w:ascii="Arial" w:cs="Arial" w:eastAsia="Arial" w:hAnsi="Arial"/>
          <w:sz w:val="18"/>
          <w:szCs w:val="18"/>
          <w:color w:val="auto"/>
        </w:rPr>
        <w:t xml:space="preserve">. The Loans constituting each Eurocurrency Borrowing shall bear interest at a rate per annum equal to the Adjusted LIBO Rate for the related Interest Period for such Borrowing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w:t>
      </w:r>
    </w:p>
    <w:p>
      <w:pPr>
        <w:spacing w:after="0" w:line="170" w:lineRule="exact"/>
        <w:rPr>
          <w:rFonts w:ascii="Arial" w:cs="Arial" w:eastAsia="Arial" w:hAnsi="Arial"/>
          <w:sz w:val="18"/>
          <w:szCs w:val="18"/>
          <w:color w:val="auto"/>
        </w:rPr>
      </w:pPr>
    </w:p>
    <w:p>
      <w:pPr>
        <w:ind w:right="340" w:firstLine="906"/>
        <w:spacing w:after="0" w:line="291" w:lineRule="auto"/>
        <w:tabs>
          <w:tab w:leader="none" w:pos="1143" w:val="left"/>
        </w:tabs>
        <w:numPr>
          <w:ilvl w:val="1"/>
          <w:numId w:val="64"/>
        </w:numPr>
        <w:rPr>
          <w:rFonts w:ascii="Arial" w:cs="Arial" w:eastAsia="Arial" w:hAnsi="Arial"/>
          <w:sz w:val="16"/>
          <w:szCs w:val="16"/>
          <w:color w:val="auto"/>
        </w:rPr>
      </w:pPr>
      <w:r>
        <w:rPr>
          <w:rFonts w:ascii="Arial" w:cs="Arial" w:eastAsia="Arial" w:hAnsi="Arial"/>
          <w:sz w:val="16"/>
          <w:szCs w:val="16"/>
          <w:u w:val="single" w:color="auto"/>
          <w:color w:val="auto"/>
        </w:rPr>
        <w:t>Default Interest</w:t>
      </w:r>
      <w:r>
        <w:rPr>
          <w:rFonts w:ascii="Arial" w:cs="Arial" w:eastAsia="Arial" w:hAnsi="Arial"/>
          <w:sz w:val="16"/>
          <w:szCs w:val="16"/>
          <w:color w:val="auto"/>
        </w:rPr>
        <w:t>. Notwithstanding the foregoing, if any Event of Default has occurred and is continuing, the interest rates applicable to Loans and any fee or other amount payable by the Borrower hereunder shall bear interest, after as well as before judgment, at a rate per annum equal to</w:t>
      </w:r>
    </w:p>
    <w:p>
      <w:pPr>
        <w:jc w:val="both"/>
        <w:ind w:right="200" w:firstLine="8"/>
        <w:spacing w:after="0" w:line="255" w:lineRule="auto"/>
        <w:tabs>
          <w:tab w:leader="none" w:pos="215"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in the case of principal of any Loan, 2%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rate otherwise applicable to such Loan as provided above, (ii) in the case of any Letter of Credit, 2%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fee otherwise applicable to such Letter of Credit as provided in </w:t>
      </w:r>
      <w:r>
        <w:rPr>
          <w:rFonts w:ascii="Arial" w:cs="Arial" w:eastAsia="Arial" w:hAnsi="Arial"/>
          <w:sz w:val="18"/>
          <w:szCs w:val="18"/>
          <w:u w:val="single" w:color="auto"/>
          <w:color w:val="auto"/>
        </w:rPr>
        <w:t>Section 2.11(b)(i)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in the case of any fee or other amount, 2%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rate applicable to ABR Revolving Loans as provided in </w:t>
      </w:r>
      <w:r>
        <w:rPr>
          <w:rFonts w:ascii="Arial" w:cs="Arial" w:eastAsia="Arial" w:hAnsi="Arial"/>
          <w:sz w:val="18"/>
          <w:szCs w:val="18"/>
          <w:u w:val="single" w:color="auto"/>
          <w:color w:val="auto"/>
        </w:rPr>
        <w:t>paragraph (a)</w:t>
      </w:r>
      <w:r>
        <w:rPr>
          <w:rFonts w:ascii="Arial" w:cs="Arial" w:eastAsia="Arial" w:hAnsi="Arial"/>
          <w:sz w:val="18"/>
          <w:szCs w:val="18"/>
          <w:color w:val="auto"/>
        </w:rPr>
        <w:t xml:space="preserve"> of this Section.</w:t>
      </w:r>
    </w:p>
    <w:p>
      <w:pPr>
        <w:spacing w:after="0" w:line="189" w:lineRule="exact"/>
        <w:rPr>
          <w:rFonts w:ascii="Arial" w:cs="Arial" w:eastAsia="Arial" w:hAnsi="Arial"/>
          <w:sz w:val="18"/>
          <w:szCs w:val="18"/>
          <w:color w:val="auto"/>
        </w:rPr>
      </w:pPr>
    </w:p>
    <w:p>
      <w:pPr>
        <w:ind w:firstLine="906"/>
        <w:spacing w:after="0" w:line="273" w:lineRule="auto"/>
        <w:tabs>
          <w:tab w:leader="none" w:pos="1153" w:val="left"/>
        </w:tabs>
        <w:numPr>
          <w:ilvl w:val="1"/>
          <w:numId w:val="65"/>
        </w:numPr>
        <w:rPr>
          <w:rFonts w:ascii="Arial" w:cs="Arial" w:eastAsia="Arial" w:hAnsi="Arial"/>
          <w:sz w:val="17"/>
          <w:szCs w:val="17"/>
          <w:color w:val="auto"/>
        </w:rPr>
      </w:pPr>
      <w:r>
        <w:rPr>
          <w:rFonts w:ascii="Arial" w:cs="Arial" w:eastAsia="Arial" w:hAnsi="Arial"/>
          <w:sz w:val="17"/>
          <w:szCs w:val="17"/>
          <w:u w:val="single" w:color="auto"/>
          <w:color w:val="auto"/>
        </w:rPr>
        <w:t>Payment of Interest</w:t>
      </w:r>
      <w:r>
        <w:rPr>
          <w:rFonts w:ascii="Arial" w:cs="Arial" w:eastAsia="Arial" w:hAnsi="Arial"/>
          <w:sz w:val="17"/>
          <w:szCs w:val="17"/>
          <w:color w:val="auto"/>
        </w:rPr>
        <w:t xml:space="preserve">. Accrued interest on each Loan shall be payable in arrears on each Interest Payment Date for such Loan in the Currency in which such Loan is denominated and, in the case of Syndicated Loans, upon the Termination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interest accrued pursuant to </w:t>
      </w:r>
      <w:r>
        <w:rPr>
          <w:rFonts w:ascii="Arial" w:cs="Arial" w:eastAsia="Arial" w:hAnsi="Arial"/>
          <w:sz w:val="17"/>
          <w:szCs w:val="17"/>
          <w:u w:val="single" w:color="auto"/>
          <w:color w:val="auto"/>
        </w:rPr>
        <w:t>paragraph (c)</w:t>
      </w:r>
      <w:r>
        <w:rPr>
          <w:rFonts w:ascii="Arial" w:cs="Arial" w:eastAsia="Arial" w:hAnsi="Arial"/>
          <w:sz w:val="17"/>
          <w:szCs w:val="17"/>
          <w:color w:val="auto"/>
        </w:rPr>
        <w:t xml:space="preserve"> of this Section shall be payable on demand, (ii) in the event of any repayment or prepayment of any Loan (other than a prepayment of a Syndicated ABR Loan prior to the Final Maturity Date), accrued interest on the principal amount repaid or prepaid shall be payable on the date of such repayment or prepayment and (iii) in the event of any conversion of any Eurocurrency Borrowing denominated in Dollars prior to the end of the Interest Period therefor, accrued interest on such Borrowing shall be payable on the effective date of such conversion.</w:t>
      </w:r>
    </w:p>
    <w:p>
      <w:pPr>
        <w:spacing w:after="0" w:line="177" w:lineRule="exact"/>
        <w:rPr>
          <w:rFonts w:ascii="Arial" w:cs="Arial" w:eastAsia="Arial" w:hAnsi="Arial"/>
          <w:sz w:val="17"/>
          <w:szCs w:val="17"/>
          <w:color w:val="auto"/>
        </w:rPr>
      </w:pPr>
    </w:p>
    <w:p>
      <w:pPr>
        <w:ind w:right="140" w:firstLine="906"/>
        <w:spacing w:after="0" w:line="263" w:lineRule="auto"/>
        <w:tabs>
          <w:tab w:leader="none" w:pos="1143" w:val="left"/>
        </w:tabs>
        <w:numPr>
          <w:ilvl w:val="1"/>
          <w:numId w:val="65"/>
        </w:numPr>
        <w:rPr>
          <w:rFonts w:ascii="Arial" w:cs="Arial" w:eastAsia="Arial" w:hAnsi="Arial"/>
          <w:sz w:val="18"/>
          <w:szCs w:val="18"/>
          <w:color w:val="auto"/>
        </w:rPr>
      </w:pPr>
      <w:r>
        <w:rPr>
          <w:rFonts w:ascii="Arial" w:cs="Arial" w:eastAsia="Arial" w:hAnsi="Arial"/>
          <w:sz w:val="18"/>
          <w:szCs w:val="18"/>
          <w:u w:val="single" w:color="auto"/>
          <w:color w:val="auto"/>
        </w:rPr>
        <w:t>Computation</w:t>
      </w:r>
      <w:r>
        <w:rPr>
          <w:rFonts w:ascii="Arial" w:cs="Arial" w:eastAsia="Arial" w:hAnsi="Arial"/>
          <w:sz w:val="18"/>
          <w:szCs w:val="18"/>
          <w:color w:val="auto"/>
        </w:rPr>
        <w:t>. All interest hereunder shall be computed on the basis of a year of 360 days, except that interest computed (i) by reference to the Alternate Base Rate at times when the Alternate Base Rate is based on the Prime Rate and (ii) on Multicurrency Loans denominated in Canadian Dollars or Pounds Sterling shall be computed on the basis of a year of 365 days (or 366 days in a</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274" w:right="339" w:bottom="1440" w:gutter="0" w:footer="0" w:header="0"/>
        </w:sectPr>
      </w:pPr>
    </w:p>
    <w:bookmarkStart w:id="66" w:name="page67"/>
    <w:bookmarkEnd w:id="66"/>
    <w:p>
      <w:pPr>
        <w:ind w:right="2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leap year), and in each case shall be payable for the actual number of days elapsed (including the first day but excluding the last day). The applicable Alternate Base Rate or Adjusted LIBO Rate shall be determined by the Administrative Agent and such determination shall be conclusive absent manifest error.</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6"/>
          <w:szCs w:val="16"/>
          <w:color w:val="auto"/>
        </w:rPr>
        <w:t xml:space="preserve">SECTION 2.13. </w:t>
      </w:r>
      <w:r>
        <w:rPr>
          <w:rFonts w:ascii="Arial" w:cs="Arial" w:eastAsia="Arial" w:hAnsi="Arial"/>
          <w:sz w:val="16"/>
          <w:szCs w:val="16"/>
          <w:u w:val="single" w:color="auto"/>
          <w:color w:val="auto"/>
        </w:rPr>
        <w:t>Alternate Rate of Interest</w:t>
      </w:r>
      <w:r>
        <w:rPr>
          <w:rFonts w:ascii="Arial" w:cs="Arial" w:eastAsia="Arial" w:hAnsi="Arial"/>
          <w:sz w:val="16"/>
          <w:szCs w:val="16"/>
          <w:color w:val="auto"/>
        </w:rPr>
        <w:t>. If prior to the commencement of the Interest Period for any Eurocurrency Borrowing of a Class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Currency of such Borrowing herein called the “</w:t>
      </w:r>
      <w:r>
        <w:rPr>
          <w:rFonts w:ascii="Arial" w:cs="Arial" w:eastAsia="Arial" w:hAnsi="Arial"/>
          <w:sz w:val="18"/>
          <w:szCs w:val="18"/>
          <w:u w:val="single" w:color="auto"/>
          <w:color w:val="auto"/>
        </w:rPr>
        <w:t>Affected Currency</w:t>
      </w:r>
      <w:r>
        <w:rPr>
          <w:rFonts w:ascii="Arial" w:cs="Arial" w:eastAsia="Arial" w:hAnsi="Arial"/>
          <w:sz w:val="18"/>
          <w:szCs w:val="18"/>
          <w:color w:val="auto"/>
        </w:rPr>
        <w:t>”):</w:t>
      </w:r>
    </w:p>
    <w:p>
      <w:pPr>
        <w:spacing w:after="0" w:line="211" w:lineRule="exact"/>
        <w:rPr>
          <w:sz w:val="20"/>
          <w:szCs w:val="20"/>
          <w:color w:val="auto"/>
        </w:rPr>
      </w:pPr>
    </w:p>
    <w:p>
      <w:pPr>
        <w:ind w:right="180" w:firstLine="906"/>
        <w:spacing w:after="0" w:line="277" w:lineRule="auto"/>
        <w:tabs>
          <w:tab w:leader="none" w:pos="1143"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Administrative Agent determines (which determination shall be conclusive absent manifest error) that adequate and reasonable means do not exist for ascertaining the Adjusted LIBO Rate for the Affected Currency for such Interest Period; or</w:t>
      </w:r>
    </w:p>
    <w:p>
      <w:pPr>
        <w:spacing w:after="0" w:line="170" w:lineRule="exact"/>
        <w:rPr>
          <w:rFonts w:ascii="Arial" w:cs="Arial" w:eastAsia="Arial" w:hAnsi="Arial"/>
          <w:sz w:val="18"/>
          <w:szCs w:val="18"/>
          <w:color w:val="auto"/>
        </w:rPr>
      </w:pPr>
    </w:p>
    <w:p>
      <w:pPr>
        <w:ind w:right="20" w:firstLine="906"/>
        <w:spacing w:after="0" w:line="263" w:lineRule="auto"/>
        <w:tabs>
          <w:tab w:leader="none" w:pos="1153"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Administrative Agent is advised by the Required Lenders of such Class that the Adjusted LIBO Rate for the Affected Currency for such Interest Period will not adequately and fairly reflect the cost to such Lenders of making or maintaining their respective Loans included in such Borrowing for such Interest Period;</w:t>
      </w:r>
    </w:p>
    <w:p>
      <w:pPr>
        <w:spacing w:after="0" w:line="184" w:lineRule="exact"/>
        <w:rPr>
          <w:sz w:val="20"/>
          <w:szCs w:val="20"/>
          <w:color w:val="auto"/>
        </w:rPr>
      </w:pPr>
    </w:p>
    <w:p>
      <w:pPr>
        <w:ind w:right="400"/>
        <w:spacing w:after="0" w:line="291" w:lineRule="auto"/>
        <w:rPr>
          <w:sz w:val="20"/>
          <w:szCs w:val="20"/>
          <w:color w:val="auto"/>
        </w:rPr>
      </w:pPr>
      <w:r>
        <w:rPr>
          <w:rFonts w:ascii="Arial" w:cs="Arial" w:eastAsia="Arial" w:hAnsi="Arial"/>
          <w:sz w:val="16"/>
          <w:szCs w:val="16"/>
          <w:color w:val="auto"/>
        </w:rPr>
        <w:t>then the Administrative Agent shall give notice thereof to the Borrower and the affected Lenders by telephone or telecopy as promptly as practicable thereafter and, until the Administrative Agent notifies the Borrower and such Lenders that the circumstances giving rise to such notice no longer exist,</w:t>
      </w:r>
    </w:p>
    <w:p>
      <w:pPr>
        <w:ind w:right="180" w:firstLine="8"/>
        <w:spacing w:after="0" w:line="252" w:lineRule="auto"/>
        <w:tabs>
          <w:tab w:leader="none" w:pos="215"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Interest Election Request that requests the conversion of any Syndicated Borrowing to, or the continuation of any Syndicated Borrowing as, a Eurocurrency Borrowing denominated in the Affected Currency shall be ineffective and, if the Affected Currency is Dollars, such Syndicated Borrowing (unless prepaid) shall be continued as, or converted to, a Syndicated ABR Borrowing, (ii) if the Affected Currency is Dollars and any Borrowing Request requests a Eurocurrency Borrowing denominated in Dollars, such Borrowing shall be made as a Syndicated ABR Borrowing and (iii) if the Affected Currency is a Foreign Currency, any Borrowing Request that requests a Eurocurrency Borrowing denominated in the Affected Currency shall be ineffective.</w:t>
      </w:r>
    </w:p>
    <w:p>
      <w:pPr>
        <w:spacing w:after="0" w:line="19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Increased Costs</w:t>
      </w:r>
      <w:r>
        <w:rPr>
          <w:rFonts w:ascii="Arial" w:cs="Arial" w:eastAsia="Arial" w:hAnsi="Arial"/>
          <w:sz w:val="18"/>
          <w:szCs w:val="18"/>
          <w:color w:val="auto"/>
        </w:rPr>
        <w:t>.</w:t>
      </w:r>
    </w:p>
    <w:p>
      <w:pPr>
        <w:spacing w:after="0" w:line="225" w:lineRule="exact"/>
        <w:rPr>
          <w:sz w:val="20"/>
          <w:szCs w:val="20"/>
          <w:color w:val="auto"/>
        </w:rPr>
      </w:pPr>
    </w:p>
    <w:p>
      <w:pPr>
        <w:ind w:left="1160" w:hanging="254"/>
        <w:spacing w:after="0"/>
        <w:tabs>
          <w:tab w:leader="none" w:pos="1160"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t>Increased Costs Generally</w:t>
      </w:r>
      <w:r>
        <w:rPr>
          <w:rFonts w:ascii="Arial" w:cs="Arial" w:eastAsia="Arial" w:hAnsi="Arial"/>
          <w:sz w:val="18"/>
          <w:szCs w:val="18"/>
          <w:color w:val="auto"/>
        </w:rPr>
        <w:t>. If any Change in Law shall:</w:t>
      </w:r>
    </w:p>
    <w:p>
      <w:pPr>
        <w:spacing w:after="0" w:line="117" w:lineRule="exact"/>
        <w:rPr>
          <w:rFonts w:ascii="Arial" w:cs="Arial" w:eastAsia="Arial" w:hAnsi="Arial"/>
          <w:sz w:val="18"/>
          <w:szCs w:val="18"/>
          <w:color w:val="auto"/>
        </w:rPr>
      </w:pPr>
    </w:p>
    <w:p>
      <w:pPr>
        <w:ind w:left="460" w:right="160" w:firstLine="428"/>
        <w:spacing w:after="0" w:line="308" w:lineRule="auto"/>
        <w:tabs>
          <w:tab w:leader="none" w:pos="1106" w:val="left"/>
        </w:tabs>
        <w:numPr>
          <w:ilvl w:val="0"/>
          <w:numId w:val="69"/>
        </w:numPr>
        <w:rPr>
          <w:rFonts w:ascii="Arial" w:cs="Arial" w:eastAsia="Arial" w:hAnsi="Arial"/>
          <w:sz w:val="17"/>
          <w:szCs w:val="17"/>
          <w:color w:val="auto"/>
        </w:rPr>
      </w:pPr>
      <w:r>
        <w:rPr>
          <w:rFonts w:ascii="Arial" w:cs="Arial" w:eastAsia="Arial" w:hAnsi="Arial"/>
          <w:sz w:val="17"/>
          <w:szCs w:val="17"/>
          <w:color w:val="auto"/>
        </w:rPr>
        <w:t>impose, modify or deem applicable any reserve, special deposit or similar requirement against assets of, deposits with or for account of, or credit extended by, any Lender (except any such reserve requirement reflected in the Adjusted LIBO Rate) or the Issuing Bank; or</w:t>
      </w:r>
    </w:p>
    <w:p>
      <w:pPr>
        <w:spacing w:after="0" w:line="38" w:lineRule="exact"/>
        <w:rPr>
          <w:rFonts w:ascii="Arial" w:cs="Arial" w:eastAsia="Arial" w:hAnsi="Arial"/>
          <w:sz w:val="17"/>
          <w:szCs w:val="17"/>
          <w:color w:val="auto"/>
        </w:rPr>
      </w:pPr>
    </w:p>
    <w:p>
      <w:pPr>
        <w:ind w:left="460" w:right="20" w:firstLine="428"/>
        <w:spacing w:after="0" w:line="277" w:lineRule="auto"/>
        <w:tabs>
          <w:tab w:leader="none" w:pos="1156" w:val="left"/>
        </w:tabs>
        <w:numPr>
          <w:ilvl w:val="0"/>
          <w:numId w:val="69"/>
        </w:numPr>
        <w:rPr>
          <w:rFonts w:ascii="Arial" w:cs="Arial" w:eastAsia="Arial" w:hAnsi="Arial"/>
          <w:sz w:val="18"/>
          <w:szCs w:val="18"/>
          <w:color w:val="auto"/>
        </w:rPr>
      </w:pPr>
      <w:r>
        <w:rPr>
          <w:rFonts w:ascii="Arial" w:cs="Arial" w:eastAsia="Arial" w:hAnsi="Arial"/>
          <w:sz w:val="18"/>
          <w:szCs w:val="18"/>
          <w:color w:val="auto"/>
        </w:rPr>
        <w:t>impose on any Lender or the Issuing Bank or the London interbank market any other condition, cost or expense (other than Taxes) affecting this Agreement or Eurocurrency Loans made by such Lender or any Letter of Credit or participation therein;</w:t>
      </w:r>
    </w:p>
    <w:p>
      <w:pPr>
        <w:spacing w:after="0" w:line="170"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and the result of any of the foregoing shall be to increase the cost to such Lenders of making, converting to, continuing or maintaining any Eurocurrency Loan (or of maintaining its obligation to make any such Loan) or to increase the cost to such Lender or the Issuing Bank of participating in, issuing or maintaining any Letter of Credit or to reduce the amount of any sum received or receivable by</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274" w:right="339" w:bottom="1440" w:gutter="0" w:footer="0" w:header="0"/>
        </w:sectPr>
      </w:pPr>
    </w:p>
    <w:bookmarkStart w:id="67" w:name="page68"/>
    <w:bookmarkEnd w:id="67"/>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such Lender or the Issuing Bank hereunder (whether of principal, interest or otherwise), then the Borrower will pay to such Lender or the Issuing Bank, as the case may be, in Dollars, such additional amount or amounts as will compensate such Lender or the Issuing Bank, as the case may be, for such additional costs incurred or reduction suffered.</w:t>
      </w:r>
    </w:p>
    <w:p>
      <w:pPr>
        <w:spacing w:after="0" w:line="184" w:lineRule="exact"/>
        <w:rPr>
          <w:sz w:val="20"/>
          <w:szCs w:val="20"/>
          <w:color w:val="auto"/>
        </w:rPr>
      </w:pPr>
    </w:p>
    <w:p>
      <w:pPr>
        <w:ind w:right="60" w:firstLine="906"/>
        <w:spacing w:after="0" w:line="253" w:lineRule="auto"/>
        <w:tabs>
          <w:tab w:leader="none" w:pos="1153"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Capital or Liquidity Requirements</w:t>
      </w:r>
      <w:r>
        <w:rPr>
          <w:rFonts w:ascii="Arial" w:cs="Arial" w:eastAsia="Arial" w:hAnsi="Arial"/>
          <w:sz w:val="18"/>
          <w:szCs w:val="18"/>
          <w:color w:val="auto"/>
        </w:rPr>
        <w:t>. If any Lender or the Issuing Bank determines that any Change in Law regarding capital or liquidity requirements has or would have the effect of reducing the rate of return on such Lender’s or the Issuing Bank’s capital or on the capital of such Lender’s or the Issuing Bank’s holding company, if any, as a consequence of this Agreement or the Loans made by, or participations in Swingline Loans and Letters of Credit held by, such Lender, or the Letters of Credit issued by the Issuing Bank, to a level below that which such Lender or the Issuing Bank or such Lender’s or the Issuing Bank’s holding company could have achieved but for such Change in Law (taking into consideration such Lender’s or the Issuing Bank’s policies and the policies of such Lender’s or the Issuing Bank’s holding company with respect to capital adequacy), by an amount deemed to be material by such Lender or Issuing Bank, then from time to time the Borrower will pay to such Lender or the Issuing Bank, as the case may be, in Dollars, such additional amount or amounts as will compensate such Lender or the Issuing Bank or such Lender’s or the Issuing Bank’s holding company for any such reduction suffered.</w:t>
      </w:r>
    </w:p>
    <w:p>
      <w:pPr>
        <w:spacing w:after="0" w:line="196" w:lineRule="exact"/>
        <w:rPr>
          <w:rFonts w:ascii="Arial" w:cs="Arial" w:eastAsia="Arial" w:hAnsi="Arial"/>
          <w:sz w:val="18"/>
          <w:szCs w:val="18"/>
          <w:color w:val="auto"/>
        </w:rPr>
      </w:pPr>
    </w:p>
    <w:p>
      <w:pPr>
        <w:ind w:right="40" w:firstLine="906"/>
        <w:spacing w:after="0" w:line="255" w:lineRule="auto"/>
        <w:tabs>
          <w:tab w:leader="none" w:pos="1143"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Certificates from Lenders</w:t>
      </w:r>
      <w:r>
        <w:rPr>
          <w:rFonts w:ascii="Arial" w:cs="Arial" w:eastAsia="Arial" w:hAnsi="Arial"/>
          <w:sz w:val="18"/>
          <w:szCs w:val="18"/>
          <w:color w:val="auto"/>
        </w:rPr>
        <w:t xml:space="preserve">. A certificate of a Lender or the Issuing Bank setting forth in reasonable detail the basis for and the calculation of the amount or amounts, in Dollars, necessary to compensate such Lender or the Issuing Bank or its holding company, as the case may be, as specified in </w:t>
      </w:r>
      <w:r>
        <w:rPr>
          <w:rFonts w:ascii="Arial" w:cs="Arial" w:eastAsia="Arial" w:hAnsi="Arial"/>
          <w:sz w:val="18"/>
          <w:szCs w:val="18"/>
          <w:u w:val="single" w:color="auto"/>
          <w:color w:val="auto"/>
        </w:rPr>
        <w:t>paragraph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Section shall be promptly delivered to the Borrower and shall be conclusive absent manifest error (it being understood that no Lender shall be required to disclose (i) any confidential or price sensitive information or (ii) any information to the extent prohibited by applicable law). The Borrower shall pay such Lender or the Issuing Bank, as the case may be, the amount shown as due on any such certificate within 10 days after receipt thereof.</w:t>
      </w:r>
    </w:p>
    <w:p>
      <w:pPr>
        <w:spacing w:after="0" w:line="192" w:lineRule="exact"/>
        <w:rPr>
          <w:rFonts w:ascii="Arial" w:cs="Arial" w:eastAsia="Arial" w:hAnsi="Arial"/>
          <w:sz w:val="18"/>
          <w:szCs w:val="18"/>
          <w:color w:val="auto"/>
        </w:rPr>
      </w:pPr>
    </w:p>
    <w:p>
      <w:pPr>
        <w:ind w:right="80" w:firstLine="906"/>
        <w:spacing w:after="0" w:line="293" w:lineRule="auto"/>
        <w:tabs>
          <w:tab w:leader="none" w:pos="1153"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Delay in Requests</w:t>
      </w:r>
      <w:r>
        <w:rPr>
          <w:rFonts w:ascii="Arial" w:cs="Arial" w:eastAsia="Arial" w:hAnsi="Arial"/>
          <w:sz w:val="16"/>
          <w:szCs w:val="16"/>
          <w:color w:val="auto"/>
        </w:rPr>
        <w:t xml:space="preserve">. Failure or delay on the part of any Lender or the Issuing Bank to demand compensation pursuant to this Section shall not constitute a waiver of such Lender’s or the Issuing Bank’s right to demand such compensation;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not be required to compensate a Lender or the Issuing Bank pursuant to this Section for any increased costs or reductions incurred more than six months prior to the date that such Lender or the Issuing Bank, as the case may be, notifies the Borrower of the Change in Law giving rise to such increased costs or reductions and of such Lender’s or the Issuing Bank’s intention to claim compensation therefor;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the Change in Law giving rise to such increased costs or reductions is retroactive, then the six-month period referred to above shall be extended to include the period of retroactive effect thereof.</w:t>
      </w:r>
    </w:p>
    <w:p>
      <w:pPr>
        <w:spacing w:after="0" w:line="164" w:lineRule="exact"/>
        <w:rPr>
          <w:sz w:val="20"/>
          <w:szCs w:val="20"/>
          <w:color w:val="auto"/>
        </w:rPr>
      </w:pPr>
    </w:p>
    <w:p>
      <w:pPr>
        <w:ind w:right="20" w:firstLine="898"/>
        <w:spacing w:after="0" w:line="259" w:lineRule="auto"/>
        <w:rPr>
          <w:sz w:val="20"/>
          <w:szCs w:val="20"/>
          <w:color w:val="auto"/>
        </w:rPr>
      </w:pPr>
      <w:r>
        <w:rPr>
          <w:rFonts w:ascii="Arial" w:cs="Arial" w:eastAsia="Arial" w:hAnsi="Arial"/>
          <w:sz w:val="18"/>
          <w:szCs w:val="18"/>
          <w:color w:val="auto"/>
        </w:rPr>
        <w:t xml:space="preserve">SECTION 2.15. </w:t>
      </w:r>
      <w:r>
        <w:rPr>
          <w:rFonts w:ascii="Arial" w:cs="Arial" w:eastAsia="Arial" w:hAnsi="Arial"/>
          <w:sz w:val="18"/>
          <w:szCs w:val="18"/>
          <w:u w:val="single" w:color="auto"/>
          <w:color w:val="auto"/>
        </w:rPr>
        <w:t>Break Funding Payments</w:t>
      </w:r>
      <w:r>
        <w:rPr>
          <w:rFonts w:ascii="Arial" w:cs="Arial" w:eastAsia="Arial" w:hAnsi="Arial"/>
          <w:sz w:val="18"/>
          <w:szCs w:val="18"/>
          <w:color w:val="auto"/>
        </w:rPr>
        <w:t>. In the event of (a) the payment of any principal of any Eurocurrency Loan other than on the last day of an Interest Period therefor (including as a result of the occurrence of any Commitment Increase Date or an Event of Default), (b) the conversion of any Eurocurrency Loan other than on the last day of an Interest Period therefor, (c) the failure to borrow, convert, continue or prepay any Syndicated Loan on the date specified in any notice delivered pursuant hereto (including,</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274" w:right="339" w:bottom="1440" w:gutter="0" w:footer="0" w:header="0"/>
        </w:sectPr>
      </w:pPr>
    </w:p>
    <w:bookmarkStart w:id="68" w:name="page69"/>
    <w:bookmarkEnd w:id="68"/>
    <w:p>
      <w:pPr>
        <w:ind w:right="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in connection with any Commitment Increase Date, and regardless of whether such notice is permitted to be revocable under </w:t>
      </w:r>
      <w:r>
        <w:rPr>
          <w:rFonts w:ascii="Arial" w:cs="Arial" w:eastAsia="Arial" w:hAnsi="Arial"/>
          <w:sz w:val="17"/>
          <w:szCs w:val="17"/>
          <w:u w:val="single" w:color="auto"/>
          <w:color w:val="auto"/>
        </w:rPr>
        <w:t>Section 2.10(f)</w:t>
      </w:r>
      <w:r>
        <w:rPr>
          <w:rFonts w:ascii="Arial" w:cs="Arial" w:eastAsia="Arial" w:hAnsi="Arial"/>
          <w:sz w:val="17"/>
          <w:szCs w:val="17"/>
          <w:color w:val="auto"/>
        </w:rPr>
        <w:t xml:space="preserve"> and is revoked in accordance herewith), or (d) the assignment as a result of a request by the Borrower pursuant to </w:t>
      </w:r>
      <w:r>
        <w:rPr>
          <w:rFonts w:ascii="Arial" w:cs="Arial" w:eastAsia="Arial" w:hAnsi="Arial"/>
          <w:sz w:val="17"/>
          <w:szCs w:val="17"/>
          <w:u w:val="single" w:color="auto"/>
          <w:color w:val="auto"/>
        </w:rPr>
        <w:t>Section 2.18(b)</w:t>
      </w:r>
      <w:r>
        <w:rPr>
          <w:rFonts w:ascii="Arial" w:cs="Arial" w:eastAsia="Arial" w:hAnsi="Arial"/>
          <w:sz w:val="17"/>
          <w:szCs w:val="17"/>
          <w:color w:val="auto"/>
        </w:rPr>
        <w:t xml:space="preserve"> of any Eurocurrency Loan other than on the last day of an Interest Period therefor, then, in any such event, the Borrower shall compensate each Lender for the loss, cost and reasonable expense attributable to such event (excluding loss of anticipated profits). In the case of a Eurocurrency Loan, the loss to any Lender attributable to any such event shall be deemed to include an amount determined by such Lender to be equal to the excess, if any, of</w:t>
      </w:r>
    </w:p>
    <w:p>
      <w:pPr>
        <w:spacing w:after="0" w:line="68" w:lineRule="exact"/>
        <w:rPr>
          <w:sz w:val="20"/>
          <w:szCs w:val="20"/>
          <w:color w:val="auto"/>
        </w:rPr>
      </w:pPr>
    </w:p>
    <w:p>
      <w:pPr>
        <w:jc w:val="both"/>
        <w:ind w:left="460" w:right="100" w:firstLine="428"/>
        <w:spacing w:after="0" w:line="257" w:lineRule="auto"/>
        <w:tabs>
          <w:tab w:leader="none" w:pos="1106"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the amount of interest that such Lender would pay for a deposit equal to the principal amount of such Loan denominated in the Currency of such Loan for the period from the date of such payment, conversion, failure or assignment to the last day of the then current Interest Period for such Loan (or, in the case of a failure to borrow, convert or continue, the duration of the Interest Period that would have resulted from such borrowing, conversion or continuation) if the interest rate payable on such deposit were equal to the Adjusted LIBO Rate for such Currency for such Interest Period, </w:t>
      </w:r>
      <w:r>
        <w:rPr>
          <w:rFonts w:ascii="Arial" w:cs="Arial" w:eastAsia="Arial" w:hAnsi="Arial"/>
          <w:sz w:val="18"/>
          <w:szCs w:val="18"/>
          <w:u w:val="single" w:color="auto"/>
          <w:color w:val="auto"/>
        </w:rPr>
        <w:t>over</w:t>
      </w:r>
    </w:p>
    <w:p>
      <w:pPr>
        <w:spacing w:after="0" w:line="79" w:lineRule="exact"/>
        <w:rPr>
          <w:rFonts w:ascii="Arial" w:cs="Arial" w:eastAsia="Arial" w:hAnsi="Arial"/>
          <w:sz w:val="18"/>
          <w:szCs w:val="18"/>
          <w:color w:val="auto"/>
        </w:rPr>
      </w:pPr>
    </w:p>
    <w:p>
      <w:pPr>
        <w:ind w:left="460" w:right="220" w:firstLine="428"/>
        <w:spacing w:after="0" w:line="263" w:lineRule="auto"/>
        <w:tabs>
          <w:tab w:leader="none" w:pos="1156"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amount of interest that such Lender would earn on such principal amount for such period if such Lender were to invest such principal amount for such period at the interest rate that would be bid by such Lender (or an affiliate of such Lender) for deposits denominated in such Currency from other banks in the Eurocurrency market at the commencement of such period.</w:t>
      </w:r>
    </w:p>
    <w:p>
      <w:pPr>
        <w:spacing w:after="0" w:line="18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Payment under this Section shall be made upon request of a Lender delivered not later than five Business Days following the payment, conversion, or failure to borrow, convert, continue or prepay that gives rise to a claim under this Section accompanied by a certificate of such Lender setting forth in reasonable detail the basis for and the calculation of the amount or amounts that such Lender is entitled to receive pursuant to this Section, which certificate shall be conclusive absent manifest error. The Borrower shall pay such Lender the amount shown as due on any such certificate within 10 days after receipt thereof.</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6"/>
          <w:szCs w:val="16"/>
          <w:color w:val="auto"/>
        </w:rPr>
        <w:t xml:space="preserve">SECTION 2.16. </w:t>
      </w:r>
      <w:r>
        <w:rPr>
          <w:rFonts w:ascii="Arial" w:cs="Arial" w:eastAsia="Arial" w:hAnsi="Arial"/>
          <w:sz w:val="16"/>
          <w:szCs w:val="16"/>
          <w:u w:val="single" w:color="auto"/>
          <w:color w:val="auto"/>
        </w:rPr>
        <w:t>Taxes</w:t>
      </w:r>
      <w:r>
        <w:rPr>
          <w:rFonts w:ascii="Arial" w:cs="Arial" w:eastAsia="Arial" w:hAnsi="Arial"/>
          <w:sz w:val="16"/>
          <w:szCs w:val="16"/>
          <w:color w:val="auto"/>
        </w:rPr>
        <w:t xml:space="preserve">. For purposes of this </w:t>
      </w:r>
      <w:r>
        <w:rPr>
          <w:rFonts w:ascii="Arial" w:cs="Arial" w:eastAsia="Arial" w:hAnsi="Arial"/>
          <w:sz w:val="16"/>
          <w:szCs w:val="16"/>
          <w:u w:val="single" w:color="auto"/>
          <w:color w:val="auto"/>
        </w:rPr>
        <w:t>Section 2.16</w:t>
      </w:r>
      <w:r>
        <w:rPr>
          <w:rFonts w:ascii="Arial" w:cs="Arial" w:eastAsia="Arial" w:hAnsi="Arial"/>
          <w:sz w:val="16"/>
          <w:szCs w:val="16"/>
          <w:color w:val="auto"/>
        </w:rPr>
        <w:t>, the term “Lender” includes any Issuing Bank and the term “applicable law” includes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FATCA.</w:t>
      </w:r>
    </w:p>
    <w:p>
      <w:pPr>
        <w:spacing w:after="0" w:line="211" w:lineRule="exact"/>
        <w:rPr>
          <w:sz w:val="20"/>
          <w:szCs w:val="20"/>
          <w:color w:val="auto"/>
        </w:rPr>
      </w:pPr>
    </w:p>
    <w:p>
      <w:pPr>
        <w:ind w:right="40" w:firstLine="906"/>
        <w:spacing w:after="0" w:line="254" w:lineRule="auto"/>
        <w:tabs>
          <w:tab w:leader="none" w:pos="1143"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Payments Free of Taxes</w:t>
      </w:r>
      <w:r>
        <w:rPr>
          <w:rFonts w:ascii="Arial" w:cs="Arial" w:eastAsia="Arial" w:hAnsi="Arial"/>
          <w:sz w:val="18"/>
          <w:szCs w:val="18"/>
          <w:color w:val="auto"/>
        </w:rPr>
        <w:t xml:space="preserve">. Any and all payments by or on account of any obligation of the Borrower hereunder or under any other Loan Document shall be made free and clear of and without deduction for any Taxes, except as required by applicable law;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Borrower shall be required to deduct any Taxes from such payments, then (i) if such Taxes are Indemnified Taxes, the sum payable by the Borrower shall be increased as necessary so that after making all required deductions (including deductions applicable to additional sums payable under this Section) the Administrative Agent, Lender or Issuing Bank (as the case may be) receives an amount equal to the sum it would have received had no such deductions been made, (ii) the Borrower shall make such deductions and (iii) the Borrower shall pay the full amount deducted to the relevant Governmental Authority in accordance with applicable law.</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274" w:right="339" w:bottom="1440" w:gutter="0" w:footer="0" w:header="0"/>
        </w:sectPr>
      </w:pPr>
    </w:p>
    <w:bookmarkStart w:id="69" w:name="page70"/>
    <w:bookmarkEnd w:id="69"/>
    <w:p>
      <w:pPr>
        <w:ind w:right="200" w:firstLine="906"/>
        <w:spacing w:after="0" w:line="277" w:lineRule="auto"/>
        <w:tabs>
          <w:tab w:leader="none" w:pos="1153"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Payment of Other Taxes by the Borrower</w:t>
      </w:r>
      <w:r>
        <w:rPr>
          <w:rFonts w:ascii="Arial" w:cs="Arial" w:eastAsia="Arial" w:hAnsi="Arial"/>
          <w:sz w:val="18"/>
          <w:szCs w:val="18"/>
          <w:color w:val="auto"/>
        </w:rPr>
        <w:t>. In addition, the Borrower shall pay any Other Taxes to the relevant Governmental Authority in accordance with applicable law.</w:t>
      </w:r>
    </w:p>
    <w:p>
      <w:pPr>
        <w:spacing w:after="0" w:line="170" w:lineRule="exact"/>
        <w:rPr>
          <w:rFonts w:ascii="Arial" w:cs="Arial" w:eastAsia="Arial" w:hAnsi="Arial"/>
          <w:sz w:val="18"/>
          <w:szCs w:val="18"/>
          <w:color w:val="auto"/>
        </w:rPr>
      </w:pPr>
    </w:p>
    <w:p>
      <w:pPr>
        <w:ind w:firstLine="906"/>
        <w:spacing w:after="0" w:line="254" w:lineRule="auto"/>
        <w:tabs>
          <w:tab w:leader="none" w:pos="1143"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Indemnification by the Borrower</w:t>
      </w:r>
      <w:r>
        <w:rPr>
          <w:rFonts w:ascii="Arial" w:cs="Arial" w:eastAsia="Arial" w:hAnsi="Arial"/>
          <w:sz w:val="18"/>
          <w:szCs w:val="18"/>
          <w:color w:val="auto"/>
        </w:rPr>
        <w:t>. The Borrower shall indemnify the Administrative Agent, each Lender and the Issuing Bank for and, within 10 Business Days after written demand therefor, pay the full amount of any Indemnified Taxes (including Indemnified Taxes imposed or asserted on or attributable to amounts payable under this Section) paid by the Administrative Agent, such Lender or the Issuing Bank, as the case may be, and any penalties, interest and reasonable expenses arising therefrom or with respect thereto, whether or not such Indemnified Taxes were correctly or legally imposed or asserted by the relevant Governmental Authority, except to the extent that any such Indemnified Taxes arise as the result of the gross negligence or willful misconduct of the Administrative Agent, such Lender or the Issuing Bank. A certificate as to the amount of such payment or liability delivered to the Borrower by a Lender or the Issuing Bank, or by the Administrative Agent on its own behalf or on behalf of a Lender or the Issuing Bank, shall be conclusive absent manifest error.</w:t>
      </w:r>
    </w:p>
    <w:p>
      <w:pPr>
        <w:spacing w:after="0" w:line="191" w:lineRule="exact"/>
        <w:rPr>
          <w:rFonts w:ascii="Arial" w:cs="Arial" w:eastAsia="Arial" w:hAnsi="Arial"/>
          <w:sz w:val="18"/>
          <w:szCs w:val="18"/>
          <w:color w:val="auto"/>
        </w:rPr>
      </w:pPr>
    </w:p>
    <w:p>
      <w:pPr>
        <w:ind w:right="80" w:firstLine="906"/>
        <w:spacing w:after="0" w:line="269" w:lineRule="auto"/>
        <w:tabs>
          <w:tab w:leader="none" w:pos="1153"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Indemnification by the Lenders</w:t>
      </w:r>
      <w:r>
        <w:rPr>
          <w:rFonts w:ascii="Arial" w:cs="Arial" w:eastAsia="Arial" w:hAnsi="Arial"/>
          <w:sz w:val="17"/>
          <w:szCs w:val="17"/>
          <w:color w:val="auto"/>
        </w:rPr>
        <w:t xml:space="preserve">. Each Lender shall severally indemnify the Administrative Agent, within 10 Business Days after written demand therefor, for (i) any Indemnified Taxes or Other Taxes attributable to such Lender (but only to the extent that the Borrower has not already indemnified the Administrative Agent for such Indemnified Taxes and without limiting the obligation of the Borrower to do so), (ii) any Taxes attributable to such Lender’s failure to comply with the provisions of </w:t>
      </w:r>
      <w:r>
        <w:rPr>
          <w:rFonts w:ascii="Arial" w:cs="Arial" w:eastAsia="Arial" w:hAnsi="Arial"/>
          <w:sz w:val="17"/>
          <w:szCs w:val="17"/>
          <w:u w:val="single" w:color="auto"/>
          <w:color w:val="auto"/>
        </w:rPr>
        <w:t>Section 9.04(f)</w:t>
      </w:r>
      <w:r>
        <w:rPr>
          <w:rFonts w:ascii="Arial" w:cs="Arial" w:eastAsia="Arial" w:hAnsi="Arial"/>
          <w:sz w:val="17"/>
          <w:szCs w:val="17"/>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Arial" w:cs="Arial" w:eastAsia="Arial" w:hAnsi="Arial"/>
          <w:sz w:val="17"/>
          <w:szCs w:val="17"/>
          <w:u w:val="single" w:color="auto"/>
          <w:color w:val="auto"/>
        </w:rPr>
        <w:t>paragraph (d)</w:t>
      </w:r>
      <w:r>
        <w:rPr>
          <w:rFonts w:ascii="Arial" w:cs="Arial" w:eastAsia="Arial" w:hAnsi="Arial"/>
          <w:sz w:val="17"/>
          <w:szCs w:val="17"/>
          <w:color w:val="auto"/>
        </w:rPr>
        <w:t>.</w:t>
      </w:r>
    </w:p>
    <w:p>
      <w:pPr>
        <w:spacing w:after="0" w:line="185" w:lineRule="exact"/>
        <w:rPr>
          <w:rFonts w:ascii="Arial" w:cs="Arial" w:eastAsia="Arial" w:hAnsi="Arial"/>
          <w:sz w:val="17"/>
          <w:szCs w:val="17"/>
          <w:color w:val="auto"/>
        </w:rPr>
      </w:pPr>
    </w:p>
    <w:p>
      <w:pPr>
        <w:ind w:right="120" w:firstLine="906"/>
        <w:spacing w:after="0" w:line="259" w:lineRule="auto"/>
        <w:tabs>
          <w:tab w:leader="none" w:pos="1143"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Evidence of Payments</w:t>
      </w:r>
      <w:r>
        <w:rPr>
          <w:rFonts w:ascii="Arial" w:cs="Arial" w:eastAsia="Arial" w:hAnsi="Arial"/>
          <w:sz w:val="18"/>
          <w:szCs w:val="18"/>
          <w:color w:val="auto"/>
        </w:rPr>
        <w:t xml:space="preserve">. As soon as practicable after any payment of Indemnified Taxes by the Borrower to a Governmental Authority pursuant to this </w:t>
      </w:r>
      <w:r>
        <w:rPr>
          <w:rFonts w:ascii="Arial" w:cs="Arial" w:eastAsia="Arial" w:hAnsi="Arial"/>
          <w:sz w:val="18"/>
          <w:szCs w:val="18"/>
          <w:u w:val="single" w:color="auto"/>
          <w:color w:val="auto"/>
        </w:rPr>
        <w:t>Section 2.16</w:t>
      </w:r>
      <w:r>
        <w:rPr>
          <w:rFonts w:ascii="Arial" w:cs="Arial" w:eastAsia="Arial" w:hAnsi="Arial"/>
          <w:sz w:val="18"/>
          <w:szCs w:val="18"/>
          <w:color w:val="auto"/>
        </w:rPr>
        <w:t>,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86" w:lineRule="exact"/>
        <w:rPr>
          <w:rFonts w:ascii="Arial" w:cs="Arial" w:eastAsia="Arial" w:hAnsi="Arial"/>
          <w:sz w:val="18"/>
          <w:szCs w:val="18"/>
          <w:color w:val="auto"/>
        </w:rPr>
      </w:pPr>
    </w:p>
    <w:p>
      <w:pPr>
        <w:ind w:right="120" w:firstLine="906"/>
        <w:spacing w:after="0" w:line="257" w:lineRule="auto"/>
        <w:tabs>
          <w:tab w:leader="none" w:pos="1123"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Tax Documentation</w:t>
      </w:r>
      <w:r>
        <w:rPr>
          <w:rFonts w:ascii="Arial" w:cs="Arial" w:eastAsia="Arial" w:hAnsi="Arial"/>
          <w:sz w:val="18"/>
          <w:szCs w:val="18"/>
          <w:color w:val="auto"/>
        </w:rPr>
        <w:t>. (i) Any Lender that is entitled to an exemption from or reduction of withholding Tax, with respect to payments under any Loan Document shall deliver to the Borrower and the Administrative Agent, at the time or times prescribed by applicable law or reasonably requested by the Borrower or the Administrative Agent, such properly completed and executed documentation reasonably requested by the Borrower or the Administrative Agent as will permit such payments to be made without withholding or at a reduced rate. In addition, any Lender, if requested by the Borrower or the Administrative Agent, shall deliver such</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274" w:right="339" w:bottom="1440" w:gutter="0" w:footer="0" w:header="0"/>
        </w:sectPr>
      </w:pPr>
    </w:p>
    <w:bookmarkStart w:id="70" w:name="page71"/>
    <w:bookmarkEnd w:id="70"/>
    <w:p>
      <w:pPr>
        <w:ind w:right="10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6"/>
          <w:szCs w:val="16"/>
          <w:u w:val="single" w:color="auto"/>
          <w:color w:val="auto"/>
        </w:rPr>
        <w:t>Section 2.16(f)(ii)(A) and (B)</w:t>
      </w:r>
      <w:r>
        <w:rPr>
          <w:rFonts w:ascii="Arial" w:cs="Arial" w:eastAsia="Arial" w:hAnsi="Arial"/>
          <w:sz w:val="16"/>
          <w:szCs w:val="16"/>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53" w:lineRule="exact"/>
        <w:rPr>
          <w:sz w:val="20"/>
          <w:szCs w:val="20"/>
          <w:color w:val="auto"/>
        </w:rPr>
      </w:pPr>
    </w:p>
    <w:p>
      <w:pPr>
        <w:ind w:left="1160" w:hanging="272"/>
        <w:spacing w:after="0"/>
        <w:tabs>
          <w:tab w:leader="none" w:pos="11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Without limiting the generality of the foregoing:</w:t>
      </w:r>
    </w:p>
    <w:p>
      <w:pPr>
        <w:spacing w:after="0" w:line="117" w:lineRule="exact"/>
        <w:rPr>
          <w:rFonts w:ascii="Arial" w:cs="Arial" w:eastAsia="Arial" w:hAnsi="Arial"/>
          <w:sz w:val="18"/>
          <w:szCs w:val="18"/>
          <w:color w:val="auto"/>
        </w:rPr>
      </w:pPr>
    </w:p>
    <w:p>
      <w:pPr>
        <w:ind w:left="900" w:right="80" w:firstLine="420"/>
        <w:spacing w:after="0" w:line="301" w:lineRule="auto"/>
        <w:tabs>
          <w:tab w:leader="none" w:pos="1608" w:val="left"/>
        </w:tabs>
        <w:numPr>
          <w:ilvl w:val="1"/>
          <w:numId w:val="74"/>
        </w:numPr>
        <w:rPr>
          <w:rFonts w:ascii="Arial" w:cs="Arial" w:eastAsia="Arial" w:hAnsi="Arial"/>
          <w:sz w:val="16"/>
          <w:szCs w:val="16"/>
          <w:color w:val="auto"/>
        </w:rPr>
      </w:pPr>
      <w:r>
        <w:rPr>
          <w:rFonts w:ascii="Arial" w:cs="Arial" w:eastAsia="Arial" w:hAnsi="Arial"/>
          <w:sz w:val="16"/>
          <w:szCs w:val="16"/>
          <w:color w:val="auto"/>
        </w:rPr>
        <w:t>any Lender that is a U.S. Person shall deliver to the Borrower and the Administrative Agent (and such additional copies as shall be reasonably requested by the recipient) on or prior to the date on which such Lender becomes a Lender under this Agreement (and from time to time thereafter upon the reasonable request of the Borrower or the Administrative Agent), duly completed and executed copies of Internal Revenue Service Form W-9 or any successor form certifying that such Lender is exempt from U.S. federal backup withholding tax; and</w:t>
      </w:r>
    </w:p>
    <w:p>
      <w:pPr>
        <w:spacing w:after="0" w:line="49" w:lineRule="exact"/>
        <w:rPr>
          <w:rFonts w:ascii="Arial" w:cs="Arial" w:eastAsia="Arial" w:hAnsi="Arial"/>
          <w:sz w:val="16"/>
          <w:szCs w:val="16"/>
          <w:color w:val="auto"/>
        </w:rPr>
      </w:pPr>
    </w:p>
    <w:p>
      <w:pPr>
        <w:jc w:val="both"/>
        <w:ind w:left="900" w:right="160" w:firstLine="420"/>
        <w:spacing w:after="0" w:line="259" w:lineRule="auto"/>
        <w:tabs>
          <w:tab w:leader="none" w:pos="1598" w:val="left"/>
        </w:tabs>
        <w:numPr>
          <w:ilvl w:val="1"/>
          <w:numId w:val="74"/>
        </w:numPr>
        <w:rPr>
          <w:rFonts w:ascii="Arial" w:cs="Arial" w:eastAsia="Arial" w:hAnsi="Arial"/>
          <w:sz w:val="18"/>
          <w:szCs w:val="18"/>
          <w:color w:val="auto"/>
        </w:rPr>
      </w:pPr>
      <w:r>
        <w:rPr>
          <w:rFonts w:ascii="Arial" w:cs="Arial" w:eastAsia="Arial" w:hAnsi="Arial"/>
          <w:sz w:val="18"/>
          <w:szCs w:val="18"/>
          <w:color w:val="auto"/>
        </w:rPr>
        <w:t>each Foreign Lender shall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but only if such Foreign Lender is legally entitled to do so), whichever of the following is applicable:</w:t>
      </w:r>
    </w:p>
    <w:p>
      <w:pPr>
        <w:spacing w:after="0" w:line="78" w:lineRule="exact"/>
        <w:rPr>
          <w:rFonts w:ascii="Arial" w:cs="Arial" w:eastAsia="Arial" w:hAnsi="Arial"/>
          <w:sz w:val="18"/>
          <w:szCs w:val="18"/>
          <w:color w:val="auto"/>
        </w:rPr>
      </w:pPr>
    </w:p>
    <w:p>
      <w:pPr>
        <w:ind w:left="1460" w:right="40" w:firstLine="399"/>
        <w:spacing w:after="0" w:line="259" w:lineRule="auto"/>
        <w:tabs>
          <w:tab w:leader="none" w:pos="2146" w:val="left"/>
        </w:tabs>
        <w:numPr>
          <w:ilvl w:val="3"/>
          <w:numId w:val="74"/>
        </w:numPr>
        <w:rPr>
          <w:rFonts w:ascii="Arial" w:cs="Arial" w:eastAsia="Arial" w:hAnsi="Arial"/>
          <w:sz w:val="18"/>
          <w:szCs w:val="18"/>
          <w:color w:val="auto"/>
        </w:rPr>
      </w:pPr>
      <w:r>
        <w:rPr>
          <w:rFonts w:ascii="Arial" w:cs="Arial" w:eastAsia="Arial" w:hAnsi="Arial"/>
          <w:sz w:val="18"/>
          <w:szCs w:val="18"/>
          <w:color w:val="auto"/>
        </w:rPr>
        <w:t>duly completed and executed copies of Internal Revenue Service Form W-8BEN, W-8BEN-E or any successor form claiming eligibility for benefits of an income tax treaty to which the United States is a party pursuant to the “interest” article of such tax treaty (for payments of interest) or establishing an exemption from or reduction of U.S. federal withholding Tax pursuant to the “business profits” or “other income” article of such tax treaty (for other payments),</w:t>
      </w:r>
    </w:p>
    <w:p>
      <w:pPr>
        <w:spacing w:after="0" w:line="78" w:lineRule="exact"/>
        <w:rPr>
          <w:rFonts w:ascii="Arial" w:cs="Arial" w:eastAsia="Arial" w:hAnsi="Arial"/>
          <w:sz w:val="18"/>
          <w:szCs w:val="18"/>
          <w:color w:val="auto"/>
        </w:rPr>
      </w:pPr>
    </w:p>
    <w:p>
      <w:pPr>
        <w:ind w:left="1460" w:right="60" w:firstLine="399"/>
        <w:spacing w:after="0" w:line="308" w:lineRule="auto"/>
        <w:tabs>
          <w:tab w:leader="none" w:pos="2106" w:val="left"/>
        </w:tabs>
        <w:numPr>
          <w:ilvl w:val="3"/>
          <w:numId w:val="74"/>
        </w:numPr>
        <w:rPr>
          <w:rFonts w:ascii="Arial" w:cs="Arial" w:eastAsia="Arial" w:hAnsi="Arial"/>
          <w:sz w:val="17"/>
          <w:szCs w:val="17"/>
          <w:color w:val="auto"/>
        </w:rPr>
      </w:pPr>
      <w:r>
        <w:rPr>
          <w:rFonts w:ascii="Arial" w:cs="Arial" w:eastAsia="Arial" w:hAnsi="Arial"/>
          <w:sz w:val="17"/>
          <w:szCs w:val="17"/>
          <w:color w:val="auto"/>
        </w:rPr>
        <w:t>duly completed copies of Internal Revenue Service Form W-8ECI or any successor form certifying that the income receivable pursuant to this Agreement is effectively connected with the conduct of a trade or business in the United States,</w:t>
      </w:r>
    </w:p>
    <w:p>
      <w:pPr>
        <w:spacing w:after="0" w:line="38" w:lineRule="exact"/>
        <w:rPr>
          <w:rFonts w:ascii="Arial" w:cs="Arial" w:eastAsia="Arial" w:hAnsi="Arial"/>
          <w:sz w:val="17"/>
          <w:szCs w:val="17"/>
          <w:color w:val="auto"/>
        </w:rPr>
      </w:pPr>
    </w:p>
    <w:p>
      <w:pPr>
        <w:ind w:left="2120" w:hanging="261"/>
        <w:spacing w:after="0"/>
        <w:tabs>
          <w:tab w:leader="none" w:pos="2120" w:val="left"/>
        </w:tabs>
        <w:numPr>
          <w:ilvl w:val="3"/>
          <w:numId w:val="74"/>
        </w:numPr>
        <w:rPr>
          <w:rFonts w:ascii="Arial" w:cs="Arial" w:eastAsia="Arial" w:hAnsi="Arial"/>
          <w:sz w:val="16"/>
          <w:szCs w:val="16"/>
          <w:color w:val="auto"/>
        </w:rPr>
      </w:pPr>
      <w:r>
        <w:rPr>
          <w:rFonts w:ascii="Arial" w:cs="Arial" w:eastAsia="Arial" w:hAnsi="Arial"/>
          <w:sz w:val="16"/>
          <w:szCs w:val="16"/>
          <w:color w:val="auto"/>
        </w:rPr>
        <w:t>in the case of a Foreign Lender claiming the benefits of the exemption for portfolio interest under Section 881(c) of the Code,</w:t>
      </w:r>
    </w:p>
    <w:p>
      <w:pPr>
        <w:spacing w:after="0" w:line="46" w:lineRule="exact"/>
        <w:rPr>
          <w:rFonts w:ascii="Arial" w:cs="Arial" w:eastAsia="Arial" w:hAnsi="Arial"/>
          <w:sz w:val="16"/>
          <w:szCs w:val="16"/>
          <w:color w:val="auto"/>
        </w:rPr>
      </w:pPr>
    </w:p>
    <w:p>
      <w:pPr>
        <w:ind w:left="1460" w:right="60" w:firstLine="8"/>
        <w:spacing w:after="0" w:line="255" w:lineRule="auto"/>
        <w:tabs>
          <w:tab w:leader="none" w:pos="1715" w:val="left"/>
        </w:tabs>
        <w:numPr>
          <w:ilvl w:val="2"/>
          <w:numId w:val="74"/>
        </w:numPr>
        <w:rPr>
          <w:rFonts w:ascii="Arial" w:cs="Arial" w:eastAsia="Arial" w:hAnsi="Arial"/>
          <w:sz w:val="18"/>
          <w:szCs w:val="18"/>
          <w:color w:val="auto"/>
        </w:rPr>
      </w:pPr>
      <w:r>
        <w:rPr>
          <w:rFonts w:ascii="Arial" w:cs="Arial" w:eastAsia="Arial" w:hAnsi="Arial"/>
          <w:sz w:val="18"/>
          <w:szCs w:val="18"/>
          <w:color w:val="auto"/>
        </w:rPr>
        <w:t>a certificate to the effect that such Foreign Lender is not (1) a “bank” within the meaning of Section 881(c)(3)(A) of the Code, (2) a “10 percent shareholder” of the Borrower within the meaning of Section 881(c)(3)(B) of the Code, or (3) a “controlled foreign corporation” described in Section 881(c)(3)(C) of the</w:t>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274" w:right="339" w:bottom="1440" w:gutter="0" w:footer="0" w:header="0"/>
        </w:sectPr>
      </w:pPr>
    </w:p>
    <w:bookmarkStart w:id="71" w:name="page72"/>
    <w:bookmarkEnd w:id="71"/>
    <w:p>
      <w:pPr>
        <w:ind w:left="1460" w:right="6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Code and (2) duly completed and executed copies of Internal Revenue Service Form W-8BEN or W-8BEN-E (or any successor form) certifying that the Foreign Lender is not a United States Person, or</w:t>
      </w:r>
    </w:p>
    <w:p>
      <w:pPr>
        <w:spacing w:after="0" w:line="62" w:lineRule="exact"/>
        <w:rPr>
          <w:sz w:val="20"/>
          <w:szCs w:val="20"/>
          <w:color w:val="auto"/>
        </w:rPr>
      </w:pPr>
    </w:p>
    <w:p>
      <w:pPr>
        <w:ind w:left="1460" w:right="60" w:firstLine="399"/>
        <w:spacing w:after="0" w:line="263" w:lineRule="auto"/>
        <w:tabs>
          <w:tab w:leader="none" w:pos="2095" w:val="left"/>
        </w:tabs>
        <w:numPr>
          <w:ilvl w:val="2"/>
          <w:numId w:val="75"/>
        </w:numPr>
        <w:rPr>
          <w:rFonts w:ascii="Arial" w:cs="Arial" w:eastAsia="Arial" w:hAnsi="Arial"/>
          <w:sz w:val="18"/>
          <w:szCs w:val="18"/>
          <w:color w:val="auto"/>
        </w:rPr>
      </w:pPr>
      <w:r>
        <w:rPr>
          <w:rFonts w:ascii="Arial" w:cs="Arial" w:eastAsia="Arial" w:hAnsi="Arial"/>
          <w:sz w:val="18"/>
          <w:szCs w:val="18"/>
          <w:color w:val="auto"/>
        </w:rPr>
        <w:t>duly completed and executed originals of Internal Revenue Service Form W-8IMY, accompanied by Internal Revenue Service Form W-8ECI, Internal Revenue Service Form W-8BEN, a U.S. Tax Compliance Certificate, Internal Revenue Service Form W-9, and/or other certification documents from each beneficial owner, as applicable.</w:t>
      </w:r>
    </w:p>
    <w:p>
      <w:pPr>
        <w:spacing w:after="0" w:line="75" w:lineRule="exact"/>
        <w:rPr>
          <w:rFonts w:ascii="Arial" w:cs="Arial" w:eastAsia="Arial" w:hAnsi="Arial"/>
          <w:sz w:val="18"/>
          <w:szCs w:val="18"/>
          <w:color w:val="auto"/>
        </w:rPr>
      </w:pPr>
    </w:p>
    <w:p>
      <w:pPr>
        <w:ind w:left="900" w:right="160" w:firstLine="420"/>
        <w:spacing w:after="0" w:line="273" w:lineRule="auto"/>
        <w:tabs>
          <w:tab w:leader="none" w:pos="1598" w:val="left"/>
        </w:tabs>
        <w:numPr>
          <w:ilvl w:val="1"/>
          <w:numId w:val="76"/>
        </w:numPr>
        <w:rPr>
          <w:rFonts w:ascii="Arial" w:cs="Arial" w:eastAsia="Arial" w:hAnsi="Arial"/>
          <w:sz w:val="17"/>
          <w:szCs w:val="17"/>
          <w:color w:val="auto"/>
        </w:rPr>
      </w:pPr>
      <w:r>
        <w:rPr>
          <w:rFonts w:ascii="Arial" w:cs="Arial" w:eastAsia="Arial" w:hAnsi="Arial"/>
          <w:sz w:val="17"/>
          <w:szCs w:val="17"/>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w:t>
      </w:r>
    </w:p>
    <w:p>
      <w:pPr>
        <w:spacing w:after="0" w:line="69" w:lineRule="exact"/>
        <w:rPr>
          <w:rFonts w:ascii="Arial" w:cs="Arial" w:eastAsia="Arial" w:hAnsi="Arial"/>
          <w:sz w:val="17"/>
          <w:szCs w:val="17"/>
          <w:color w:val="auto"/>
        </w:rPr>
      </w:pPr>
    </w:p>
    <w:p>
      <w:pPr>
        <w:ind w:left="460" w:right="360" w:firstLine="428"/>
        <w:spacing w:after="0" w:line="301" w:lineRule="auto"/>
        <w:tabs>
          <w:tab w:leader="none" w:pos="1206" w:val="left"/>
        </w:tabs>
        <w:numPr>
          <w:ilvl w:val="0"/>
          <w:numId w:val="77"/>
        </w:numPr>
        <w:rPr>
          <w:rFonts w:ascii="Arial" w:cs="Arial" w:eastAsia="Arial" w:hAnsi="Arial"/>
          <w:sz w:val="16"/>
          <w:szCs w:val="16"/>
          <w:color w:val="auto"/>
        </w:rPr>
      </w:pPr>
      <w:r>
        <w:rPr>
          <w:rFonts w:ascii="Arial" w:cs="Arial" w:eastAsia="Arial" w:hAnsi="Arial"/>
          <w:sz w:val="16"/>
          <w:szCs w:val="16"/>
          <w:color w:val="auto"/>
        </w:rPr>
        <w:t xml:space="preserve">In addition, each Lender shall deliver such forms promptly upon the obsolescence, expiration or invalidity of any form previously delivered by such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it is legally able to do so at the time. Each Lender shall promptly notify the Borrower and the Administrative Agent at any time the chief tax officer of such Lender becomes aware that it no longer satisfies the legal requirements to provide any previously delivered form or certificate to the Borrower (or any other form of certification adopted by the U.S. or other taxing authorities for such purpose).</w:t>
      </w:r>
    </w:p>
    <w:p>
      <w:pPr>
        <w:spacing w:after="0" w:line="157" w:lineRule="exact"/>
        <w:rPr>
          <w:sz w:val="20"/>
          <w:szCs w:val="20"/>
          <w:color w:val="auto"/>
        </w:rPr>
      </w:pPr>
    </w:p>
    <w:p>
      <w:pPr>
        <w:ind w:firstLine="906"/>
        <w:spacing w:after="0" w:line="290" w:lineRule="auto"/>
        <w:tabs>
          <w:tab w:leader="none" w:pos="1153"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Documentation Required by FATCA</w:t>
      </w:r>
      <w:r>
        <w:rPr>
          <w:rFonts w:ascii="Arial" w:cs="Arial" w:eastAsia="Arial" w:hAnsi="Arial"/>
          <w:sz w:val="16"/>
          <w:szCs w:val="16"/>
          <w:color w:val="auto"/>
        </w:rPr>
        <w:t xml:space="preserve">.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Arial" w:cs="Arial" w:eastAsia="Arial" w:hAnsi="Arial"/>
          <w:sz w:val="16"/>
          <w:szCs w:val="16"/>
          <w:u w:val="single" w:color="auto"/>
          <w:color w:val="auto"/>
        </w:rPr>
        <w:t>Section 2.16(g)</w:t>
      </w:r>
      <w:r>
        <w:rPr>
          <w:rFonts w:ascii="Arial" w:cs="Arial" w:eastAsia="Arial" w:hAnsi="Arial"/>
          <w:sz w:val="16"/>
          <w:szCs w:val="16"/>
          <w:color w:val="auto"/>
        </w:rPr>
        <w:t>, “FATCA” shall include any amendments made to FATCA after the date of this Agreement.</w:t>
      </w:r>
    </w:p>
    <w:p>
      <w:pPr>
        <w:spacing w:after="0" w:line="165" w:lineRule="exact"/>
        <w:rPr>
          <w:rFonts w:ascii="Arial" w:cs="Arial" w:eastAsia="Arial" w:hAnsi="Arial"/>
          <w:sz w:val="16"/>
          <w:szCs w:val="16"/>
          <w:color w:val="auto"/>
        </w:rPr>
      </w:pPr>
    </w:p>
    <w:p>
      <w:pPr>
        <w:ind w:right="180" w:firstLine="906"/>
        <w:spacing w:after="0" w:line="263" w:lineRule="auto"/>
        <w:tabs>
          <w:tab w:leader="none" w:pos="1153"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Treatment of Certain Refunds</w:t>
      </w:r>
      <w:r>
        <w:rPr>
          <w:rFonts w:ascii="Arial" w:cs="Arial" w:eastAsia="Arial" w:hAnsi="Arial"/>
          <w:sz w:val="18"/>
          <w:szCs w:val="18"/>
          <w:color w:val="auto"/>
        </w:rPr>
        <w:t>. If the Administrative Agent, any Lender or an Issuing Bank determines, in its sole discretion exercised in good faith, that it has received a refund or credit (in lieu of such refund) of any Taxes or Other Taxes as to which it has been indemnified by the Borrower or with respect to which the Borrower has paid additional amounts pursuant to this</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274" w:right="339" w:bottom="1440" w:gutter="0" w:footer="0" w:header="0"/>
        </w:sectPr>
      </w:pPr>
    </w:p>
    <w:bookmarkStart w:id="72" w:name="page73"/>
    <w:bookmarkEnd w:id="72"/>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it shall pay to the Borrower an amount equal to such refund or credit (but only to the extent of indemnity payments made, or additional amounts paid, by the Borrower under this Section with respect to the Taxes or Other Taxes giving rise to such refund), net of all reasonable out-of-pocket expenses of the Administrative Agent, any Lender or an Issuing Bank, as the case may be, and without interest (other than any interest paid by the relevant Governmental Authority with respect to such refund);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upon the request of the Administrative Agent, any Lender or an Issuing Bank, agrees to repay the amount paid over to the Borrower (plus any penalties, interest or other charges imposed by the relevant Governmental Authority) to the Administrative Agent, any Lender or an Issuing Bank in the event the Administrative Agent, any Lender or an Issuing Bank is required to repay such refund to such Governmental Authority. Notwithstanding anything to the contrary in this </w:t>
      </w:r>
      <w:r>
        <w:rPr>
          <w:rFonts w:ascii="Arial" w:cs="Arial" w:eastAsia="Arial" w:hAnsi="Arial"/>
          <w:sz w:val="16"/>
          <w:szCs w:val="16"/>
          <w:u w:val="single" w:color="auto"/>
          <w:color w:val="auto"/>
        </w:rPr>
        <w:t>clause (h)</w:t>
      </w:r>
      <w:r>
        <w:rPr>
          <w:rFonts w:ascii="Arial" w:cs="Arial" w:eastAsia="Arial" w:hAnsi="Arial"/>
          <w:sz w:val="16"/>
          <w:szCs w:val="16"/>
          <w:color w:val="auto"/>
        </w:rPr>
        <w:t xml:space="preserve">, in no event will the Administrative Agent, any Lender or an Issuing Bank be required to pay any amount to Borrower pursuant to this </w:t>
      </w:r>
      <w:r>
        <w:rPr>
          <w:rFonts w:ascii="Arial" w:cs="Arial" w:eastAsia="Arial" w:hAnsi="Arial"/>
          <w:sz w:val="16"/>
          <w:szCs w:val="16"/>
          <w:u w:val="single" w:color="auto"/>
          <w:color w:val="auto"/>
        </w:rPr>
        <w:t>clause (h)</w:t>
      </w:r>
      <w:r>
        <w:rPr>
          <w:rFonts w:ascii="Arial" w:cs="Arial" w:eastAsia="Arial" w:hAnsi="Arial"/>
          <w:sz w:val="16"/>
          <w:szCs w:val="16"/>
          <w:color w:val="auto"/>
        </w:rPr>
        <w:t>, the payment of which would place such Person in a less favorable net after-Tax position than such Person would have been in if the indemnification payments or additional amounts giving rise to such refund had never been paid. This subsection shall not be construed to require the Administrative Agent, any Lender or an Issuing Bank to make available its tax returns or its books or records (or any other information relating to its taxes that it deems confidential) to the Borrower or any other Person.</w:t>
      </w:r>
    </w:p>
    <w:p>
      <w:pPr>
        <w:spacing w:after="0" w:line="17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2.17. </w:t>
      </w:r>
      <w:r>
        <w:rPr>
          <w:rFonts w:ascii="Arial" w:cs="Arial" w:eastAsia="Arial" w:hAnsi="Arial"/>
          <w:sz w:val="18"/>
          <w:szCs w:val="18"/>
          <w:u w:val="single" w:color="auto"/>
          <w:color w:val="auto"/>
        </w:rPr>
        <w:t>Payments Generally; Pro Rata Treatment: Sharing of Set-offs</w:t>
      </w:r>
      <w:r>
        <w:rPr>
          <w:rFonts w:ascii="Arial" w:cs="Arial" w:eastAsia="Arial" w:hAnsi="Arial"/>
          <w:sz w:val="18"/>
          <w:szCs w:val="18"/>
          <w:color w:val="auto"/>
        </w:rPr>
        <w:t>.</w:t>
      </w:r>
    </w:p>
    <w:p>
      <w:pPr>
        <w:spacing w:after="0" w:line="225" w:lineRule="exact"/>
        <w:rPr>
          <w:sz w:val="20"/>
          <w:szCs w:val="20"/>
          <w:color w:val="auto"/>
        </w:rPr>
      </w:pPr>
    </w:p>
    <w:p>
      <w:pPr>
        <w:ind w:right="20" w:firstLine="906"/>
        <w:spacing w:after="0" w:line="253" w:lineRule="auto"/>
        <w:tabs>
          <w:tab w:leader="none" w:pos="1143"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Payments by the Borrower</w:t>
      </w:r>
      <w:r>
        <w:rPr>
          <w:rFonts w:ascii="Arial" w:cs="Arial" w:eastAsia="Arial" w:hAnsi="Arial"/>
          <w:sz w:val="18"/>
          <w:szCs w:val="18"/>
          <w:color w:val="auto"/>
        </w:rPr>
        <w:t xml:space="preserve">. The Borrower shall make each payment required to be made by it hereunder (whether of principal, interest, fees or reimbursement of LC Disbursements, or under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w:t>
      </w:r>
      <w:r>
        <w:rPr>
          <w:rFonts w:ascii="Arial" w:cs="Arial" w:eastAsia="Arial" w:hAnsi="Arial"/>
          <w:sz w:val="18"/>
          <w:szCs w:val="18"/>
          <w:u w:val="single" w:color="auto"/>
          <w:color w:val="auto"/>
        </w:rPr>
        <w:t>2.15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2.16</w:t>
      </w:r>
      <w:r>
        <w:rPr>
          <w:rFonts w:ascii="Arial" w:cs="Arial" w:eastAsia="Arial" w:hAnsi="Arial"/>
          <w:sz w:val="18"/>
          <w:szCs w:val="18"/>
          <w:color w:val="auto"/>
        </w:rPr>
        <w:t xml:space="preserve">, or otherwise) or under any other Loan Document (except to the extent otherwise provided therein) prior to 12:00 noon, Atlanta, Georgia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the Administrative Agent’s Account, except as otherwise expressly provided in the relevant Loan Document and except payments to be made directly to the Issuing Bank or the Swingline Lender as expressly provided herein and payments pursuant to </w:t>
      </w:r>
      <w:r>
        <w:rPr>
          <w:rFonts w:ascii="Arial" w:cs="Arial" w:eastAsia="Arial" w:hAnsi="Arial"/>
          <w:sz w:val="18"/>
          <w:szCs w:val="18"/>
          <w:u w:val="single" w:color="auto"/>
          <w:color w:val="auto"/>
        </w:rPr>
        <w:t>Sections 2.14</w:t>
      </w:r>
      <w:r>
        <w:rPr>
          <w:rFonts w:ascii="Arial" w:cs="Arial" w:eastAsia="Arial" w:hAnsi="Arial"/>
          <w:sz w:val="18"/>
          <w:szCs w:val="18"/>
          <w:color w:val="auto"/>
        </w:rPr>
        <w:t xml:space="preserve">, </w:t>
      </w:r>
      <w:r>
        <w:rPr>
          <w:rFonts w:ascii="Arial" w:cs="Arial" w:eastAsia="Arial" w:hAnsi="Arial"/>
          <w:sz w:val="18"/>
          <w:szCs w:val="18"/>
          <w:u w:val="single" w:color="auto"/>
          <w:color w:val="auto"/>
        </w:rPr>
        <w:t>2.15</w:t>
      </w:r>
      <w:r>
        <w:rPr>
          <w:rFonts w:ascii="Arial" w:cs="Arial" w:eastAsia="Arial" w:hAnsi="Arial"/>
          <w:sz w:val="18"/>
          <w:szCs w:val="18"/>
          <w:color w:val="auto"/>
        </w:rPr>
        <w:t xml:space="preserve">, </w:t>
      </w:r>
      <w:r>
        <w:rPr>
          <w:rFonts w:ascii="Arial" w:cs="Arial" w:eastAsia="Arial" w:hAnsi="Arial"/>
          <w:sz w:val="18"/>
          <w:szCs w:val="18"/>
          <w:u w:val="single" w:color="auto"/>
          <w:color w:val="auto"/>
        </w:rPr>
        <w:t>2.16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9.03</w:t>
      </w:r>
      <w:r>
        <w:rPr>
          <w:rFonts w:ascii="Arial" w:cs="Arial" w:eastAsia="Arial" w:hAnsi="Arial"/>
          <w:sz w:val="18"/>
          <w:szCs w:val="18"/>
          <w:color w:val="auto"/>
        </w:rPr>
        <w:t>, which shall be made directly to the Persons entitled thereto. The Administrative Agent shall distribute any such payments received by it for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w:t>
      </w:r>
    </w:p>
    <w:p>
      <w:pPr>
        <w:spacing w:after="0" w:line="192" w:lineRule="exact"/>
        <w:rPr>
          <w:sz w:val="20"/>
          <w:szCs w:val="20"/>
          <w:color w:val="auto"/>
        </w:rPr>
      </w:pPr>
    </w:p>
    <w:p>
      <w:pPr>
        <w:ind w:right="100" w:firstLine="898"/>
        <w:spacing w:after="0" w:line="257" w:lineRule="auto"/>
        <w:rPr>
          <w:sz w:val="20"/>
          <w:szCs w:val="20"/>
          <w:color w:val="auto"/>
        </w:rPr>
      </w:pPr>
      <w:r>
        <w:rPr>
          <w:rFonts w:ascii="Arial" w:cs="Arial" w:eastAsia="Arial" w:hAnsi="Arial"/>
          <w:sz w:val="18"/>
          <w:szCs w:val="18"/>
          <w:color w:val="auto"/>
        </w:rPr>
        <w:t xml:space="preserve">All amounts owing under this Agreement (including commitment fees, payments required under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and payments required under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relating to any Loan denominated in Dollars, but not including principal of and interest on any Loan denominated in any Foreign Currency or payments relating to any such Loan required under </w:t>
      </w:r>
      <w:r>
        <w:rPr>
          <w:rFonts w:ascii="Arial" w:cs="Arial" w:eastAsia="Arial" w:hAnsi="Arial"/>
          <w:sz w:val="18"/>
          <w:szCs w:val="18"/>
          <w:u w:val="single" w:color="auto"/>
          <w:color w:val="auto"/>
        </w:rPr>
        <w:t>Section 2.15</w:t>
      </w:r>
      <w:r>
        <w:rPr>
          <w:rFonts w:ascii="Arial" w:cs="Arial" w:eastAsia="Arial" w:hAnsi="Arial"/>
          <w:sz w:val="18"/>
          <w:szCs w:val="18"/>
          <w:color w:val="auto"/>
        </w:rPr>
        <w:t>, which are payable in such Foreign Currency) or under any other Loan Document (except to the extent otherwise provided therein) are payable in Dollars. Notwithstanding the foregoing, if the Borrower shall fail to pay any principal of any Loan when due (whether at stated maturity, by</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274" w:right="339" w:bottom="1440" w:gutter="0" w:footer="0" w:header="0"/>
        </w:sectPr>
      </w:pPr>
    </w:p>
    <w:bookmarkStart w:id="73" w:name="page74"/>
    <w:bookmarkEnd w:id="73"/>
    <w:p>
      <w:pPr>
        <w:ind w:right="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acceleration, by mandatory prepayment or otherwise), the unpaid portion of such Loan shall, if such Loan is not denominated in Dollars, automatically be redenominated in Dollars on the due date thereof (or, if such due date is a day other than the last day of the Interest Period therefor, on the last day of such Interest Period) in an amount equal to the Dollar Equivalent thereof on the date of such redenomination and such principal shall be payable on demand; and if the Borrower shall fail to pay any interest on any Loan that is not denominated in Dollars, such interest shall automatically be redenominated in Dollars on the due date therefor (or, if such due date is a day other than the last day of the Interest Period therefor, on the last day of such Interest Period) in an amount equal to the Dollar Equivalent thereof on the date of such redenomination and such interest shall be payable on demand.</w:t>
      </w:r>
    </w:p>
    <w:p>
      <w:pPr>
        <w:spacing w:after="0" w:line="164" w:lineRule="exact"/>
        <w:rPr>
          <w:sz w:val="20"/>
          <w:szCs w:val="20"/>
          <w:color w:val="auto"/>
        </w:rPr>
      </w:pPr>
    </w:p>
    <w:p>
      <w:pPr>
        <w:ind w:firstLine="898"/>
        <w:spacing w:after="0" w:line="255" w:lineRule="auto"/>
        <w:rPr>
          <w:sz w:val="20"/>
          <w:szCs w:val="20"/>
          <w:color w:val="auto"/>
        </w:rPr>
      </w:pPr>
      <w:r>
        <w:rPr>
          <w:rFonts w:ascii="Arial" w:cs="Arial" w:eastAsia="Arial" w:hAnsi="Arial"/>
          <w:sz w:val="18"/>
          <w:szCs w:val="18"/>
          <w:color w:val="auto"/>
        </w:rPr>
        <w:t>Notwithstanding the foregoing provisions of this Section, if, after the making of any Borrowing in any Foreign Currency, currency control or exchange regulations are imposed in the country which issues such currency with the result that the type of currency in which the Borrowing was made (the “</w:t>
      </w:r>
      <w:r>
        <w:rPr>
          <w:rFonts w:ascii="Arial" w:cs="Arial" w:eastAsia="Arial" w:hAnsi="Arial"/>
          <w:sz w:val="18"/>
          <w:szCs w:val="18"/>
          <w:u w:val="single" w:color="auto"/>
          <w:color w:val="auto"/>
        </w:rPr>
        <w:t>Original Currency</w:t>
      </w:r>
      <w:r>
        <w:rPr>
          <w:rFonts w:ascii="Arial" w:cs="Arial" w:eastAsia="Arial" w:hAnsi="Arial"/>
          <w:sz w:val="18"/>
          <w:szCs w:val="18"/>
          <w:color w:val="auto"/>
        </w:rPr>
        <w:t>”) no longer exists or the Borrower is not able to make payment to the Administrative Agent for the account of the Lenders in such Original Currency, then all payments to be made by the Borrower hereunder in such currency shall instead be made when due in Dollars in an amount equal to the Dollar Equivalent (as of the date of repayment) of such payment due, it being the intention of the parties hereto that the Borrower takes all risks of the imposition of any such currency control or exchange regulations.</w:t>
      </w:r>
    </w:p>
    <w:p>
      <w:pPr>
        <w:spacing w:after="0" w:line="192" w:lineRule="exact"/>
        <w:rPr>
          <w:sz w:val="20"/>
          <w:szCs w:val="20"/>
          <w:color w:val="auto"/>
        </w:rPr>
      </w:pPr>
    </w:p>
    <w:p>
      <w:pPr>
        <w:ind w:right="120" w:firstLine="906"/>
        <w:spacing w:after="0" w:line="296" w:lineRule="auto"/>
        <w:tabs>
          <w:tab w:leader="none" w:pos="1153"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Application of Insufficient Payments</w:t>
      </w:r>
      <w:r>
        <w:rPr>
          <w:rFonts w:ascii="Arial" w:cs="Arial" w:eastAsia="Arial" w:hAnsi="Arial"/>
          <w:sz w:val="16"/>
          <w:szCs w:val="16"/>
          <w:color w:val="auto"/>
        </w:rPr>
        <w:t>. If at any time insufficient funds are received by and available to the Administrative Agent to pay fully all amounts of principal, unreimbursed LC Disbursements, interest and fees of a Class then due hereunder, such funds shall be applied (i) first, to pay interest and fees of such Class then due hereunder, ratably among the parties entitled thereto in accordance with the amounts of interest and fees of such Class then due to such parties, and (ii) second, to pay principal and unreimbursed LC Disbursements of such Class then due hereunder, ratably among the parties entitled thereto in accordance with the amounts of principal and unreimbursed LC Disbursements of such Class then due to such parties.</w:t>
      </w:r>
    </w:p>
    <w:p>
      <w:pPr>
        <w:spacing w:after="0" w:line="161" w:lineRule="exact"/>
        <w:rPr>
          <w:rFonts w:ascii="Arial" w:cs="Arial" w:eastAsia="Arial" w:hAnsi="Arial"/>
          <w:sz w:val="16"/>
          <w:szCs w:val="16"/>
          <w:color w:val="auto"/>
        </w:rPr>
      </w:pPr>
    </w:p>
    <w:p>
      <w:pPr>
        <w:ind w:right="20" w:firstLine="906"/>
        <w:spacing w:after="0" w:line="269" w:lineRule="auto"/>
        <w:tabs>
          <w:tab w:leader="none" w:pos="1143" w:val="left"/>
        </w:tabs>
        <w:numPr>
          <w:ilvl w:val="0"/>
          <w:numId w:val="80"/>
        </w:numPr>
        <w:rPr>
          <w:rFonts w:ascii="Arial" w:cs="Arial" w:eastAsia="Arial" w:hAnsi="Arial"/>
          <w:sz w:val="17"/>
          <w:szCs w:val="17"/>
          <w:color w:val="auto"/>
        </w:rPr>
      </w:pPr>
      <w:r>
        <w:rPr>
          <w:rFonts w:ascii="Arial" w:cs="Arial" w:eastAsia="Arial" w:hAnsi="Arial"/>
          <w:sz w:val="17"/>
          <w:szCs w:val="17"/>
          <w:u w:val="single" w:color="auto"/>
          <w:color w:val="auto"/>
        </w:rPr>
        <w:t>Pro Rata Treatment</w:t>
      </w:r>
      <w:r>
        <w:rPr>
          <w:rFonts w:ascii="Arial" w:cs="Arial" w:eastAsia="Arial" w:hAnsi="Arial"/>
          <w:sz w:val="17"/>
          <w:szCs w:val="17"/>
          <w:color w:val="auto"/>
        </w:rPr>
        <w:t xml:space="preserve">. Except to the extent otherwise provided herein: (i) each Syndicated Borrowing of a Class shall be made from the Lenders of such Class, each payment of commitment fee under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shall be made for account of the Lenders of the applicable Class, and each termination or reduction of the amount of the Commitments of a Class under </w:t>
      </w:r>
      <w:r>
        <w:rPr>
          <w:rFonts w:ascii="Arial" w:cs="Arial" w:eastAsia="Arial" w:hAnsi="Arial"/>
          <w:sz w:val="17"/>
          <w:szCs w:val="17"/>
          <w:u w:val="single" w:color="auto"/>
          <w:color w:val="auto"/>
        </w:rPr>
        <w:t>Section 2.08</w:t>
      </w:r>
      <w:r>
        <w:rPr>
          <w:rFonts w:ascii="Arial" w:cs="Arial" w:eastAsia="Arial" w:hAnsi="Arial"/>
          <w:sz w:val="17"/>
          <w:szCs w:val="17"/>
          <w:color w:val="auto"/>
        </w:rPr>
        <w:t xml:space="preserve"> shall be applied to the respective Commitments of the Lenders of such Class, pro rata according to the amounts of their respective Commitments of such Class; (ii) each Syndicated Borrowing of a Class shall be allocated pro rata among the Lenders of such Class according to the amounts of their respective Commitments of such Class (in the case of the making of Syndicated Loans) or their respective Loans of such Class that are to be included in such Borrowing (in the case of conversions and continuations of Loans); (iii) each payment or prepayment of principal of Syndicated Loans of a Class by the Borrower shall be made for account of the Lenders of such Class pro rata in accordance with the respective unpaid principal amounts of the Syndicated Loans of such Class held by them; and (iv) each payment of interest on Syndicated Loans of a Class by the Borrower shall be made for account of the Lenders of such Class pro rata in accordance with the amounts of interest on such Loans of such Class then due and payable to the respective Lenders.</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274" w:right="339" w:bottom="1440" w:gutter="0" w:footer="0" w:header="0"/>
        </w:sectPr>
      </w:pPr>
    </w:p>
    <w:bookmarkStart w:id="74" w:name="page75"/>
    <w:bookmarkEnd w:id="74"/>
    <w:p>
      <w:pPr>
        <w:ind w:right="100" w:firstLine="906"/>
        <w:spacing w:after="0" w:line="286" w:lineRule="auto"/>
        <w:tabs>
          <w:tab w:leader="none" w:pos="1153" w:val="left"/>
        </w:tabs>
        <w:numPr>
          <w:ilvl w:val="0"/>
          <w:numId w:val="8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Sharing of Payments by Lenders</w:t>
      </w:r>
      <w:r>
        <w:rPr>
          <w:rFonts w:ascii="Arial" w:cs="Arial" w:eastAsia="Arial" w:hAnsi="Arial"/>
          <w:sz w:val="16"/>
          <w:szCs w:val="16"/>
          <w:color w:val="auto"/>
        </w:rPr>
        <w:t xml:space="preserve">. If any Lender of any Class shall, by exercising any right of set-off or counterclaim or otherwise, obtain payment in respect of any principal of or interest on any of its Syndicated Loans, or participations in LC Disbursements or Swingline Loans, of such Class resulting in such Lender receiving payment of a greater proportion of the aggregate amount of its Syndicated Loans, and participations in LC Disbursements and Swingline Loans, and accrued interest thereon of such Class then due than the proportion received by any other Lender of such Class, then the Lender receiving such greater proportion shall purchase (for cash at face value) participations in the Syndicated Loans, and participations in LC Disbursements and Swingline Loans, of other Lenders of such Class to the extent necessary so that the benefit of all such payments shall be shared by the Lenders of such Class ratably in accordance with the aggregate amount of principal of and accrued interest on their respective Syndicated Loans, and participations in LC Disbursements and Swingline Loans, of such Class;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or participations in LC Disbursements to any assignee or participant, other than to the Borrower or any Subsidiary or Affiliate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67" w:lineRule="exact"/>
        <w:rPr>
          <w:rFonts w:ascii="Arial" w:cs="Arial" w:eastAsia="Arial" w:hAnsi="Arial"/>
          <w:sz w:val="16"/>
          <w:szCs w:val="16"/>
          <w:color w:val="auto"/>
        </w:rPr>
      </w:pPr>
    </w:p>
    <w:p>
      <w:pPr>
        <w:ind w:right="120" w:firstLine="906"/>
        <w:spacing w:after="0" w:line="291" w:lineRule="auto"/>
        <w:tabs>
          <w:tab w:leader="none" w:pos="1143" w:val="left"/>
        </w:tabs>
        <w:numPr>
          <w:ilvl w:val="0"/>
          <w:numId w:val="81"/>
        </w:numPr>
        <w:rPr>
          <w:rFonts w:ascii="Arial" w:cs="Arial" w:eastAsia="Arial" w:hAnsi="Arial"/>
          <w:sz w:val="16"/>
          <w:szCs w:val="16"/>
          <w:color w:val="auto"/>
        </w:rPr>
      </w:pPr>
      <w:r>
        <w:rPr>
          <w:rFonts w:ascii="Arial" w:cs="Arial" w:eastAsia="Arial" w:hAnsi="Arial"/>
          <w:sz w:val="16"/>
          <w:szCs w:val="16"/>
          <w:u w:val="single" w:color="auto"/>
          <w:color w:val="auto"/>
        </w:rPr>
        <w:t>Presumptions of Payment</w:t>
      </w:r>
      <w:r>
        <w:rPr>
          <w:rFonts w:ascii="Arial" w:cs="Arial" w:eastAsia="Arial" w:hAnsi="Arial"/>
          <w:sz w:val="16"/>
          <w:szCs w:val="16"/>
          <w:color w:val="auto"/>
        </w:rPr>
        <w:t>. Unless the Administrative Agent shall have received notice from the Borrower prior to the date on which any payment is due to the Administrative Agent for account of the Lenders or the Issuing Bank hereunder that the Borrower will not make such payment, the Administrative Agent may assume that the Borrower has made such payment on such date in accordance herewith and may, in reliance upon such assumption, distribute to the Lenders or the Issuing Bank, as the case may be, the amount due. In such event, if the Borrower has not in fact made such payment, then each of the Lenders or the Issuing Bank, as the case may be, severally agrees to repay to the Administrative Agent forthwith on demand the amount so distributed to such Lender or the Issuing Bank with interest thereon, for each day from and including the date such amount is distributed to it to but excluding the date of payment to the Administrative Agent at the Federal Funds Effective Rate.</w:t>
      </w:r>
    </w:p>
    <w:p>
      <w:pPr>
        <w:spacing w:after="0" w:line="166" w:lineRule="exact"/>
        <w:rPr>
          <w:rFonts w:ascii="Arial" w:cs="Arial" w:eastAsia="Arial" w:hAnsi="Arial"/>
          <w:sz w:val="16"/>
          <w:szCs w:val="16"/>
          <w:color w:val="auto"/>
        </w:rPr>
      </w:pPr>
    </w:p>
    <w:p>
      <w:pPr>
        <w:ind w:right="320" w:firstLine="906"/>
        <w:spacing w:after="0" w:line="259" w:lineRule="auto"/>
        <w:tabs>
          <w:tab w:leader="none" w:pos="1123"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Certain Deductions by the Administrative Agent</w:t>
      </w:r>
      <w:r>
        <w:rPr>
          <w:rFonts w:ascii="Arial" w:cs="Arial" w:eastAsia="Arial" w:hAnsi="Arial"/>
          <w:sz w:val="18"/>
          <w:szCs w:val="18"/>
          <w:color w:val="auto"/>
        </w:rPr>
        <w:t xml:space="preserve">. If any Lender shall fail to make any payment required to be made by it pursuant to </w:t>
      </w:r>
      <w:r>
        <w:rPr>
          <w:rFonts w:ascii="Arial" w:cs="Arial" w:eastAsia="Arial" w:hAnsi="Arial"/>
          <w:sz w:val="18"/>
          <w:szCs w:val="18"/>
          <w:u w:val="single" w:color="auto"/>
          <w:color w:val="auto"/>
        </w:rPr>
        <w:t>Section 2.04(c)</w:t>
      </w:r>
      <w:r>
        <w:rPr>
          <w:rFonts w:ascii="Arial" w:cs="Arial" w:eastAsia="Arial" w:hAnsi="Arial"/>
          <w:sz w:val="18"/>
          <w:szCs w:val="18"/>
          <w:color w:val="auto"/>
        </w:rPr>
        <w:t xml:space="preserve">, </w:t>
      </w:r>
      <w:r>
        <w:rPr>
          <w:rFonts w:ascii="Arial" w:cs="Arial" w:eastAsia="Arial" w:hAnsi="Arial"/>
          <w:sz w:val="18"/>
          <w:szCs w:val="18"/>
          <w:u w:val="single" w:color="auto"/>
          <w:color w:val="auto"/>
        </w:rPr>
        <w:t>2.05(e)</w:t>
      </w:r>
      <w:r>
        <w:rPr>
          <w:rFonts w:ascii="Arial" w:cs="Arial" w:eastAsia="Arial" w:hAnsi="Arial"/>
          <w:sz w:val="18"/>
          <w:szCs w:val="18"/>
          <w:color w:val="auto"/>
        </w:rPr>
        <w:t xml:space="preserve">, </w:t>
      </w:r>
      <w:r>
        <w:rPr>
          <w:rFonts w:ascii="Arial" w:cs="Arial" w:eastAsia="Arial" w:hAnsi="Arial"/>
          <w:sz w:val="18"/>
          <w:szCs w:val="18"/>
          <w:u w:val="single" w:color="auto"/>
          <w:color w:val="auto"/>
        </w:rPr>
        <w:t>2.06(a)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2.17(e)</w:t>
      </w:r>
      <w:r>
        <w:rPr>
          <w:rFonts w:ascii="Arial" w:cs="Arial" w:eastAsia="Arial" w:hAnsi="Arial"/>
          <w:sz w:val="18"/>
          <w:szCs w:val="18"/>
          <w:color w:val="auto"/>
        </w:rPr>
        <w:t>, then the Administrative Agent may, in its discretion (notwithstanding any contrary provision hereof), apply any amounts thereafter received by the Administrative Agent for account of such Lender to satisfy such Lender’s obligations under such Sections until all such unsatisfied obligations are fully paid.</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274" w:right="339" w:bottom="1440" w:gutter="0" w:footer="0" w:header="0"/>
        </w:sectPr>
      </w:pPr>
    </w:p>
    <w:bookmarkStart w:id="75" w:name="page76"/>
    <w:bookmarkEnd w:id="75"/>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2.18. </w:t>
      </w:r>
      <w:r>
        <w:rPr>
          <w:rFonts w:ascii="Arial" w:cs="Arial" w:eastAsia="Arial" w:hAnsi="Arial"/>
          <w:sz w:val="18"/>
          <w:szCs w:val="18"/>
          <w:u w:val="single" w:color="auto"/>
          <w:color w:val="auto"/>
        </w:rPr>
        <w:t>Mitigation Obligations; Replacement of Lenders</w:t>
      </w:r>
      <w:r>
        <w:rPr>
          <w:rFonts w:ascii="Arial" w:cs="Arial" w:eastAsia="Arial" w:hAnsi="Arial"/>
          <w:sz w:val="18"/>
          <w:szCs w:val="18"/>
          <w:color w:val="auto"/>
        </w:rPr>
        <w:t>.</w:t>
      </w:r>
    </w:p>
    <w:p>
      <w:pPr>
        <w:spacing w:after="0" w:line="225" w:lineRule="exact"/>
        <w:rPr>
          <w:sz w:val="20"/>
          <w:szCs w:val="20"/>
          <w:color w:val="auto"/>
        </w:rPr>
      </w:pPr>
    </w:p>
    <w:p>
      <w:pPr>
        <w:ind w:right="140" w:firstLine="906"/>
        <w:spacing w:after="0" w:line="272" w:lineRule="auto"/>
        <w:tabs>
          <w:tab w:leader="none" w:pos="1143" w:val="left"/>
        </w:tabs>
        <w:numPr>
          <w:ilvl w:val="0"/>
          <w:numId w:val="82"/>
        </w:numPr>
        <w:rPr>
          <w:rFonts w:ascii="Arial" w:cs="Arial" w:eastAsia="Arial" w:hAnsi="Arial"/>
          <w:sz w:val="17"/>
          <w:szCs w:val="17"/>
          <w:color w:val="auto"/>
        </w:rPr>
      </w:pPr>
      <w:r>
        <w:rPr>
          <w:rFonts w:ascii="Arial" w:cs="Arial" w:eastAsia="Arial" w:hAnsi="Arial"/>
          <w:sz w:val="17"/>
          <w:szCs w:val="17"/>
          <w:u w:val="single" w:color="auto"/>
          <w:color w:val="auto"/>
        </w:rPr>
        <w:t>Designation of a Different Lending Office</w:t>
      </w:r>
      <w:r>
        <w:rPr>
          <w:rFonts w:ascii="Arial" w:cs="Arial" w:eastAsia="Arial" w:hAnsi="Arial"/>
          <w:sz w:val="17"/>
          <w:szCs w:val="17"/>
          <w:color w:val="auto"/>
        </w:rPr>
        <w:t xml:space="preserve">. If any Lender requests compensation under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or if the Borrower is required to pay any additional amount to any Lender or any Governmental Authority for the account of any Lender pursuant to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2.16</w:t>
      </w:r>
      <w:r>
        <w:rPr>
          <w:rFonts w:ascii="Arial" w:cs="Arial" w:eastAsia="Arial" w:hAnsi="Arial"/>
          <w:sz w:val="17"/>
          <w:szCs w:val="17"/>
          <w:color w:val="auto"/>
        </w:rPr>
        <w:t>, as the case may be, in the future and (ii) would not subject such Lender to any cost or expense not required to be reimbursed by the Borrower and would not otherwise be disadvantageous to such Lender. The Borrower hereby agrees to pay all reasonable costs and expenses incurred by any Lender in connection with any such designation or assignment.</w:t>
      </w:r>
    </w:p>
    <w:p>
      <w:pPr>
        <w:spacing w:after="0" w:line="177" w:lineRule="exact"/>
        <w:rPr>
          <w:rFonts w:ascii="Arial" w:cs="Arial" w:eastAsia="Arial" w:hAnsi="Arial"/>
          <w:sz w:val="17"/>
          <w:szCs w:val="17"/>
          <w:color w:val="auto"/>
        </w:rPr>
      </w:pPr>
    </w:p>
    <w:p>
      <w:pPr>
        <w:ind w:firstLine="906"/>
        <w:spacing w:after="0" w:line="286" w:lineRule="auto"/>
        <w:tabs>
          <w:tab w:leader="none" w:pos="1153"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Replacement of Lenders</w:t>
      </w:r>
      <w:r>
        <w:rPr>
          <w:rFonts w:ascii="Arial" w:cs="Arial" w:eastAsia="Arial" w:hAnsi="Arial"/>
          <w:sz w:val="16"/>
          <w:szCs w:val="16"/>
          <w:color w:val="auto"/>
        </w:rPr>
        <w:t xml:space="preserve">. If any Lender requests compensation under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or if the Borrower is required to pay any additional amount to any Lender or any Governmental Authority for account of any Lender pursuant to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or if any Lender becomes a Defaulting Lender or is a Non-Consenting Lender (as provided in </w:t>
      </w:r>
      <w:r>
        <w:rPr>
          <w:rFonts w:ascii="Arial" w:cs="Arial" w:eastAsia="Arial" w:hAnsi="Arial"/>
          <w:sz w:val="16"/>
          <w:szCs w:val="16"/>
          <w:u w:val="single" w:color="auto"/>
          <w:color w:val="auto"/>
        </w:rPr>
        <w:t>Section 9.02(d)</w:t>
      </w:r>
      <w:r>
        <w:rPr>
          <w:rFonts w:ascii="Arial" w:cs="Arial" w:eastAsia="Arial" w:hAnsi="Arial"/>
          <w:sz w:val="16"/>
          <w:szCs w:val="16"/>
          <w:color w:val="auto"/>
        </w:rPr>
        <w:t xml:space="preserve">), then the Borrower may, at its sole expense and effort, upon notice to such Lender and the Administrative Agent, require such Lender to assign and delegate, without recourse (in accordance with and subject to the restrictions contained in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all its interests, rights and obligations under this Agreement to an assignee that shall assume such obligations (which assignee may be another Lender, if a Lender accepts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Borrower shall have received the prior written consent of the Administrative Agent (and, if a Commitment is being assigned, the Issuing Bank and the Swingline Lender), which consent shall not unreasonably be withheld, (ii) such Lender shall have received payment of an amount equal to the outstanding principal of its Loans and participations in LC Disbursements and Swingline Loans, accrued interest thereon, accrued fees and all other amounts payable to it hereunder, from the assignee (to the extent of such outstanding principal and accrued interest and fees) or the Borrower (in the case of all other amounts) and (iii) in the case of any such assignment resulting from a claim for compensation under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or payments required to be made pursuant to </w:t>
      </w:r>
      <w:r>
        <w:rPr>
          <w:rFonts w:ascii="Arial" w:cs="Arial" w:eastAsia="Arial" w:hAnsi="Arial"/>
          <w:sz w:val="16"/>
          <w:szCs w:val="16"/>
          <w:u w:val="single" w:color="auto"/>
          <w:color w:val="auto"/>
        </w:rPr>
        <w:t>Section 2.16</w:t>
      </w:r>
      <w:r>
        <w:rPr>
          <w:rFonts w:ascii="Arial" w:cs="Arial" w:eastAsia="Arial" w:hAnsi="Arial"/>
          <w:sz w:val="16"/>
          <w:szCs w:val="16"/>
          <w:color w:val="auto"/>
        </w:rPr>
        <w:t>, such assignment will result in a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w:t>
      </w:r>
    </w:p>
    <w:p>
      <w:pPr>
        <w:spacing w:after="0" w:line="17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2.19. </w:t>
      </w:r>
      <w:r>
        <w:rPr>
          <w:rFonts w:ascii="Arial" w:cs="Arial" w:eastAsia="Arial" w:hAnsi="Arial"/>
          <w:sz w:val="18"/>
          <w:szCs w:val="18"/>
          <w:u w:val="single" w:color="auto"/>
          <w:color w:val="auto"/>
        </w:rPr>
        <w:t>Defaulting Lenders</w:t>
      </w:r>
      <w:r>
        <w:rPr>
          <w:rFonts w:ascii="Arial" w:cs="Arial" w:eastAsia="Arial" w:hAnsi="Arial"/>
          <w:sz w:val="18"/>
          <w:szCs w:val="18"/>
          <w:color w:val="auto"/>
        </w:rPr>
        <w:t>.</w:t>
      </w:r>
    </w:p>
    <w:p>
      <w:pPr>
        <w:spacing w:after="0" w:line="225" w:lineRule="exact"/>
        <w:rPr>
          <w:sz w:val="20"/>
          <w:szCs w:val="20"/>
          <w:color w:val="auto"/>
        </w:rPr>
      </w:pPr>
    </w:p>
    <w:p>
      <w:pPr>
        <w:ind w:firstLine="906"/>
        <w:spacing w:after="0" w:line="277" w:lineRule="auto"/>
        <w:tabs>
          <w:tab w:leader="none" w:pos="1143" w:val="left"/>
        </w:tabs>
        <w:numPr>
          <w:ilvl w:val="1"/>
          <w:numId w:val="83"/>
        </w:numPr>
        <w:rPr>
          <w:rFonts w:ascii="Arial" w:cs="Arial" w:eastAsia="Arial" w:hAnsi="Arial"/>
          <w:sz w:val="18"/>
          <w:szCs w:val="18"/>
          <w:color w:val="auto"/>
        </w:rPr>
      </w:pPr>
      <w:r>
        <w:rPr>
          <w:rFonts w:ascii="Arial" w:cs="Arial" w:eastAsia="Arial" w:hAnsi="Arial"/>
          <w:sz w:val="18"/>
          <w:szCs w:val="18"/>
          <w:u w:val="single" w:color="auto"/>
          <w:color w:val="auto"/>
        </w:rPr>
        <w:t>Defaulting Lender Adjustments</w:t>
      </w:r>
      <w:r>
        <w:rPr>
          <w:rFonts w:ascii="Arial" w:cs="Arial" w:eastAsia="Arial" w:hAnsi="Arial"/>
          <w:sz w:val="18"/>
          <w:szCs w:val="18"/>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62" w:lineRule="exact"/>
        <w:rPr>
          <w:rFonts w:ascii="Arial" w:cs="Arial" w:eastAsia="Arial" w:hAnsi="Arial"/>
          <w:sz w:val="18"/>
          <w:szCs w:val="18"/>
          <w:color w:val="auto"/>
        </w:rPr>
      </w:pPr>
    </w:p>
    <w:p>
      <w:pPr>
        <w:ind w:left="460" w:right="100" w:firstLine="428"/>
        <w:spacing w:after="0" w:line="259" w:lineRule="auto"/>
        <w:tabs>
          <w:tab w:leader="none" w:pos="1106"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Defaulting Lender Waterfall</w:t>
      </w:r>
      <w:r>
        <w:rPr>
          <w:rFonts w:ascii="Arial" w:cs="Arial" w:eastAsia="Arial" w:hAnsi="Arial"/>
          <w:sz w:val="18"/>
          <w:szCs w:val="18"/>
          <w:color w:val="auto"/>
        </w:rPr>
        <w:t xml:space="preserve">. Any payment of principal, interest, fees or other amounts received by Administrative Agent for the account of such Defaulting Lender (whether voluntary or mandatory, at maturity, pursuant to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or otherwise) or received by Administrative Agent from a Defaulting Lender pursuant to </w:t>
      </w:r>
      <w:r>
        <w:rPr>
          <w:rFonts w:ascii="Arial" w:cs="Arial" w:eastAsia="Arial" w:hAnsi="Arial"/>
          <w:sz w:val="18"/>
          <w:szCs w:val="18"/>
          <w:u w:val="single" w:color="auto"/>
          <w:color w:val="auto"/>
        </w:rPr>
        <w:t>Section 9.08</w:t>
      </w:r>
      <w:r>
        <w:rPr>
          <w:rFonts w:ascii="Arial" w:cs="Arial" w:eastAsia="Arial" w:hAnsi="Arial"/>
          <w:sz w:val="18"/>
          <w:szCs w:val="18"/>
          <w:color w:val="auto"/>
        </w:rPr>
        <w:t xml:space="preserve"> shall be applied at such time or times as may be determined by Administrative Agent as follows: </w:t>
      </w:r>
      <w:r>
        <w:rPr>
          <w:rFonts w:ascii="Arial" w:cs="Arial" w:eastAsia="Arial" w:hAnsi="Arial"/>
          <w:sz w:val="18"/>
          <w:szCs w:val="18"/>
          <w:i w:val="1"/>
          <w:iCs w:val="1"/>
          <w:color w:val="auto"/>
        </w:rPr>
        <w:t>first</w:t>
      </w:r>
      <w:r>
        <w:rPr>
          <w:rFonts w:ascii="Arial" w:cs="Arial" w:eastAsia="Arial" w:hAnsi="Arial"/>
          <w:sz w:val="18"/>
          <w:szCs w:val="18"/>
          <w:color w:val="auto"/>
        </w:rPr>
        <w:t>, to the payment of any amounts owing by such</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274" w:right="339" w:bottom="1440" w:gutter="0" w:footer="0" w:header="0"/>
        </w:sectPr>
      </w:pPr>
    </w:p>
    <w:bookmarkStart w:id="76" w:name="page77"/>
    <w:bookmarkEnd w:id="76"/>
    <w:p>
      <w:pPr>
        <w:ind w:left="3" w:right="6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Defaulting Lender to Administrative Agent hereunder; </w:t>
      </w:r>
      <w:r>
        <w:rPr>
          <w:rFonts w:ascii="Arial" w:cs="Arial" w:eastAsia="Arial" w:hAnsi="Arial"/>
          <w:sz w:val="16"/>
          <w:szCs w:val="16"/>
          <w:i w:val="1"/>
          <w:iCs w:val="1"/>
          <w:color w:val="auto"/>
        </w:rPr>
        <w:t>second</w:t>
      </w:r>
      <w:r>
        <w:rPr>
          <w:rFonts w:ascii="Arial" w:cs="Arial" w:eastAsia="Arial" w:hAnsi="Arial"/>
          <w:sz w:val="16"/>
          <w:szCs w:val="16"/>
          <w:color w:val="auto"/>
        </w:rPr>
        <w:t xml:space="preserve">, to the payment on a pro rata basis of any amounts owing by such Defaulting Lender to Issuing Bank or Swingline Lender hereunder; </w:t>
      </w:r>
      <w:r>
        <w:rPr>
          <w:rFonts w:ascii="Arial" w:cs="Arial" w:eastAsia="Arial" w:hAnsi="Arial"/>
          <w:sz w:val="16"/>
          <w:szCs w:val="16"/>
          <w:i w:val="1"/>
          <w:iCs w:val="1"/>
          <w:color w:val="auto"/>
        </w:rPr>
        <w:t>third</w:t>
      </w:r>
      <w:r>
        <w:rPr>
          <w:rFonts w:ascii="Arial" w:cs="Arial" w:eastAsia="Arial" w:hAnsi="Arial"/>
          <w:sz w:val="16"/>
          <w:szCs w:val="16"/>
          <w:color w:val="auto"/>
        </w:rPr>
        <w:t xml:space="preserve">, to Cash Collateralize Issuing Bank’s Fronting Exposure with respect to such Defaulting Lender in the manner described in </w:t>
      </w:r>
      <w:r>
        <w:rPr>
          <w:rFonts w:ascii="Arial" w:cs="Arial" w:eastAsia="Arial" w:hAnsi="Arial"/>
          <w:sz w:val="16"/>
          <w:szCs w:val="16"/>
          <w:u w:val="single" w:color="auto"/>
          <w:color w:val="auto"/>
        </w:rPr>
        <w:t>Section 2.09(a)</w:t>
      </w:r>
      <w:r>
        <w:rPr>
          <w:rFonts w:ascii="Arial" w:cs="Arial" w:eastAsia="Arial" w:hAnsi="Arial"/>
          <w:sz w:val="16"/>
          <w:szCs w:val="16"/>
          <w:color w:val="auto"/>
        </w:rPr>
        <w:t xml:space="preserve">; </w:t>
      </w:r>
      <w:r>
        <w:rPr>
          <w:rFonts w:ascii="Arial" w:cs="Arial" w:eastAsia="Arial" w:hAnsi="Arial"/>
          <w:sz w:val="16"/>
          <w:szCs w:val="16"/>
          <w:i w:val="1"/>
          <w:iCs w:val="1"/>
          <w:color w:val="auto"/>
        </w:rPr>
        <w:t>fourth</w:t>
      </w:r>
      <w:r>
        <w:rPr>
          <w:rFonts w:ascii="Arial" w:cs="Arial" w:eastAsia="Arial" w:hAnsi="Arial"/>
          <w:sz w:val="16"/>
          <w:szCs w:val="16"/>
          <w:color w:val="auto"/>
        </w:rPr>
        <w:t xml:space="preserve">, as Borrower may request (so long as no Default or Event of Default exists), to the funding of any Loan in respect of which such Defaulting Lender has failed to fund its portion thereof as required by this Agreement, as determined by Administrative Agent; </w:t>
      </w:r>
      <w:r>
        <w:rPr>
          <w:rFonts w:ascii="Arial" w:cs="Arial" w:eastAsia="Arial" w:hAnsi="Arial"/>
          <w:sz w:val="16"/>
          <w:szCs w:val="16"/>
          <w:i w:val="1"/>
          <w:iCs w:val="1"/>
          <w:color w:val="auto"/>
        </w:rPr>
        <w:t>fifth</w:t>
      </w:r>
      <w:r>
        <w:rPr>
          <w:rFonts w:ascii="Arial" w:cs="Arial" w:eastAsia="Arial" w:hAnsi="Arial"/>
          <w:sz w:val="16"/>
          <w:szCs w:val="16"/>
          <w:color w:val="auto"/>
        </w:rPr>
        <w:t>, if so determined by Administrative Agent and Borrower, to be held in a deposit account and released pro rata in order to</w:t>
      </w:r>
    </w:p>
    <w:p>
      <w:pPr>
        <w:spacing w:after="0" w:line="2" w:lineRule="exact"/>
        <w:rPr>
          <w:sz w:val="20"/>
          <w:szCs w:val="20"/>
          <w:color w:val="auto"/>
        </w:rPr>
      </w:pPr>
    </w:p>
    <w:p>
      <w:pPr>
        <w:ind w:left="3" w:right="40" w:hanging="3"/>
        <w:spacing w:after="0" w:line="281" w:lineRule="auto"/>
        <w:tabs>
          <w:tab w:leader="none" w:pos="258" w:val="left"/>
        </w:tabs>
        <w:numPr>
          <w:ilvl w:val="0"/>
          <w:numId w:val="85"/>
        </w:numPr>
        <w:rPr>
          <w:rFonts w:ascii="Arial" w:cs="Arial" w:eastAsia="Arial" w:hAnsi="Arial"/>
          <w:sz w:val="16"/>
          <w:szCs w:val="16"/>
          <w:color w:val="auto"/>
        </w:rPr>
      </w:pPr>
      <w:r>
        <w:rPr>
          <w:rFonts w:ascii="Arial" w:cs="Arial" w:eastAsia="Arial" w:hAnsi="Arial"/>
          <w:sz w:val="16"/>
          <w:szCs w:val="16"/>
          <w:color w:val="auto"/>
        </w:rPr>
        <w:t xml:space="preserve">satisfy such Defaulting Lender’s potential future funding obligations with respect to Loans under this Agreement and (y) Cash Collateralize Issuing Bank’s future Fronting Exposure with respect to such Defaulting Lender with respect to future Letters of Credit issued under this Agreement, in the manner described in </w:t>
      </w:r>
      <w:r>
        <w:rPr>
          <w:rFonts w:ascii="Arial" w:cs="Arial" w:eastAsia="Arial" w:hAnsi="Arial"/>
          <w:sz w:val="16"/>
          <w:szCs w:val="16"/>
          <w:u w:val="single" w:color="auto"/>
          <w:color w:val="auto"/>
        </w:rPr>
        <w:t>Section 2.09(a)</w:t>
      </w:r>
      <w:r>
        <w:rPr>
          <w:rFonts w:ascii="Arial" w:cs="Arial" w:eastAsia="Arial" w:hAnsi="Arial"/>
          <w:sz w:val="16"/>
          <w:szCs w:val="16"/>
          <w:color w:val="auto"/>
        </w:rPr>
        <w:t xml:space="preserve">; </w:t>
      </w:r>
      <w:r>
        <w:rPr>
          <w:rFonts w:ascii="Arial" w:cs="Arial" w:eastAsia="Arial" w:hAnsi="Arial"/>
          <w:sz w:val="16"/>
          <w:szCs w:val="16"/>
          <w:i w:val="1"/>
          <w:iCs w:val="1"/>
          <w:color w:val="auto"/>
        </w:rPr>
        <w:t>sixth</w:t>
      </w:r>
      <w:r>
        <w:rPr>
          <w:rFonts w:ascii="Arial" w:cs="Arial" w:eastAsia="Arial" w:hAnsi="Arial"/>
          <w:sz w:val="16"/>
          <w:szCs w:val="16"/>
          <w:color w:val="auto"/>
        </w:rPr>
        <w:t xml:space="preserve">, to the payment of any amounts owing to the Lenders, Issuing Bank or Swingline Lender as a result of any judgment of a court of competent jurisdiction obtained by any Lender, Issuing Bank or Swingline Lender against such Defaulting Lender as a result of such Defaulting Lender’s breach of its obligations under this Agreement; </w:t>
      </w:r>
      <w:r>
        <w:rPr>
          <w:rFonts w:ascii="Arial" w:cs="Arial" w:eastAsia="Arial" w:hAnsi="Arial"/>
          <w:sz w:val="16"/>
          <w:szCs w:val="16"/>
          <w:i w:val="1"/>
          <w:iCs w:val="1"/>
          <w:color w:val="auto"/>
        </w:rPr>
        <w:t>seventh</w:t>
      </w:r>
      <w:r>
        <w:rPr>
          <w:rFonts w:ascii="Arial" w:cs="Arial" w:eastAsia="Arial" w:hAnsi="Arial"/>
          <w:sz w:val="16"/>
          <w:szCs w:val="16"/>
          <w:color w:val="auto"/>
        </w:rPr>
        <w:t xml:space="preserve">, so long as no Default or Event of Default exists, to the payment of any amounts owing to Borrower as a result of any judgment of a court of competent jurisdiction obtained by Borrower against such Defaulting Lender as a result of such Defaulting Lender’s breach of its obligations under this Agreement; and </w:t>
      </w:r>
      <w:r>
        <w:rPr>
          <w:rFonts w:ascii="Arial" w:cs="Arial" w:eastAsia="Arial" w:hAnsi="Arial"/>
          <w:sz w:val="16"/>
          <w:szCs w:val="16"/>
          <w:i w:val="1"/>
          <w:iCs w:val="1"/>
          <w:color w:val="auto"/>
        </w:rPr>
        <w:t>eighth</w:t>
      </w:r>
      <w:r>
        <w:rPr>
          <w:rFonts w:ascii="Arial" w:cs="Arial" w:eastAsia="Arial" w:hAnsi="Arial"/>
          <w:sz w:val="16"/>
          <w:szCs w:val="16"/>
          <w:color w:val="auto"/>
        </w:rPr>
        <w:t xml:space="preserve">, to such Defaulting Lender or as otherwise directed by a court of 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(x) such payment is a payment of the principal amount of any Loans or reimbursement obligations in respect of any LC Disbursement for which such Defaulting Lender has not fully funded its appropriate share, and</w:t>
      </w:r>
    </w:p>
    <w:p>
      <w:pPr>
        <w:spacing w:after="0" w:line="5" w:lineRule="exact"/>
        <w:rPr>
          <w:rFonts w:ascii="Arial" w:cs="Arial" w:eastAsia="Arial" w:hAnsi="Arial"/>
          <w:sz w:val="16"/>
          <w:szCs w:val="16"/>
          <w:color w:val="auto"/>
        </w:rPr>
      </w:pPr>
    </w:p>
    <w:p>
      <w:pPr>
        <w:ind w:left="3" w:right="60" w:hanging="3"/>
        <w:spacing w:after="0" w:line="251" w:lineRule="auto"/>
        <w:tabs>
          <w:tab w:leader="none" w:pos="258"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such Loans were made or the related Letters of Credit were issued at a time when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were satisfied and waived, such payment shall be applied solely to pay the Loans of, and reimbursement obligations in respect of any LC Disbursement that is owed to, all Non-Defaulting Lenders on a pro rata basis prior to being applied to the payment of any Loans of, or reimbursement obligations in respect of any LC Disbursement that is owed to, such Defaulting Lender until such time as all Loans and funded and unfunded participations in Letters of Credit and Swingline Loans are held by the Lenders pro rata in accordance with the applicable Commitments without giving effect to </w:t>
      </w:r>
      <w:r>
        <w:rPr>
          <w:rFonts w:ascii="Arial" w:cs="Arial" w:eastAsia="Arial" w:hAnsi="Arial"/>
          <w:sz w:val="18"/>
          <w:szCs w:val="18"/>
          <w:u w:val="single" w:color="auto"/>
          <w:color w:val="auto"/>
        </w:rPr>
        <w:t>Section 2.19(a)(iii)</w:t>
      </w:r>
      <w:r>
        <w:rPr>
          <w:rFonts w:ascii="Arial" w:cs="Arial" w:eastAsia="Arial" w:hAnsi="Arial"/>
          <w:sz w:val="18"/>
          <w:szCs w:val="18"/>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18"/>
          <w:szCs w:val="18"/>
          <w:u w:val="single" w:color="auto"/>
          <w:color w:val="auto"/>
        </w:rPr>
        <w:t>Section 2.19(a)(i)</w:t>
      </w:r>
      <w:r>
        <w:rPr>
          <w:rFonts w:ascii="Arial" w:cs="Arial" w:eastAsia="Arial" w:hAnsi="Arial"/>
          <w:sz w:val="18"/>
          <w:szCs w:val="18"/>
          <w:color w:val="auto"/>
        </w:rPr>
        <w:t xml:space="preserve"> shall be deemed paid to and redirected by such Defaulting Lender, and each Lender irrevocably consents hereto.</w:t>
      </w:r>
    </w:p>
    <w:p>
      <w:pPr>
        <w:spacing w:after="0" w:line="89" w:lineRule="exact"/>
        <w:rPr>
          <w:rFonts w:ascii="Arial" w:cs="Arial" w:eastAsia="Arial" w:hAnsi="Arial"/>
          <w:sz w:val="18"/>
          <w:szCs w:val="18"/>
          <w:color w:val="auto"/>
        </w:rPr>
      </w:pPr>
    </w:p>
    <w:p>
      <w:pPr>
        <w:ind w:left="703" w:hanging="272"/>
        <w:spacing w:after="0"/>
        <w:tabs>
          <w:tab w:leader="none" w:pos="703" w:val="left"/>
        </w:tabs>
        <w:numPr>
          <w:ilvl w:val="1"/>
          <w:numId w:val="85"/>
        </w:numPr>
        <w:rPr>
          <w:rFonts w:ascii="Arial" w:cs="Arial" w:eastAsia="Arial" w:hAnsi="Arial"/>
          <w:sz w:val="18"/>
          <w:szCs w:val="18"/>
          <w:color w:val="auto"/>
        </w:rPr>
      </w:pPr>
      <w:r>
        <w:rPr>
          <w:rFonts w:ascii="Arial" w:cs="Arial" w:eastAsia="Arial" w:hAnsi="Arial"/>
          <w:sz w:val="18"/>
          <w:szCs w:val="18"/>
          <w:u w:val="single" w:color="auto"/>
          <w:color w:val="auto"/>
        </w:rPr>
        <w:t>Certain Fees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3" w:right="100" w:firstLine="420"/>
        <w:spacing w:after="0" w:line="275" w:lineRule="auto"/>
        <w:tabs>
          <w:tab w:leader="none" w:pos="1151" w:val="left"/>
        </w:tabs>
        <w:numPr>
          <w:ilvl w:val="2"/>
          <w:numId w:val="85"/>
        </w:numPr>
        <w:rPr>
          <w:rFonts w:ascii="Arial" w:cs="Arial" w:eastAsia="Arial" w:hAnsi="Arial"/>
          <w:sz w:val="17"/>
          <w:szCs w:val="17"/>
          <w:color w:val="auto"/>
        </w:rPr>
      </w:pPr>
      <w:r>
        <w:rPr>
          <w:rFonts w:ascii="Arial" w:cs="Arial" w:eastAsia="Arial" w:hAnsi="Arial"/>
          <w:sz w:val="17"/>
          <w:szCs w:val="17"/>
          <w:color w:val="auto"/>
        </w:rPr>
        <w:t xml:space="preserve">No Defaulting Lender shall be entitled to receive any fee pursuant to </w:t>
      </w:r>
      <w:r>
        <w:rPr>
          <w:rFonts w:ascii="Arial" w:cs="Arial" w:eastAsia="Arial" w:hAnsi="Arial"/>
          <w:sz w:val="17"/>
          <w:szCs w:val="17"/>
          <w:u w:val="single" w:color="auto"/>
          <w:color w:val="auto"/>
        </w:rPr>
        <w:t>Sections 2.11(a)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for any period during which that Lender is a Defaulting Lender (and Borrower shall not be required to pay any such fee that otherwise would have been required to have been paid to that Defaulting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Defaulting Lender shall be entitled to receive fees pursuant to </w:t>
      </w:r>
      <w:r>
        <w:rPr>
          <w:rFonts w:ascii="Arial" w:cs="Arial" w:eastAsia="Arial" w:hAnsi="Arial"/>
          <w:sz w:val="17"/>
          <w:szCs w:val="17"/>
          <w:u w:val="single" w:color="auto"/>
          <w:color w:val="auto"/>
        </w:rPr>
        <w:t>Section 2.11(b)</w:t>
      </w:r>
      <w:r>
        <w:rPr>
          <w:rFonts w:ascii="Arial" w:cs="Arial" w:eastAsia="Arial" w:hAnsi="Arial"/>
          <w:sz w:val="17"/>
          <w:szCs w:val="17"/>
          <w:color w:val="auto"/>
        </w:rPr>
        <w:t xml:space="preserve"> for any period during which that Lender is a Defaulting Lender only to extent allocable to its Applicable Percentage of the stated amount of Letters of Credit for which it has provided Cash Collateral pursuant to </w:t>
      </w:r>
      <w:r>
        <w:rPr>
          <w:rFonts w:ascii="Arial" w:cs="Arial" w:eastAsia="Arial" w:hAnsi="Arial"/>
          <w:sz w:val="17"/>
          <w:szCs w:val="17"/>
          <w:u w:val="single" w:color="auto"/>
          <w:color w:val="auto"/>
        </w:rPr>
        <w:t>Section 2.19(d)</w:t>
      </w:r>
      <w:r>
        <w:rPr>
          <w:rFonts w:ascii="Arial" w:cs="Arial" w:eastAsia="Arial" w:hAnsi="Arial"/>
          <w:sz w:val="17"/>
          <w:szCs w:val="17"/>
          <w:color w:val="auto"/>
        </w:rPr>
        <w:t>.</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ind w:right="437"/>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783"/>
          </w:cols>
          <w:pgMar w:left="777" w:top="274" w:right="339" w:bottom="1440" w:gutter="0" w:footer="0" w:header="0"/>
        </w:sectPr>
      </w:pPr>
    </w:p>
    <w:bookmarkStart w:id="77" w:name="page78"/>
    <w:bookmarkEnd w:id="77"/>
    <w:p>
      <w:pPr>
        <w:ind w:left="440" w:right="80" w:firstLine="420"/>
        <w:spacing w:after="0" w:line="296" w:lineRule="auto"/>
        <w:tabs>
          <w:tab w:leader="none" w:pos="1138" w:val="left"/>
        </w:tabs>
        <w:numPr>
          <w:ilvl w:val="1"/>
          <w:numId w:val="8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With respect to any </w:t>
      </w:r>
      <w:r>
        <w:rPr>
          <w:rFonts w:ascii="Arial" w:cs="Arial" w:eastAsia="Arial" w:hAnsi="Arial"/>
          <w:sz w:val="16"/>
          <w:szCs w:val="16"/>
          <w:u w:val="single" w:color="auto"/>
          <w:color w:val="auto"/>
        </w:rPr>
        <w:t>Section 2.11(b)</w:t>
      </w:r>
      <w:r>
        <w:rPr>
          <w:rFonts w:ascii="Arial" w:cs="Arial" w:eastAsia="Arial" w:hAnsi="Arial"/>
          <w:sz w:val="16"/>
          <w:szCs w:val="16"/>
          <w:color w:val="auto"/>
        </w:rPr>
        <w:t xml:space="preserve"> fees not required to be paid to any Defaulting Lender pursuant to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Borrower shall (x) pay to each Non-Defaulting Lender that portion of any such fee otherwise payable to such Defaulting Lender with respect to such Defaulting Lender’s participation in Letters of Credit or Swingline Loans that has been reallocated to such Non-Defaulting Lender pursuant to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below, (y) pay to Issuing Bank the amount of any such fee otherwise payable to such Defaulting Lender to the extent allocable to Issuing Bank’s Fronting Exposure to such Defaulting Lender, and (z) not be required to pay the remaining amount of any such fee.</w:t>
      </w:r>
    </w:p>
    <w:p>
      <w:pPr>
        <w:spacing w:after="0" w:line="53" w:lineRule="exact"/>
        <w:rPr>
          <w:rFonts w:ascii="Arial" w:cs="Arial" w:eastAsia="Arial" w:hAnsi="Arial"/>
          <w:sz w:val="16"/>
          <w:szCs w:val="16"/>
          <w:color w:val="auto"/>
        </w:rPr>
      </w:pPr>
    </w:p>
    <w:p>
      <w:pPr>
        <w:ind w:right="40" w:firstLine="428"/>
        <w:spacing w:after="0" w:line="288" w:lineRule="auto"/>
        <w:tabs>
          <w:tab w:leader="none" w:pos="746"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Reallocation of Participations to Reduce Fronting Exposure</w:t>
      </w:r>
      <w:r>
        <w:rPr>
          <w:rFonts w:ascii="Arial" w:cs="Arial" w:eastAsia="Arial" w:hAnsi="Arial"/>
          <w:sz w:val="16"/>
          <w:szCs w:val="16"/>
          <w:color w:val="auto"/>
        </w:rPr>
        <w:t xml:space="preserve">. All or any part of such Defaulting Lender’s participation in Letters of Credit and Swingline Loans shall be reallocated (effective no later than one (1) Business Day after the Administrative Agent has actual knowledge that such Lender has become a Defaulting Lender) among the Non-Defaulting Lenders in accordance with their respective Applicable Dollar Percentages and Applicable Multicurrency Percentages, as the case may be (in each case, calculated without regard to such Defaulting Lender’s Commitment) but only to the extent that (x)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are satisfied at the time of such reallocation (and, unless Borrower shall have otherwise notified Administrative Agent at such time, Borrower shall be deemed to have represented and warranted that such conditions are satisfied at such time), and (y) such reallocation does not cause the aggregate Revolving Credit Exposure of any Non-Defaulting Lender to exceed such Non-Defaulting Lender’s Commitment.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60" w:lineRule="exact"/>
        <w:rPr>
          <w:rFonts w:ascii="Arial" w:cs="Arial" w:eastAsia="Arial" w:hAnsi="Arial"/>
          <w:sz w:val="16"/>
          <w:szCs w:val="16"/>
          <w:color w:val="auto"/>
        </w:rPr>
      </w:pPr>
    </w:p>
    <w:p>
      <w:pPr>
        <w:ind w:firstLine="428"/>
        <w:spacing w:after="0" w:line="253" w:lineRule="auto"/>
        <w:tabs>
          <w:tab w:leader="none" w:pos="736"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Cash Collateral; Repayment of Swingline Loans</w:t>
      </w:r>
      <w:r>
        <w:rPr>
          <w:rFonts w:ascii="Arial" w:cs="Arial" w:eastAsia="Arial" w:hAnsi="Arial"/>
          <w:sz w:val="18"/>
          <w:szCs w:val="18"/>
          <w:color w:val="auto"/>
        </w:rPr>
        <w:t xml:space="preserve">. If the reallocation described in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above cannot, or can only partially, be effected, the Borrower shall not later than two (2) Business Days after demand by the Administrative Agent (at the direction of the Issuing Bank and/or the Swingline Lender), without prejudice to any right or remedy available to it hereunder or under law, (x) first, prepay Swingline Loans in an amount equal to the Swingline Lender’s Swingline Exposure (which exposure shall be deemed equal to the applicable Defaulting Lender’s Applicable Percentage of the total outstanding Swingline Exposure (other than Swingline Exposure as to which such Defaulting Lender’s participation obligation has been reallocated to other Lenders or Cash Collateralized in accordance with the terms hereof)) and (y) second, Cash Collateralize the Issuing Bank’s Fronting Exposure in accordance with the procedures set forth in </w:t>
      </w:r>
      <w:r>
        <w:rPr>
          <w:rFonts w:ascii="Arial" w:cs="Arial" w:eastAsia="Arial" w:hAnsi="Arial"/>
          <w:sz w:val="18"/>
          <w:szCs w:val="18"/>
          <w:u w:val="single" w:color="auto"/>
          <w:color w:val="auto"/>
        </w:rPr>
        <w:t>Section 2.19(d)</w:t>
      </w:r>
      <w:r>
        <w:rPr>
          <w:rFonts w:ascii="Arial" w:cs="Arial" w:eastAsia="Arial" w:hAnsi="Arial"/>
          <w:sz w:val="18"/>
          <w:szCs w:val="18"/>
          <w:color w:val="auto"/>
        </w:rPr>
        <w:t xml:space="preserve"> or (z) make other arrangements reasonably satisfactory to the Administrative Agent, the Issuing Bank and the Swingline Lender in their sole discretion to protect them against the risk of non-payment by such Defaulting Lender.</w:t>
      </w:r>
    </w:p>
    <w:p>
      <w:pPr>
        <w:spacing w:after="0" w:line="12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780"/>
          </w:cols>
          <w:pgMar w:left="780" w:top="274" w:right="339" w:bottom="1440" w:gutter="0" w:footer="0" w:header="0"/>
        </w:sectPr>
      </w:pPr>
    </w:p>
    <w:bookmarkStart w:id="78" w:name="page79"/>
    <w:bookmarkEnd w:id="78"/>
    <w:p>
      <w:pPr>
        <w:ind w:right="40" w:firstLine="906"/>
        <w:spacing w:after="0" w:line="269" w:lineRule="auto"/>
        <w:tabs>
          <w:tab w:leader="none" w:pos="1153" w:val="left"/>
        </w:tabs>
        <w:numPr>
          <w:ilvl w:val="1"/>
          <w:numId w:val="88"/>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Defaulting Lender Cure</w:t>
      </w:r>
      <w:r>
        <w:rPr>
          <w:rFonts w:ascii="Arial" w:cs="Arial" w:eastAsia="Arial" w:hAnsi="Arial"/>
          <w:sz w:val="17"/>
          <w:szCs w:val="17"/>
          <w:color w:val="auto"/>
        </w:rPr>
        <w:t xml:space="preserve">. If the Borrower, the Administrative Agent, the Swingline Lender and the Issuing Bank agree in writing that a Lender is no longer a Defaulting Lender, Administrative Agent will so notify the parties hereto, whereupon as of the effective date specified in such notice and subject to any conditions set forth therein (which may include arrangements with respect to any Cash Collateral), that such former Defaulting Lender will, to the extent applicable, purchase at par that portion of outstanding Loans of the other Lenders or take such other actions as Administrative Agent may determine to be necessary to cause the Loans and funded and unfunded participations in Letters of Credit and Swingline Loans to be held pro rata by the Lenders in accordance with the applicable Commitments (without giving effect to </w:t>
      </w:r>
      <w:r>
        <w:rPr>
          <w:rFonts w:ascii="Arial" w:cs="Arial" w:eastAsia="Arial" w:hAnsi="Arial"/>
          <w:sz w:val="17"/>
          <w:szCs w:val="17"/>
          <w:u w:val="single" w:color="auto"/>
          <w:color w:val="auto"/>
        </w:rPr>
        <w:t>Section 2.19(a)(iii)</w:t>
      </w:r>
      <w:r>
        <w:rPr>
          <w:rFonts w:ascii="Arial" w:cs="Arial" w:eastAsia="Arial" w:hAnsi="Arial"/>
          <w:sz w:val="17"/>
          <w:szCs w:val="17"/>
          <w:color w:val="auto"/>
        </w:rPr>
        <w:t xml:space="preserve">), and if Cash Collateral has been posted with respect to such Defaulting Lender, the Administrative Agent will promptly return or release such Cash Collateral to the Borrower, whereupon such Lender will cease to be a Defaulting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adjustments will be made retroactively with respect to fees accrued or payments made by or on behalf of Borrower while that Lender was a Defaulting Lender;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except to the extent otherwise expressly agreed by the affected parties, no change hereunder from Defaulting Lender to Lender will constitute a waiver or release of any claim of any party hereunder arising from that Lender having been a Defaulting Lender.</w:t>
      </w:r>
    </w:p>
    <w:p>
      <w:pPr>
        <w:spacing w:after="0" w:line="181" w:lineRule="exact"/>
        <w:rPr>
          <w:rFonts w:ascii="Arial" w:cs="Arial" w:eastAsia="Arial" w:hAnsi="Arial"/>
          <w:sz w:val="17"/>
          <w:szCs w:val="17"/>
          <w:color w:val="auto"/>
        </w:rPr>
      </w:pPr>
    </w:p>
    <w:p>
      <w:pPr>
        <w:ind w:right="20" w:firstLine="906"/>
        <w:spacing w:after="0" w:line="254" w:lineRule="auto"/>
        <w:tabs>
          <w:tab w:leader="none" w:pos="1143" w:val="left"/>
        </w:tabs>
        <w:numPr>
          <w:ilvl w:val="1"/>
          <w:numId w:val="88"/>
        </w:numPr>
        <w:rPr>
          <w:rFonts w:ascii="Arial" w:cs="Arial" w:eastAsia="Arial" w:hAnsi="Arial"/>
          <w:sz w:val="18"/>
          <w:szCs w:val="18"/>
          <w:color w:val="auto"/>
        </w:rPr>
      </w:pPr>
      <w:r>
        <w:rPr>
          <w:rFonts w:ascii="Arial" w:cs="Arial" w:eastAsia="Arial" w:hAnsi="Arial"/>
          <w:sz w:val="18"/>
          <w:szCs w:val="18"/>
          <w:u w:val="single" w:color="auto"/>
          <w:color w:val="auto"/>
        </w:rPr>
        <w:t>New Swingline Loans/Letters of Credit</w:t>
      </w:r>
      <w:r>
        <w:rPr>
          <w:rFonts w:ascii="Arial" w:cs="Arial" w:eastAsia="Arial" w:hAnsi="Arial"/>
          <w:sz w:val="18"/>
          <w:szCs w:val="18"/>
          <w:color w:val="auto"/>
        </w:rPr>
        <w:t xml:space="preserve">. So long as any Lender is a Defaulting Lender, (i) the Swingline Lender shall not be required to fund any Swingline Loans unless it is satisfied that the participations therein will be fully allocated among Non-Defaulting Lenders in a manner consistent with </w:t>
      </w:r>
      <w:r>
        <w:rPr>
          <w:rFonts w:ascii="Arial" w:cs="Arial" w:eastAsia="Arial" w:hAnsi="Arial"/>
          <w:sz w:val="18"/>
          <w:szCs w:val="18"/>
          <w:u w:val="single" w:color="auto"/>
          <w:color w:val="auto"/>
        </w:rPr>
        <w:t>clause (a)(iii)</w:t>
      </w:r>
      <w:r>
        <w:rPr>
          <w:rFonts w:ascii="Arial" w:cs="Arial" w:eastAsia="Arial" w:hAnsi="Arial"/>
          <w:sz w:val="18"/>
          <w:szCs w:val="18"/>
          <w:color w:val="auto"/>
        </w:rPr>
        <w:t xml:space="preserve"> above and the Defaulting Lender shall not participate therein and (ii) the Issuing Bank shall not be required to issue, extend, renew or increase any Letter of Credit unless it is satisfied that the participations in any existing Letters of Credit as well as the new, extended, renewed or increased Letter of Credit has been or will be fully allocated among the Non-Defaulting Lenders in a manner consistent with </w:t>
      </w:r>
      <w:r>
        <w:rPr>
          <w:rFonts w:ascii="Arial" w:cs="Arial" w:eastAsia="Arial" w:hAnsi="Arial"/>
          <w:sz w:val="18"/>
          <w:szCs w:val="18"/>
          <w:u w:val="single" w:color="auto"/>
          <w:color w:val="auto"/>
        </w:rPr>
        <w:t>clause (a)(iii)</w:t>
      </w:r>
      <w:r>
        <w:rPr>
          <w:rFonts w:ascii="Arial" w:cs="Arial" w:eastAsia="Arial" w:hAnsi="Arial"/>
          <w:sz w:val="18"/>
          <w:szCs w:val="18"/>
          <w:color w:val="auto"/>
        </w:rPr>
        <w:t xml:space="preserve"> above and such Defaulting Lender shall not participate therein except to the extent such Defaulting Lender’s participation has been or will be fully Cash Collateralized in accordance with </w:t>
      </w:r>
      <w:r>
        <w:rPr>
          <w:rFonts w:ascii="Arial" w:cs="Arial" w:eastAsia="Arial" w:hAnsi="Arial"/>
          <w:sz w:val="18"/>
          <w:szCs w:val="18"/>
          <w:u w:val="single" w:color="auto"/>
          <w:color w:val="auto"/>
        </w:rPr>
        <w:t>Section 2.19(d)</w:t>
      </w:r>
      <w:r>
        <w:rPr>
          <w:rFonts w:ascii="Arial" w:cs="Arial" w:eastAsia="Arial" w:hAnsi="Arial"/>
          <w:sz w:val="18"/>
          <w:szCs w:val="18"/>
          <w:color w:val="auto"/>
        </w:rPr>
        <w:t>.</w:t>
      </w:r>
    </w:p>
    <w:p>
      <w:pPr>
        <w:spacing w:after="0" w:line="194" w:lineRule="exact"/>
        <w:rPr>
          <w:rFonts w:ascii="Arial" w:cs="Arial" w:eastAsia="Arial" w:hAnsi="Arial"/>
          <w:sz w:val="18"/>
          <w:szCs w:val="18"/>
          <w:color w:val="auto"/>
        </w:rPr>
      </w:pPr>
    </w:p>
    <w:p>
      <w:pPr>
        <w:jc w:val="both"/>
        <w:ind w:right="180" w:firstLine="906"/>
        <w:spacing w:after="0" w:line="259" w:lineRule="auto"/>
        <w:tabs>
          <w:tab w:leader="none" w:pos="1153" w:val="left"/>
        </w:tabs>
        <w:numPr>
          <w:ilvl w:val="1"/>
          <w:numId w:val="88"/>
        </w:numPr>
        <w:rPr>
          <w:rFonts w:ascii="Arial" w:cs="Arial" w:eastAsia="Arial" w:hAnsi="Arial"/>
          <w:sz w:val="18"/>
          <w:szCs w:val="18"/>
          <w:color w:val="auto"/>
        </w:rPr>
      </w:pPr>
      <w:r>
        <w:rPr>
          <w:rFonts w:ascii="Arial" w:cs="Arial" w:eastAsia="Arial" w:hAnsi="Arial"/>
          <w:sz w:val="18"/>
          <w:szCs w:val="18"/>
          <w:u w:val="single" w:color="auto"/>
          <w:color w:val="auto"/>
        </w:rPr>
        <w:t>Cash Collateral</w:t>
      </w:r>
      <w:r>
        <w:rPr>
          <w:rFonts w:ascii="Arial" w:cs="Arial" w:eastAsia="Arial" w:hAnsi="Arial"/>
          <w:sz w:val="18"/>
          <w:szCs w:val="18"/>
          <w:color w:val="auto"/>
        </w:rPr>
        <w:t xml:space="preserve">. At any time that there shall exist a Defaulting Lender, promptly following the written request of Administrative Agent or Issuing Bank (with a copy to Administrative Agent) Borrower shall Cash Collateralize Issuing Bank’s Fronting Exposure with respect to such Defaulting Lender (determined after giving effect to </w:t>
      </w:r>
      <w:r>
        <w:rPr>
          <w:rFonts w:ascii="Arial" w:cs="Arial" w:eastAsia="Arial" w:hAnsi="Arial"/>
          <w:sz w:val="18"/>
          <w:szCs w:val="18"/>
          <w:u w:val="single" w:color="auto"/>
          <w:color w:val="auto"/>
        </w:rPr>
        <w:t>Section 2.19(a)(iii)</w:t>
      </w:r>
      <w:r>
        <w:rPr>
          <w:rFonts w:ascii="Arial" w:cs="Arial" w:eastAsia="Arial" w:hAnsi="Arial"/>
          <w:sz w:val="18"/>
          <w:szCs w:val="18"/>
          <w:color w:val="auto"/>
        </w:rPr>
        <w:t xml:space="preserve"> and any Cash Collateral provided by such Defaulting Lender) in an amount not less than the Minimum Collateral Amount.</w:t>
      </w:r>
    </w:p>
    <w:p>
      <w:pPr>
        <w:spacing w:after="0" w:line="78" w:lineRule="exact"/>
        <w:rPr>
          <w:rFonts w:ascii="Arial" w:cs="Arial" w:eastAsia="Arial" w:hAnsi="Arial"/>
          <w:sz w:val="18"/>
          <w:szCs w:val="18"/>
          <w:color w:val="auto"/>
        </w:rPr>
      </w:pPr>
    </w:p>
    <w:p>
      <w:pPr>
        <w:ind w:left="460" w:right="220" w:firstLine="428"/>
        <w:spacing w:after="0" w:line="254" w:lineRule="auto"/>
        <w:tabs>
          <w:tab w:leader="none" w:pos="1106"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Grant of Security Interest</w:t>
      </w:r>
      <w:r>
        <w:rPr>
          <w:rFonts w:ascii="Arial" w:cs="Arial" w:eastAsia="Arial" w:hAnsi="Arial"/>
          <w:sz w:val="18"/>
          <w:szCs w:val="18"/>
          <w:color w:val="auto"/>
        </w:rPr>
        <w:t xml:space="preserve">. Borrower, and to the extent provided by any Defaulting Lender, such Defaulting Lender, hereby grants to (and subjects to the control of) Administrative Agent, for the benefit of Issuing Bank, and agrees to maintain, a first priority security interest in all such Cash Collateral as security for the Defaulting Lenders’ obligation to fund participations in respect of Letters of Credit, to be applied pursuant to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below. If at any time Administrative Agent determines that Cash Collateral is subject to any right or claim of any Person other than Administrative Agent and Issuing Bank as herein provided, or that the total amount of such Cash Collateral is less than the Minimum Collateral Amount, Borrower will, promptly upon demand by Administrative Agent, pay or provide to Administrative Agent additional Cash Collateral in an amount</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274" w:right="339" w:bottom="1440" w:gutter="0" w:footer="0" w:header="0"/>
        </w:sectPr>
      </w:pPr>
    </w:p>
    <w:bookmarkStart w:id="79" w:name="page80"/>
    <w:bookmarkEnd w:id="79"/>
    <w:p>
      <w:pPr>
        <w:jc w:val="both"/>
        <w:ind w:left="460"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sufficient to eliminate such deficiency (after giving effect to any Cash Collateral provided by the Defaulting Lender). All Cash Collateral (other than credit support not constituting funds subject to deposit) shall be maintained in blocked, non-interest bearing deposit accounts at SunTrust. Borrower shall pay on demand therefor from time to time all reasonable and customary account opening, activity and other administrative fees and charges in connection with the maintenance and disbursement of Cash Collateral.</w:t>
      </w:r>
    </w:p>
    <w:p>
      <w:pPr>
        <w:spacing w:after="0" w:line="79" w:lineRule="exact"/>
        <w:rPr>
          <w:sz w:val="20"/>
          <w:szCs w:val="20"/>
          <w:color w:val="auto"/>
        </w:rPr>
      </w:pPr>
    </w:p>
    <w:p>
      <w:pPr>
        <w:jc w:val="both"/>
        <w:ind w:left="460" w:right="120" w:firstLine="428"/>
        <w:spacing w:after="0" w:line="279" w:lineRule="auto"/>
        <w:tabs>
          <w:tab w:leader="none" w:pos="1156" w:val="left"/>
        </w:tabs>
        <w:numPr>
          <w:ilvl w:val="0"/>
          <w:numId w:val="90"/>
        </w:numPr>
        <w:rPr>
          <w:rFonts w:ascii="Arial" w:cs="Arial" w:eastAsia="Arial" w:hAnsi="Arial"/>
          <w:sz w:val="17"/>
          <w:szCs w:val="17"/>
          <w:color w:val="auto"/>
        </w:rPr>
      </w:pPr>
      <w:r>
        <w:rPr>
          <w:rFonts w:ascii="Arial" w:cs="Arial" w:eastAsia="Arial" w:hAnsi="Arial"/>
          <w:sz w:val="17"/>
          <w:szCs w:val="17"/>
          <w:color w:val="auto"/>
        </w:rPr>
        <w:t>A</w:t>
      </w:r>
      <w:r>
        <w:rPr>
          <w:rFonts w:ascii="Arial" w:cs="Arial" w:eastAsia="Arial" w:hAnsi="Arial"/>
          <w:sz w:val="17"/>
          <w:szCs w:val="17"/>
          <w:u w:val="single" w:color="auto"/>
          <w:color w:val="auto"/>
        </w:rPr>
        <w:t>pplication</w:t>
      </w:r>
      <w:r>
        <w:rPr>
          <w:rFonts w:ascii="Arial" w:cs="Arial" w:eastAsia="Arial" w:hAnsi="Arial"/>
          <w:sz w:val="17"/>
          <w:szCs w:val="17"/>
          <w:color w:val="auto"/>
        </w:rPr>
        <w:t xml:space="preserve">. Notwithstanding anything to the contrary contained in this Agreement, Cash Collateral provided under this </w:t>
      </w:r>
      <w:r>
        <w:rPr>
          <w:rFonts w:ascii="Arial" w:cs="Arial" w:eastAsia="Arial" w:hAnsi="Arial"/>
          <w:sz w:val="17"/>
          <w:szCs w:val="17"/>
          <w:u w:val="single" w:color="auto"/>
          <w:color w:val="auto"/>
        </w:rPr>
        <w:t>Section 2.19</w:t>
      </w:r>
      <w:r>
        <w:rPr>
          <w:rFonts w:ascii="Arial" w:cs="Arial" w:eastAsia="Arial" w:hAnsi="Arial"/>
          <w:sz w:val="17"/>
          <w:szCs w:val="17"/>
          <w:color w:val="auto"/>
        </w:rPr>
        <w:t xml:space="preserve"> in respect of Letters of Credit shall be applied to the satisfaction of the Defaulting Lender’s obligation to fund participations in respect of Letters of Credit (including, as to Cash Collateral provided by a Defaulting Lender, any interest accrued on such obligation) for which the Cash Collateral was so provided, prior to any other application of such property as may otherwise be provided for herein.</w:t>
      </w:r>
    </w:p>
    <w:p>
      <w:pPr>
        <w:spacing w:after="0" w:line="63" w:lineRule="exact"/>
        <w:rPr>
          <w:rFonts w:ascii="Arial" w:cs="Arial" w:eastAsia="Arial" w:hAnsi="Arial"/>
          <w:sz w:val="17"/>
          <w:szCs w:val="17"/>
          <w:color w:val="auto"/>
        </w:rPr>
      </w:pPr>
    </w:p>
    <w:p>
      <w:pPr>
        <w:ind w:left="460" w:right="240" w:firstLine="428"/>
        <w:spacing w:after="0" w:line="272" w:lineRule="auto"/>
        <w:tabs>
          <w:tab w:leader="none" w:pos="1206" w:val="left"/>
        </w:tabs>
        <w:numPr>
          <w:ilvl w:val="0"/>
          <w:numId w:val="90"/>
        </w:numPr>
        <w:rPr>
          <w:rFonts w:ascii="Arial" w:cs="Arial" w:eastAsia="Arial" w:hAnsi="Arial"/>
          <w:sz w:val="17"/>
          <w:szCs w:val="17"/>
          <w:color w:val="auto"/>
        </w:rPr>
      </w:pPr>
      <w:r>
        <w:rPr>
          <w:rFonts w:ascii="Arial" w:cs="Arial" w:eastAsia="Arial" w:hAnsi="Arial"/>
          <w:sz w:val="17"/>
          <w:szCs w:val="17"/>
          <w:u w:val="single" w:color="auto"/>
          <w:color w:val="auto"/>
        </w:rPr>
        <w:t>Termination of Requirement</w:t>
      </w:r>
      <w:r>
        <w:rPr>
          <w:rFonts w:ascii="Arial" w:cs="Arial" w:eastAsia="Arial" w:hAnsi="Arial"/>
          <w:sz w:val="17"/>
          <w:szCs w:val="17"/>
          <w:color w:val="auto"/>
        </w:rPr>
        <w:t xml:space="preserve">. Cash Collateral (or the appropriate portion thereof) provided to reduce Issuing Bank’s Fronting Exposure shall no longer be required to be held as Cash Collateral pursuant to this </w:t>
      </w:r>
      <w:r>
        <w:rPr>
          <w:rFonts w:ascii="Arial" w:cs="Arial" w:eastAsia="Arial" w:hAnsi="Arial"/>
          <w:sz w:val="17"/>
          <w:szCs w:val="17"/>
          <w:u w:val="single" w:color="auto"/>
          <w:color w:val="auto"/>
        </w:rPr>
        <w:t>Section 2.19</w:t>
      </w:r>
      <w:r>
        <w:rPr>
          <w:rFonts w:ascii="Arial" w:cs="Arial" w:eastAsia="Arial" w:hAnsi="Arial"/>
          <w:sz w:val="17"/>
          <w:szCs w:val="17"/>
          <w:color w:val="auto"/>
        </w:rPr>
        <w:t xml:space="preserve"> following (i) the elimination of the applicable Fronting Exposure (including by the termination of Defaulting Lender status of the applicable Lender or giving effect to Section 2.19(a)(iii)) or (ii) the determination by Administrative Agent and Issuing Bank that there exists excess Cash Collateral;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subject to the other provisions of this </w:t>
      </w:r>
      <w:r>
        <w:rPr>
          <w:rFonts w:ascii="Arial" w:cs="Arial" w:eastAsia="Arial" w:hAnsi="Arial"/>
          <w:sz w:val="17"/>
          <w:szCs w:val="17"/>
          <w:u w:val="single" w:color="auto"/>
          <w:color w:val="auto"/>
        </w:rPr>
        <w:t>Section 2.19</w:t>
      </w:r>
      <w:r>
        <w:rPr>
          <w:rFonts w:ascii="Arial" w:cs="Arial" w:eastAsia="Arial" w:hAnsi="Arial"/>
          <w:sz w:val="17"/>
          <w:szCs w:val="17"/>
          <w:color w:val="auto"/>
        </w:rPr>
        <w:t xml:space="preserve">, the Person providing Cash Collateral and Issuing Bank may agree that Cash Collateral shall be held to support future anticipated Fronting Exposure;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to the extent that such Cash Collateral was provided by Borrower, such Cash Collateral shall remain subject to the security interest granted pursuant to the Loan Documents.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REPRESENTATIONS AND WARRANTIES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Borrower represents and warrants to the Lenders that:</w:t>
      </w:r>
    </w:p>
    <w:p>
      <w:pPr>
        <w:spacing w:after="0" w:line="225" w:lineRule="exact"/>
        <w:rPr>
          <w:sz w:val="20"/>
          <w:szCs w:val="20"/>
          <w:color w:val="auto"/>
        </w:rPr>
      </w:pPr>
    </w:p>
    <w:p>
      <w:pPr>
        <w:ind w:right="100" w:firstLine="898"/>
        <w:spacing w:after="0" w:line="279" w:lineRule="auto"/>
        <w:rPr>
          <w:sz w:val="20"/>
          <w:szCs w:val="20"/>
          <w:color w:val="auto"/>
        </w:rPr>
      </w:pPr>
      <w:r>
        <w:rPr>
          <w:rFonts w:ascii="Arial" w:cs="Arial" w:eastAsia="Arial" w:hAnsi="Arial"/>
          <w:sz w:val="17"/>
          <w:szCs w:val="17"/>
          <w:color w:val="auto"/>
        </w:rPr>
        <w:t xml:space="preserve">SECTION 3.01. </w:t>
      </w:r>
      <w:r>
        <w:rPr>
          <w:rFonts w:ascii="Arial" w:cs="Arial" w:eastAsia="Arial" w:hAnsi="Arial"/>
          <w:sz w:val="17"/>
          <w:szCs w:val="17"/>
          <w:u w:val="single" w:color="auto"/>
          <w:color w:val="auto"/>
        </w:rPr>
        <w:t>Organization; Powers</w:t>
      </w:r>
      <w:r>
        <w:rPr>
          <w:rFonts w:ascii="Arial" w:cs="Arial" w:eastAsia="Arial" w:hAnsi="Arial"/>
          <w:sz w:val="17"/>
          <w:szCs w:val="17"/>
          <w:color w:val="auto"/>
        </w:rPr>
        <w:t>. Each of the Borrower and its Subsidiaries is duly organized, validly existing and in good standing under the 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in, and is in good standing in, every jurisdiction where such qualification is required of the Borrower or such Subsidiary, as applicable.</w:t>
      </w:r>
    </w:p>
    <w:p>
      <w:pPr>
        <w:spacing w:after="0" w:line="171" w:lineRule="exact"/>
        <w:rPr>
          <w:sz w:val="20"/>
          <w:szCs w:val="20"/>
          <w:color w:val="auto"/>
        </w:rPr>
      </w:pPr>
    </w:p>
    <w:p>
      <w:pPr>
        <w:ind w:right="20" w:firstLine="898"/>
        <w:spacing w:after="0" w:line="259"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Authorization; Enforceability</w:t>
      </w:r>
      <w:r>
        <w:rPr>
          <w:rFonts w:ascii="Arial" w:cs="Arial" w:eastAsia="Arial" w:hAnsi="Arial"/>
          <w:sz w:val="18"/>
          <w:szCs w:val="18"/>
          <w:color w:val="auto"/>
        </w:rPr>
        <w:t>. The Transactions are within the Borrower’s corporate powers and have been duly authorized by all necessary corporate and, if required, by all necessary shareholder action. This Agreement has been duly executed and delivered by the Borrower and constitutes, and each of the other Loan Documents when executed and delivered will constitute, a legal, valid and binding obligation of the Borrower, enforceable in accordance with its terms, except as such</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274" w:right="339" w:bottom="1440" w:gutter="0" w:footer="0" w:header="0"/>
        </w:sectPr>
      </w:pPr>
    </w:p>
    <w:bookmarkStart w:id="80" w:name="page81"/>
    <w:bookmarkEnd w:id="80"/>
    <w:p>
      <w:pPr>
        <w:jc w:val="both"/>
        <w:ind w:right="1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enforceability may be limited by (a) bankruptcy, insolvency, reorganization, moratorium or similar laws of general applicability affecting the enforcement of creditors’ rights and (b) the application of general principles of equity (regardless of whether such enforceability is considered in a proceeding in equity or at law).</w:t>
      </w:r>
    </w:p>
    <w:p>
      <w:pPr>
        <w:spacing w:after="0" w:line="184" w:lineRule="exact"/>
        <w:rPr>
          <w:sz w:val="20"/>
          <w:szCs w:val="20"/>
          <w:color w:val="auto"/>
        </w:rPr>
      </w:pPr>
    </w:p>
    <w:p>
      <w:pPr>
        <w:ind w:right="160" w:firstLine="898"/>
        <w:spacing w:after="0" w:line="291"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Governmental Approvals; No Conflicts</w:t>
      </w:r>
      <w:r>
        <w:rPr>
          <w:rFonts w:ascii="Arial" w:cs="Arial" w:eastAsia="Arial" w:hAnsi="Arial"/>
          <w:sz w:val="16"/>
          <w:szCs w:val="16"/>
          <w:color w:val="auto"/>
        </w:rPr>
        <w:t>. The Transactions (a) do not require any consent or approval of, registration or filing with, or any other action by, any Governmental Authority, except for (i) such as have been or will be obtained or made and are in full force and effect and</w:t>
      </w:r>
    </w:p>
    <w:p>
      <w:pPr>
        <w:ind w:right="40" w:firstLine="8"/>
        <w:spacing w:after="0" w:line="281" w:lineRule="auto"/>
        <w:tabs>
          <w:tab w:leader="none" w:pos="265" w:val="left"/>
        </w:tabs>
        <w:numPr>
          <w:ilvl w:val="0"/>
          <w:numId w:val="91"/>
        </w:numPr>
        <w:rPr>
          <w:rFonts w:ascii="Arial" w:cs="Arial" w:eastAsia="Arial" w:hAnsi="Arial"/>
          <w:sz w:val="16"/>
          <w:szCs w:val="16"/>
          <w:color w:val="auto"/>
        </w:rPr>
      </w:pPr>
      <w:r>
        <w:rPr>
          <w:rFonts w:ascii="Arial" w:cs="Arial" w:eastAsia="Arial" w:hAnsi="Arial"/>
          <w:sz w:val="16"/>
          <w:szCs w:val="16"/>
          <w:color w:val="auto"/>
        </w:rPr>
        <w:t>filings and recordings in respect of the Liens created pursuant to this Agreement or the Security Documents, (b) will not violate any applicable law or regulation or the charter, by-laws or other organizational documents of the Borrower or any of its Subsidiaries or any order of any Governmental Authority,</w:t>
      </w:r>
    </w:p>
    <w:p>
      <w:pPr>
        <w:spacing w:after="0" w:line="1" w:lineRule="exact"/>
        <w:rPr>
          <w:rFonts w:ascii="Arial" w:cs="Arial" w:eastAsia="Arial" w:hAnsi="Arial"/>
          <w:sz w:val="16"/>
          <w:szCs w:val="16"/>
          <w:color w:val="auto"/>
        </w:rPr>
      </w:pPr>
    </w:p>
    <w:p>
      <w:pPr>
        <w:ind w:right="60" w:firstLine="8"/>
        <w:spacing w:after="0" w:line="253" w:lineRule="auto"/>
        <w:tabs>
          <w:tab w:leader="none" w:pos="245" w:val="left"/>
        </w:tabs>
        <w:numPr>
          <w:ilvl w:val="0"/>
          <w:numId w:val="92"/>
        </w:numPr>
        <w:rPr>
          <w:rFonts w:ascii="Arial" w:cs="Arial" w:eastAsia="Arial" w:hAnsi="Arial"/>
          <w:sz w:val="18"/>
          <w:szCs w:val="18"/>
          <w:color w:val="auto"/>
        </w:rPr>
      </w:pPr>
      <w:r>
        <w:rPr>
          <w:rFonts w:ascii="Arial" w:cs="Arial" w:eastAsia="Arial" w:hAnsi="Arial"/>
          <w:sz w:val="18"/>
          <w:szCs w:val="18"/>
          <w:color w:val="auto"/>
        </w:rPr>
        <w:t>will not violate or result in a default in any material respect under any indenture, agreement or other instrument binding upon the Borrower or any of its Subsidiaries or assets, or give rise to a right thereunder to require any payment to be made by any such Person, and (d) except for the Liens created pursuant to this Agreement or the Security Documents, will not result in the creation or imposition of any Lien on any asset of the Borrower or any of its Subsidiaries.</w:t>
      </w:r>
    </w:p>
    <w:p>
      <w:pPr>
        <w:spacing w:after="0" w:line="19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Financial Condition; No Material Adverse Change</w:t>
      </w:r>
      <w:r>
        <w:rPr>
          <w:rFonts w:ascii="Arial" w:cs="Arial" w:eastAsia="Arial" w:hAnsi="Arial"/>
          <w:sz w:val="18"/>
          <w:szCs w:val="18"/>
          <w:color w:val="auto"/>
        </w:rPr>
        <w:t>.</w:t>
      </w:r>
    </w:p>
    <w:p>
      <w:pPr>
        <w:spacing w:after="0" w:line="225" w:lineRule="exact"/>
        <w:rPr>
          <w:sz w:val="20"/>
          <w:szCs w:val="20"/>
          <w:color w:val="auto"/>
        </w:rPr>
      </w:pPr>
    </w:p>
    <w:p>
      <w:pPr>
        <w:ind w:right="60" w:firstLine="906"/>
        <w:spacing w:after="0" w:line="301" w:lineRule="auto"/>
        <w:tabs>
          <w:tab w:leader="none" w:pos="1143" w:val="left"/>
        </w:tabs>
        <w:numPr>
          <w:ilvl w:val="1"/>
          <w:numId w:val="93"/>
        </w:numPr>
        <w:rPr>
          <w:rFonts w:ascii="Arial" w:cs="Arial" w:eastAsia="Arial" w:hAnsi="Arial"/>
          <w:sz w:val="16"/>
          <w:szCs w:val="16"/>
          <w:color w:val="auto"/>
        </w:rPr>
      </w:pPr>
      <w:r>
        <w:rPr>
          <w:rFonts w:ascii="Arial" w:cs="Arial" w:eastAsia="Arial" w:hAnsi="Arial"/>
          <w:sz w:val="16"/>
          <w:szCs w:val="16"/>
          <w:u w:val="single" w:color="auto"/>
          <w:color w:val="auto"/>
        </w:rPr>
        <w:t>Financial Statements</w:t>
      </w:r>
      <w:r>
        <w:rPr>
          <w:rFonts w:ascii="Arial" w:cs="Arial" w:eastAsia="Arial" w:hAnsi="Arial"/>
          <w:sz w:val="16"/>
          <w:szCs w:val="16"/>
          <w:color w:val="auto"/>
        </w:rPr>
        <w:t>. The Borrower has heretofore delivered to the Lenders the audited consolidated balance sheet and statements of assets and liabilities, operations, changes in net assets and cash flows of the Borrower and its Subsidiaries as of and for the year ended September 30, 2013, certified by a Financial Officer of the Borrower. Such financial statements present fairly, in all material respects, the consolidated financial position and results of operations and cash flows of the Borrower and its Subsidiaries as of such date and for such period in accordance with GAAP.</w:t>
      </w:r>
    </w:p>
    <w:p>
      <w:pPr>
        <w:spacing w:after="0" w:line="157" w:lineRule="exact"/>
        <w:rPr>
          <w:rFonts w:ascii="Arial" w:cs="Arial" w:eastAsia="Arial" w:hAnsi="Arial"/>
          <w:sz w:val="16"/>
          <w:szCs w:val="16"/>
          <w:color w:val="auto"/>
        </w:rPr>
      </w:pPr>
    </w:p>
    <w:p>
      <w:pPr>
        <w:ind w:right="400" w:firstLine="906"/>
        <w:spacing w:after="0" w:line="291" w:lineRule="auto"/>
        <w:tabs>
          <w:tab w:leader="none" w:pos="1153" w:val="left"/>
        </w:tabs>
        <w:numPr>
          <w:ilvl w:val="1"/>
          <w:numId w:val="93"/>
        </w:numPr>
        <w:rPr>
          <w:rFonts w:ascii="Arial" w:cs="Arial" w:eastAsia="Arial" w:hAnsi="Arial"/>
          <w:sz w:val="16"/>
          <w:szCs w:val="16"/>
          <w:color w:val="auto"/>
        </w:rPr>
      </w:pPr>
      <w:r>
        <w:rPr>
          <w:rFonts w:ascii="Arial" w:cs="Arial" w:eastAsia="Arial" w:hAnsi="Arial"/>
          <w:sz w:val="16"/>
          <w:szCs w:val="16"/>
          <w:u w:val="single" w:color="auto"/>
          <w:color w:val="auto"/>
        </w:rPr>
        <w:t>No Material Adverse Change</w:t>
      </w:r>
      <w:r>
        <w:rPr>
          <w:rFonts w:ascii="Arial" w:cs="Arial" w:eastAsia="Arial" w:hAnsi="Arial"/>
          <w:sz w:val="16"/>
          <w:szCs w:val="16"/>
          <w:color w:val="auto"/>
        </w:rPr>
        <w:t>. Since the date of the most recent Applicable Financial Statements, there has not been any event, development or circumstance (herein, a “</w:t>
      </w:r>
      <w:r>
        <w:rPr>
          <w:rFonts w:ascii="Arial" w:cs="Arial" w:eastAsia="Arial" w:hAnsi="Arial"/>
          <w:sz w:val="16"/>
          <w:szCs w:val="16"/>
          <w:u w:val="single" w:color="auto"/>
          <w:color w:val="auto"/>
        </w:rPr>
        <w:t>Material Adverse Change</w:t>
      </w:r>
      <w:r>
        <w:rPr>
          <w:rFonts w:ascii="Arial" w:cs="Arial" w:eastAsia="Arial" w:hAnsi="Arial"/>
          <w:sz w:val="16"/>
          <w:szCs w:val="16"/>
          <w:color w:val="auto"/>
        </w:rPr>
        <w:t>”) that has had or could reasonably be expected to have a material adverse effect on</w:t>
      </w:r>
    </w:p>
    <w:p>
      <w:pPr>
        <w:ind w:right="220" w:firstLine="8"/>
        <w:spacing w:after="0" w:line="253" w:lineRule="auto"/>
        <w:tabs>
          <w:tab w:leader="none" w:pos="215"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business, Portfolio Investments and other assets, liabilities and financial condition of the Borrower and its Subsidiaries (other than any Financing Subsidiary) taken as a whole (excluding in any case a decline in the net asset value of the Borrower or a change in general market conditions or values of the Borrower’s Portfolio Investments), or (ii) the validity or enforceability of any of the Loan Documents or the rights or remedies of the Administrative Agent and the Lenders thereunder.</w:t>
      </w:r>
    </w:p>
    <w:p>
      <w:pPr>
        <w:spacing w:after="0" w:line="193" w:lineRule="exact"/>
        <w:rPr>
          <w:sz w:val="20"/>
          <w:szCs w:val="20"/>
          <w:color w:val="auto"/>
        </w:rPr>
      </w:pPr>
    </w:p>
    <w:p>
      <w:pPr>
        <w:ind w:right="160" w:firstLine="898"/>
        <w:spacing w:after="0" w:line="279" w:lineRule="auto"/>
        <w:rPr>
          <w:sz w:val="20"/>
          <w:szCs w:val="20"/>
          <w:color w:val="auto"/>
        </w:rPr>
      </w:pPr>
      <w:r>
        <w:rPr>
          <w:rFonts w:ascii="Arial" w:cs="Arial" w:eastAsia="Arial" w:hAnsi="Arial"/>
          <w:sz w:val="17"/>
          <w:szCs w:val="17"/>
          <w:color w:val="auto"/>
        </w:rPr>
        <w:t xml:space="preserve">SECTION 3.05. </w:t>
      </w:r>
      <w:r>
        <w:rPr>
          <w:rFonts w:ascii="Arial" w:cs="Arial" w:eastAsia="Arial" w:hAnsi="Arial"/>
          <w:sz w:val="17"/>
          <w:szCs w:val="17"/>
          <w:u w:val="single" w:color="auto"/>
          <w:color w:val="auto"/>
        </w:rPr>
        <w:t>Litigation</w:t>
      </w:r>
      <w:r>
        <w:rPr>
          <w:rFonts w:ascii="Arial" w:cs="Arial" w:eastAsia="Arial" w:hAnsi="Arial"/>
          <w:sz w:val="17"/>
          <w:szCs w:val="17"/>
          <w:color w:val="auto"/>
        </w:rPr>
        <w:t>. There are no actions, suits, investigations or proceedings by or before any arbitrator or Governmental Authority now pending against or, to the knowledge of the Borrower, threatened against or affecting the Borrower or any of its Subsidiaries (i) as to which there is a reasonable possibility of an adverse determination and that, if adversely determined, could reasonably be expected, individually or in the aggregate, to result in a Material Adverse Effect or (ii) that involve this Agreement or the Transactions.</w:t>
      </w:r>
    </w:p>
    <w:p>
      <w:pPr>
        <w:spacing w:after="0" w:line="171" w:lineRule="exact"/>
        <w:rPr>
          <w:sz w:val="20"/>
          <w:szCs w:val="20"/>
          <w:color w:val="auto"/>
        </w:rPr>
      </w:pPr>
    </w:p>
    <w:p>
      <w:pPr>
        <w:ind w:right="60" w:firstLine="898"/>
        <w:spacing w:after="0" w:line="277" w:lineRule="auto"/>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u w:val="single" w:color="auto"/>
          <w:color w:val="auto"/>
        </w:rPr>
        <w:t>Compliance with Laws and Agreements</w:t>
      </w:r>
      <w:r>
        <w:rPr>
          <w:rFonts w:ascii="Arial" w:cs="Arial" w:eastAsia="Arial" w:hAnsi="Arial"/>
          <w:sz w:val="18"/>
          <w:szCs w:val="18"/>
          <w:color w:val="auto"/>
        </w:rPr>
        <w:t>. Each of the Borrower and its Subsidiaries is in compliance with all laws, regulations and orders of any Governmental Authority applicable to it or its property and all indentures, agreements and</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274" w:right="339" w:bottom="1440" w:gutter="0" w:footer="0" w:header="0"/>
        </w:sectPr>
      </w:pPr>
    </w:p>
    <w:bookmarkStart w:id="81" w:name="page82"/>
    <w:bookmarkEnd w:id="81"/>
    <w:p>
      <w:pPr>
        <w:jc w:val="both"/>
        <w:ind w:right="3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other instruments binding upon it or its property, except where the failure to do so, individually or in the aggregate, could not reasonably be expected to result in a Material Adverse Effect. Neither the Borrower nor any of its Subsidiaries is subject to any contract or other arrangement, the performance of which by the Borrower or its Subsidiaries could reasonably be expected to result in a Material Adverse Effect.</w:t>
      </w:r>
    </w:p>
    <w:p>
      <w:pPr>
        <w:spacing w:after="0" w:line="165" w:lineRule="exact"/>
        <w:rPr>
          <w:sz w:val="20"/>
          <w:szCs w:val="20"/>
          <w:color w:val="auto"/>
        </w:rPr>
      </w:pPr>
    </w:p>
    <w:p>
      <w:pPr>
        <w:ind w:right="40" w:firstLine="898"/>
        <w:spacing w:after="0" w:line="259" w:lineRule="auto"/>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Taxes</w:t>
      </w:r>
      <w:r>
        <w:rPr>
          <w:rFonts w:ascii="Arial" w:cs="Arial" w:eastAsia="Arial" w:hAnsi="Arial"/>
          <w:sz w:val="18"/>
          <w:szCs w:val="18"/>
          <w:color w:val="auto"/>
        </w:rPr>
        <w:t>. Each of the Borrower and its Subsidiaries has timely filed or caused to be filed all material Tax returns and reports required to have been filed and has paid or caused to be paid all material Taxes required to have been paid by it, except (a) Taxes that are being contested in good faith by appropriate proceedings and for which such Person has set aside on its books adequate reserves or (b) to the extent that the failure to do so could not reasonably be expected to result in a Material Adverse Effect.</w:t>
      </w:r>
    </w:p>
    <w:p>
      <w:pPr>
        <w:spacing w:after="0" w:line="187" w:lineRule="exact"/>
        <w:rPr>
          <w:sz w:val="20"/>
          <w:szCs w:val="20"/>
          <w:color w:val="auto"/>
        </w:rPr>
      </w:pPr>
    </w:p>
    <w:p>
      <w:pPr>
        <w:ind w:firstLine="898"/>
        <w:spacing w:after="0" w:line="277" w:lineRule="auto"/>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u w:val="single" w:color="auto"/>
          <w:color w:val="auto"/>
        </w:rPr>
        <w:t>ERISA</w:t>
      </w:r>
      <w:r>
        <w:rPr>
          <w:rFonts w:ascii="Arial" w:cs="Arial" w:eastAsia="Arial" w:hAnsi="Arial"/>
          <w:sz w:val="18"/>
          <w:szCs w:val="18"/>
          <w:color w:val="auto"/>
        </w:rPr>
        <w:t>. No ERISA Event has occurred or is reasonably expected to occur that, when taken together with all other such ERISA Events for which liability is reasonably expected to occur, could reasonably be expected to result in a Material Adverse Effect.</w:t>
      </w:r>
    </w:p>
    <w:p>
      <w:pPr>
        <w:spacing w:after="0" w:line="170" w:lineRule="exact"/>
        <w:rPr>
          <w:sz w:val="20"/>
          <w:szCs w:val="20"/>
          <w:color w:val="auto"/>
        </w:rPr>
      </w:pPr>
    </w:p>
    <w:p>
      <w:pPr>
        <w:ind w:right="40" w:firstLine="898"/>
        <w:spacing w:after="0" w:line="289" w:lineRule="auto"/>
        <w:rPr>
          <w:sz w:val="20"/>
          <w:szCs w:val="20"/>
          <w:color w:val="auto"/>
        </w:rPr>
      </w:pPr>
      <w:r>
        <w:rPr>
          <w:rFonts w:ascii="Arial" w:cs="Arial" w:eastAsia="Arial" w:hAnsi="Arial"/>
          <w:sz w:val="16"/>
          <w:szCs w:val="16"/>
          <w:color w:val="auto"/>
        </w:rPr>
        <w:t xml:space="preserve">SECTION 3.09. </w:t>
      </w:r>
      <w:r>
        <w:rPr>
          <w:rFonts w:ascii="Arial" w:cs="Arial" w:eastAsia="Arial" w:hAnsi="Arial"/>
          <w:sz w:val="16"/>
          <w:szCs w:val="16"/>
          <w:u w:val="single" w:color="auto"/>
          <w:color w:val="auto"/>
        </w:rPr>
        <w:t>Disclosure</w:t>
      </w:r>
      <w:r>
        <w:rPr>
          <w:rFonts w:ascii="Arial" w:cs="Arial" w:eastAsia="Arial" w:hAnsi="Arial"/>
          <w:sz w:val="16"/>
          <w:szCs w:val="16"/>
          <w:color w:val="auto"/>
        </w:rPr>
        <w:t xml:space="preserve">. As of the Effective Date, the Borrower has disclosed to the Lenders all agreements, instruments and corporate or other restrictions to which it or any of its Subsidiaries is subject, and all other matters known to it, that, individually or in the aggregate, could reasonably be expected to result in a Material Adverse Effect. None of the reports, financial statements, certificates or other written information (other than projected financial information, other forward looking information relating to third parties and information of a general economic or general industry nature) furnished by or on behalf of the Borrower to the Administrative Agent in connection with the negotiation of this Agreement and the other Loan Documents or delivered hereunder or thereunder (as modified or supplemented by other information so furnished) when taken as a whole (and after giving effect to all updates, modifications and supplements) contains any material misstatement of fact or omits to state any material fact necessary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projected financial information, the Borrower represents only that such information was prepared in good faith based upon assumptions believed to be reasonable at the time.</w:t>
      </w:r>
    </w:p>
    <w:p>
      <w:pPr>
        <w:spacing w:after="0" w:line="16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Investment Company Act; Margin Regulations</w:t>
      </w:r>
      <w:r>
        <w:rPr>
          <w:rFonts w:ascii="Arial" w:cs="Arial" w:eastAsia="Arial" w:hAnsi="Arial"/>
          <w:sz w:val="18"/>
          <w:szCs w:val="18"/>
          <w:color w:val="auto"/>
        </w:rPr>
        <w:t>.</w:t>
      </w:r>
    </w:p>
    <w:p>
      <w:pPr>
        <w:spacing w:after="0" w:line="225" w:lineRule="exact"/>
        <w:rPr>
          <w:sz w:val="20"/>
          <w:szCs w:val="20"/>
          <w:color w:val="auto"/>
        </w:rPr>
      </w:pPr>
    </w:p>
    <w:p>
      <w:pPr>
        <w:ind w:right="500" w:firstLine="906"/>
        <w:spacing w:after="0" w:line="277" w:lineRule="auto"/>
        <w:tabs>
          <w:tab w:leader="none" w:pos="1143"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Status as Business Development Company</w:t>
      </w:r>
      <w:r>
        <w:rPr>
          <w:rFonts w:ascii="Arial" w:cs="Arial" w:eastAsia="Arial" w:hAnsi="Arial"/>
          <w:sz w:val="18"/>
          <w:szCs w:val="18"/>
          <w:color w:val="auto"/>
        </w:rPr>
        <w:t>. The Borrower is an “investment company” that has elected to be regulated as a “business development company” within the meaning of the Investment Company Act and qualifies as a RIC.</w:t>
      </w:r>
    </w:p>
    <w:p>
      <w:pPr>
        <w:spacing w:after="0" w:line="170" w:lineRule="exact"/>
        <w:rPr>
          <w:rFonts w:ascii="Arial" w:cs="Arial" w:eastAsia="Arial" w:hAnsi="Arial"/>
          <w:sz w:val="18"/>
          <w:szCs w:val="18"/>
          <w:color w:val="auto"/>
        </w:rPr>
      </w:pPr>
    </w:p>
    <w:p>
      <w:pPr>
        <w:ind w:firstLine="906"/>
        <w:spacing w:after="0" w:line="259" w:lineRule="auto"/>
        <w:tabs>
          <w:tab w:leader="none" w:pos="1153"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Compliance with Investment Company Act</w:t>
      </w:r>
      <w:r>
        <w:rPr>
          <w:rFonts w:ascii="Arial" w:cs="Arial" w:eastAsia="Arial" w:hAnsi="Arial"/>
          <w:sz w:val="18"/>
          <w:szCs w:val="18"/>
          <w:color w:val="auto"/>
        </w:rPr>
        <w:t>. The business and other activities of the Borrower and its Subsidiaries, including the making of the Loans hereunder, the application of the proceeds and repayment thereof by the Borrower and the consummation of the Transactions contemplated by the Loan Documents do not result in a violation or breach in any material respect of the provisions of the Investment Company Act or any rules, regulations or orders issued by the Securities and Exchange Commission thereunder.</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274" w:right="339" w:bottom="1440" w:gutter="0" w:footer="0" w:header="0"/>
        </w:sectPr>
      </w:pPr>
    </w:p>
    <w:bookmarkStart w:id="82" w:name="page83"/>
    <w:bookmarkEnd w:id="82"/>
    <w:p>
      <w:pPr>
        <w:ind w:left="1160" w:hanging="254"/>
        <w:spacing w:after="0"/>
        <w:tabs>
          <w:tab w:leader="none" w:pos="116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Investment Policies</w:t>
      </w:r>
      <w:r>
        <w:rPr>
          <w:rFonts w:ascii="Arial" w:cs="Arial" w:eastAsia="Arial" w:hAnsi="Arial"/>
          <w:sz w:val="18"/>
          <w:szCs w:val="18"/>
          <w:color w:val="auto"/>
        </w:rPr>
        <w:t>. The Borrower is in compliance in all material respects with the Investment Policies.</w:t>
      </w:r>
    </w:p>
    <w:p>
      <w:pPr>
        <w:spacing w:after="0" w:line="225" w:lineRule="exact"/>
        <w:rPr>
          <w:rFonts w:ascii="Arial" w:cs="Arial" w:eastAsia="Arial" w:hAnsi="Arial"/>
          <w:sz w:val="18"/>
          <w:szCs w:val="18"/>
          <w:color w:val="auto"/>
        </w:rPr>
      </w:pPr>
    </w:p>
    <w:p>
      <w:pPr>
        <w:ind w:firstLine="906"/>
        <w:spacing w:after="0" w:line="263" w:lineRule="auto"/>
        <w:tabs>
          <w:tab w:leader="none" w:pos="1153"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Use of Credit</w:t>
      </w:r>
      <w:r>
        <w:rPr>
          <w:rFonts w:ascii="Arial" w:cs="Arial" w:eastAsia="Arial" w:hAnsi="Arial"/>
          <w:sz w:val="18"/>
          <w:szCs w:val="18"/>
          <w:color w:val="auto"/>
        </w:rPr>
        <w:t>. Neither the Borrower nor any of its Subsidiaries is engaged principally, or as one of its important activities, in the business of extending credit for the purpose, whether immediate, incidental or ultimate, of buying or carrying Margin Stock, and no part of the proceeds of any extension of credit hereunder will be used to buy or carry any Margin Stock.</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Material Agreements and Liens</w:t>
      </w:r>
      <w:r>
        <w:rPr>
          <w:rFonts w:ascii="Arial" w:cs="Arial" w:eastAsia="Arial" w:hAnsi="Arial"/>
          <w:sz w:val="18"/>
          <w:szCs w:val="18"/>
          <w:color w:val="auto"/>
        </w:rPr>
        <w:t>.</w:t>
      </w:r>
    </w:p>
    <w:p>
      <w:pPr>
        <w:spacing w:after="0" w:line="225" w:lineRule="exact"/>
        <w:rPr>
          <w:sz w:val="20"/>
          <w:szCs w:val="20"/>
          <w:color w:val="auto"/>
        </w:rPr>
      </w:pPr>
    </w:p>
    <w:p>
      <w:pPr>
        <w:ind w:right="40" w:firstLine="906"/>
        <w:spacing w:after="0" w:line="257" w:lineRule="auto"/>
        <w:tabs>
          <w:tab w:leader="none" w:pos="1143"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Material Agreements</w:t>
      </w:r>
      <w:r>
        <w:rPr>
          <w:rFonts w:ascii="Arial" w:cs="Arial" w:eastAsia="Arial" w:hAnsi="Arial"/>
          <w:sz w:val="18"/>
          <w:szCs w:val="18"/>
          <w:color w:val="auto"/>
        </w:rPr>
        <w:t xml:space="preserve">. </w:t>
      </w:r>
      <w:r>
        <w:rPr>
          <w:rFonts w:ascii="Arial" w:cs="Arial" w:eastAsia="Arial" w:hAnsi="Arial"/>
          <w:sz w:val="18"/>
          <w:szCs w:val="18"/>
          <w:u w:val="single" w:color="auto"/>
          <w:color w:val="auto"/>
        </w:rPr>
        <w:t>Part A</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3.11</w:t>
      </w:r>
      <w:r>
        <w:rPr>
          <w:rFonts w:ascii="Arial" w:cs="Arial" w:eastAsia="Arial" w:hAnsi="Arial"/>
          <w:sz w:val="18"/>
          <w:szCs w:val="18"/>
          <w:color w:val="auto"/>
        </w:rPr>
        <w:t xml:space="preserve"> is a complete and correct list, as of the date hereof, of each credit agreement, loan agreement, indenture, purchase agreement, guarantee, letter of credit or other arrangement providing for or otherwise relating to any Indebtedness or any extension of credit (or commitment for any extension of credit) to, or guarantee by, the Borrower or any of its Subsidiaries outstanding on the date hereof, and the aggregate principal or face amount outstanding or that is, or may become, outstanding under each such arrangement is correctly described in </w:t>
      </w:r>
      <w:r>
        <w:rPr>
          <w:rFonts w:ascii="Arial" w:cs="Arial" w:eastAsia="Arial" w:hAnsi="Arial"/>
          <w:sz w:val="18"/>
          <w:szCs w:val="18"/>
          <w:u w:val="single" w:color="auto"/>
          <w:color w:val="auto"/>
        </w:rPr>
        <w:t>Part A</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3.11</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ind w:right="320" w:firstLine="906"/>
        <w:spacing w:after="0" w:line="286" w:lineRule="auto"/>
        <w:tabs>
          <w:tab w:leader="none" w:pos="1153" w:val="left"/>
        </w:tabs>
        <w:numPr>
          <w:ilvl w:val="0"/>
          <w:numId w:val="97"/>
        </w:numPr>
        <w:rPr>
          <w:rFonts w:ascii="Arial" w:cs="Arial" w:eastAsia="Arial" w:hAnsi="Arial"/>
          <w:sz w:val="17"/>
          <w:szCs w:val="17"/>
          <w:color w:val="auto"/>
        </w:rPr>
      </w:pPr>
      <w:r>
        <w:rPr>
          <w:rFonts w:ascii="Arial" w:cs="Arial" w:eastAsia="Arial" w:hAnsi="Arial"/>
          <w:sz w:val="17"/>
          <w:szCs w:val="17"/>
          <w:u w:val="single" w:color="auto"/>
          <w:color w:val="auto"/>
        </w:rPr>
        <w:t>Liens</w:t>
      </w:r>
      <w:r>
        <w:rPr>
          <w:rFonts w:ascii="Arial" w:cs="Arial" w:eastAsia="Arial" w:hAnsi="Arial"/>
          <w:sz w:val="17"/>
          <w:szCs w:val="17"/>
          <w:color w:val="auto"/>
        </w:rPr>
        <w:t xml:space="preserve">. </w:t>
      </w:r>
      <w:r>
        <w:rPr>
          <w:rFonts w:ascii="Arial" w:cs="Arial" w:eastAsia="Arial" w:hAnsi="Arial"/>
          <w:sz w:val="17"/>
          <w:szCs w:val="17"/>
          <w:u w:val="single" w:color="auto"/>
          <w:color w:val="auto"/>
        </w:rPr>
        <w:t>Part B</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Schedule 3.11</w:t>
      </w:r>
      <w:r>
        <w:rPr>
          <w:rFonts w:ascii="Arial" w:cs="Arial" w:eastAsia="Arial" w:hAnsi="Arial"/>
          <w:sz w:val="17"/>
          <w:szCs w:val="17"/>
          <w:color w:val="auto"/>
        </w:rPr>
        <w:t xml:space="preserve"> is a complete and correct list, as of the date hereof, of each Lien securing Indebtedness of any Person outstanding on the date hereof covering any property of the Borrower or any of its Subsidiaries, and the aggregate Indebtedness secured (or that may be secured) by each such Lien and the property covered by each such Lien is correctly described in </w:t>
      </w:r>
      <w:r>
        <w:rPr>
          <w:rFonts w:ascii="Arial" w:cs="Arial" w:eastAsia="Arial" w:hAnsi="Arial"/>
          <w:sz w:val="17"/>
          <w:szCs w:val="17"/>
          <w:u w:val="single" w:color="auto"/>
          <w:color w:val="auto"/>
        </w:rPr>
        <w:t>Part B</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Schedule 3.11</w:t>
      </w:r>
      <w:r>
        <w:rPr>
          <w:rFonts w:ascii="Arial" w:cs="Arial" w:eastAsia="Arial" w:hAnsi="Arial"/>
          <w:sz w:val="17"/>
          <w:szCs w:val="17"/>
          <w:color w:val="auto"/>
        </w:rPr>
        <w:t>.</w:t>
      </w:r>
    </w:p>
    <w:p>
      <w:pPr>
        <w:spacing w:after="0" w:line="16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Subsidiaries and Investments</w:t>
      </w:r>
      <w:r>
        <w:rPr>
          <w:rFonts w:ascii="Arial" w:cs="Arial" w:eastAsia="Arial" w:hAnsi="Arial"/>
          <w:sz w:val="18"/>
          <w:szCs w:val="18"/>
          <w:color w:val="auto"/>
        </w:rPr>
        <w:t>.</w:t>
      </w:r>
    </w:p>
    <w:p>
      <w:pPr>
        <w:spacing w:after="0" w:line="225" w:lineRule="exact"/>
        <w:rPr>
          <w:sz w:val="20"/>
          <w:szCs w:val="20"/>
          <w:color w:val="auto"/>
        </w:rPr>
      </w:pPr>
    </w:p>
    <w:p>
      <w:pPr>
        <w:ind w:left="1160" w:hanging="254"/>
        <w:spacing w:after="0"/>
        <w:tabs>
          <w:tab w:leader="none" w:pos="116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Subsidiaries</w:t>
      </w:r>
      <w:r>
        <w:rPr>
          <w:rFonts w:ascii="Arial" w:cs="Arial" w:eastAsia="Arial" w:hAnsi="Arial"/>
          <w:sz w:val="18"/>
          <w:szCs w:val="18"/>
          <w:color w:val="auto"/>
        </w:rPr>
        <w:t xml:space="preserve">. Set forth on </w:t>
      </w:r>
      <w:r>
        <w:rPr>
          <w:rFonts w:ascii="Arial" w:cs="Arial" w:eastAsia="Arial" w:hAnsi="Arial"/>
          <w:sz w:val="18"/>
          <w:szCs w:val="18"/>
          <w:u w:val="single" w:color="auto"/>
          <w:color w:val="auto"/>
        </w:rPr>
        <w:t>Schedule 3.12(a)</w:t>
      </w:r>
      <w:r>
        <w:rPr>
          <w:rFonts w:ascii="Arial" w:cs="Arial" w:eastAsia="Arial" w:hAnsi="Arial"/>
          <w:sz w:val="18"/>
          <w:szCs w:val="18"/>
          <w:color w:val="auto"/>
        </w:rPr>
        <w:t xml:space="preserve"> is a list of the Borrower’s Subsidiaries as of the date hereof.</w:t>
      </w:r>
    </w:p>
    <w:p>
      <w:pPr>
        <w:spacing w:after="0" w:line="225" w:lineRule="exact"/>
        <w:rPr>
          <w:rFonts w:ascii="Arial" w:cs="Arial" w:eastAsia="Arial" w:hAnsi="Arial"/>
          <w:sz w:val="18"/>
          <w:szCs w:val="18"/>
          <w:color w:val="auto"/>
        </w:rPr>
      </w:pPr>
    </w:p>
    <w:p>
      <w:pPr>
        <w:ind w:right="60" w:firstLine="906"/>
        <w:spacing w:after="0" w:line="296" w:lineRule="auto"/>
        <w:tabs>
          <w:tab w:leader="none" w:pos="1153"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Investments</w:t>
      </w:r>
      <w:r>
        <w:rPr>
          <w:rFonts w:ascii="Arial" w:cs="Arial" w:eastAsia="Arial" w:hAnsi="Arial"/>
          <w:sz w:val="16"/>
          <w:szCs w:val="16"/>
          <w:color w:val="auto"/>
        </w:rPr>
        <w:t xml:space="preserve">. Set forth in </w:t>
      </w:r>
      <w:r>
        <w:rPr>
          <w:rFonts w:ascii="Arial" w:cs="Arial" w:eastAsia="Arial" w:hAnsi="Arial"/>
          <w:sz w:val="16"/>
          <w:szCs w:val="16"/>
          <w:u w:val="single" w:color="auto"/>
          <w:color w:val="auto"/>
        </w:rPr>
        <w:t>Schedule 3.12(b)</w:t>
      </w:r>
      <w:r>
        <w:rPr>
          <w:rFonts w:ascii="Arial" w:cs="Arial" w:eastAsia="Arial" w:hAnsi="Arial"/>
          <w:sz w:val="16"/>
          <w:szCs w:val="16"/>
          <w:color w:val="auto"/>
        </w:rPr>
        <w:t xml:space="preserve"> is a complete and correct list, as of the date hereof, of all Investments (other than Investments of the types referred to in </w:t>
      </w:r>
      <w:r>
        <w:rPr>
          <w:rFonts w:ascii="Arial" w:cs="Arial" w:eastAsia="Arial" w:hAnsi="Arial"/>
          <w:sz w:val="16"/>
          <w:szCs w:val="16"/>
          <w:u w:val="single" w:color="auto"/>
          <w:color w:val="auto"/>
        </w:rPr>
        <w:t>clauses (b)</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(d)</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6.04</w:t>
      </w:r>
      <w:r>
        <w:rPr>
          <w:rFonts w:ascii="Arial" w:cs="Arial" w:eastAsia="Arial" w:hAnsi="Arial"/>
          <w:sz w:val="16"/>
          <w:szCs w:val="16"/>
          <w:color w:val="auto"/>
        </w:rPr>
        <w:t xml:space="preserve">) held by the Borrower or any of its Subsidiaries (other than any Financing Subsidiary) in any Person on the date hereof and, for each such Investment, (x) the identity of the Person or Persons holding such Investment and (y) the nature of such Investment. Except as disclosed in </w:t>
      </w:r>
      <w:r>
        <w:rPr>
          <w:rFonts w:ascii="Arial" w:cs="Arial" w:eastAsia="Arial" w:hAnsi="Arial"/>
          <w:sz w:val="16"/>
          <w:szCs w:val="16"/>
          <w:u w:val="single" w:color="auto"/>
          <w:color w:val="auto"/>
        </w:rPr>
        <w:t>Schedule 3.12</w:t>
      </w:r>
      <w:r>
        <w:rPr>
          <w:rFonts w:ascii="Arial" w:cs="Arial" w:eastAsia="Arial" w:hAnsi="Arial"/>
          <w:sz w:val="16"/>
          <w:szCs w:val="16"/>
          <w:color w:val="auto"/>
        </w:rPr>
        <w:t>, as of the date hereof, each of the Borrower and its Subsidiaries (other than any Financing Subsidiary) owns, free and clear of all Liens (other than Liens created pursuant to this Agreement or the Security Documents), all such Investments.</w:t>
      </w:r>
    </w:p>
    <w:p>
      <w:pPr>
        <w:spacing w:after="0" w:line="16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Properties</w:t>
      </w:r>
      <w:r>
        <w:rPr>
          <w:rFonts w:ascii="Arial" w:cs="Arial" w:eastAsia="Arial" w:hAnsi="Arial"/>
          <w:sz w:val="18"/>
          <w:szCs w:val="18"/>
          <w:color w:val="auto"/>
        </w:rPr>
        <w:t>.</w:t>
      </w:r>
    </w:p>
    <w:p>
      <w:pPr>
        <w:spacing w:after="0" w:line="225" w:lineRule="exact"/>
        <w:rPr>
          <w:sz w:val="20"/>
          <w:szCs w:val="20"/>
          <w:color w:val="auto"/>
        </w:rPr>
      </w:pPr>
    </w:p>
    <w:p>
      <w:pPr>
        <w:ind w:right="420" w:firstLine="906"/>
        <w:spacing w:after="0" w:line="263" w:lineRule="auto"/>
        <w:tabs>
          <w:tab w:leader="none" w:pos="1143"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Title Generally</w:t>
      </w:r>
      <w:r>
        <w:rPr>
          <w:rFonts w:ascii="Arial" w:cs="Arial" w:eastAsia="Arial" w:hAnsi="Arial"/>
          <w:sz w:val="18"/>
          <w:szCs w:val="18"/>
          <w:color w:val="auto"/>
        </w:rPr>
        <w:t>. Each of the Borrower and its Subsidiaries (other than any Financing Subsidiary) has good title to, or valid leasehold interests in, all its real and personal property material to its business, except for minor defects in title that do not interfere with its ability to conduct its business as currently conducted or to utilize such properties for their intended purposes.</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274" w:right="339" w:bottom="1440" w:gutter="0" w:footer="0" w:header="0"/>
        </w:sectPr>
      </w:pPr>
    </w:p>
    <w:bookmarkStart w:id="83" w:name="page84"/>
    <w:bookmarkEnd w:id="83"/>
    <w:p>
      <w:pPr>
        <w:ind w:right="40" w:firstLine="906"/>
        <w:spacing w:after="0" w:line="259" w:lineRule="auto"/>
        <w:tabs>
          <w:tab w:leader="none" w:pos="1153"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Intellectual Property</w:t>
      </w:r>
      <w:r>
        <w:rPr>
          <w:rFonts w:ascii="Arial" w:cs="Arial" w:eastAsia="Arial" w:hAnsi="Arial"/>
          <w:sz w:val="18"/>
          <w:szCs w:val="18"/>
          <w:color w:val="auto"/>
        </w:rPr>
        <w:t>. Each of the Borrower and its Subsidiaries (other than any Financing Subsidiary) owns, or is licensed to use, all trademarks, tradenames, copyrights, patents and other intellectual property material to its business, and the use thereof by the Borrower and its Subsidiaries (other than any Financing Subsidiary) does not infringe upon the rights of any other Person, except for any such infringements that, individually or in the aggregate, could not reasonably be expected to result in a Material Adverse Effect.</w:t>
      </w:r>
    </w:p>
    <w:p>
      <w:pPr>
        <w:spacing w:after="0" w:line="187" w:lineRule="exact"/>
        <w:rPr>
          <w:sz w:val="20"/>
          <w:szCs w:val="20"/>
          <w:color w:val="auto"/>
        </w:rPr>
      </w:pPr>
    </w:p>
    <w:p>
      <w:pPr>
        <w:ind w:right="200" w:firstLine="898"/>
        <w:spacing w:after="0" w:line="286" w:lineRule="auto"/>
        <w:rPr>
          <w:sz w:val="20"/>
          <w:szCs w:val="20"/>
          <w:color w:val="auto"/>
        </w:rPr>
      </w:pPr>
      <w:r>
        <w:rPr>
          <w:rFonts w:ascii="Arial" w:cs="Arial" w:eastAsia="Arial" w:hAnsi="Arial"/>
          <w:sz w:val="17"/>
          <w:szCs w:val="17"/>
          <w:color w:val="auto"/>
        </w:rPr>
        <w:t xml:space="preserve">SECTION 3.14. </w:t>
      </w:r>
      <w:r>
        <w:rPr>
          <w:rFonts w:ascii="Arial" w:cs="Arial" w:eastAsia="Arial" w:hAnsi="Arial"/>
          <w:sz w:val="17"/>
          <w:szCs w:val="17"/>
          <w:u w:val="single" w:color="auto"/>
          <w:color w:val="auto"/>
        </w:rPr>
        <w:t>Affiliate Agreements</w:t>
      </w:r>
      <w:r>
        <w:rPr>
          <w:rFonts w:ascii="Arial" w:cs="Arial" w:eastAsia="Arial" w:hAnsi="Arial"/>
          <w:sz w:val="17"/>
          <w:szCs w:val="17"/>
          <w:color w:val="auto"/>
        </w:rPr>
        <w:t>. As of the date hereof, the Borrower has heretofore delivered to each of the Lenders true and complete copies of each of the Affiliate Agreements (including and schedules and exhibits thereto, and any amendments, supplements or waivers executed and delivered thereunder). As of the date of hereof, each of the Affiliate Agreements is in full force and effect.</w:t>
      </w:r>
    </w:p>
    <w:p>
      <w:pPr>
        <w:spacing w:after="0" w:line="165" w:lineRule="exact"/>
        <w:rPr>
          <w:sz w:val="20"/>
          <w:szCs w:val="20"/>
          <w:color w:val="auto"/>
        </w:rPr>
      </w:pPr>
    </w:p>
    <w:p>
      <w:pPr>
        <w:ind w:right="20" w:firstLine="898"/>
        <w:spacing w:after="0" w:line="272" w:lineRule="auto"/>
        <w:rPr>
          <w:sz w:val="20"/>
          <w:szCs w:val="20"/>
          <w:color w:val="auto"/>
        </w:rPr>
      </w:pPr>
      <w:r>
        <w:rPr>
          <w:rFonts w:ascii="Arial" w:cs="Arial" w:eastAsia="Arial" w:hAnsi="Arial"/>
          <w:sz w:val="17"/>
          <w:szCs w:val="17"/>
          <w:color w:val="auto"/>
        </w:rPr>
        <w:t xml:space="preserve">SECTION 3.15. </w:t>
      </w:r>
      <w:r>
        <w:rPr>
          <w:rFonts w:ascii="Arial" w:cs="Arial" w:eastAsia="Arial" w:hAnsi="Arial"/>
          <w:sz w:val="17"/>
          <w:szCs w:val="17"/>
          <w:u w:val="single" w:color="auto"/>
          <w:color w:val="auto"/>
        </w:rPr>
        <w:t>Sanctions</w:t>
      </w:r>
      <w:r>
        <w:rPr>
          <w:rFonts w:ascii="Arial" w:cs="Arial" w:eastAsia="Arial" w:hAnsi="Arial"/>
          <w:sz w:val="17"/>
          <w:szCs w:val="17"/>
          <w:color w:val="auto"/>
        </w:rPr>
        <w:t>. None of the Borrower or any Subsidiary nor, to the knowledge of the Borrower, any director or officer of the Borrower or any Subsidiary is currently the subject of any U.S. sanctions administered by the Office of Foreign Assets Control of the U.S. Treasury Department (“</w:t>
      </w:r>
      <w:r>
        <w:rPr>
          <w:rFonts w:ascii="Arial" w:cs="Arial" w:eastAsia="Arial" w:hAnsi="Arial"/>
          <w:sz w:val="17"/>
          <w:szCs w:val="17"/>
          <w:u w:val="single" w:color="auto"/>
          <w:color w:val="auto"/>
        </w:rPr>
        <w:t>OFAC</w:t>
      </w:r>
      <w:r>
        <w:rPr>
          <w:rFonts w:ascii="Arial" w:cs="Arial" w:eastAsia="Arial" w:hAnsi="Arial"/>
          <w:sz w:val="17"/>
          <w:szCs w:val="17"/>
          <w:color w:val="auto"/>
        </w:rPr>
        <w:t>”) or any international economic sanction administered or enforced by the United Nations Security Counsel, Her Majesty’s Treasury or the European Union (“</w:t>
      </w:r>
      <w:r>
        <w:rPr>
          <w:rFonts w:ascii="Arial" w:cs="Arial" w:eastAsia="Arial" w:hAnsi="Arial"/>
          <w:sz w:val="17"/>
          <w:szCs w:val="17"/>
          <w:u w:val="single" w:color="auto"/>
          <w:color w:val="auto"/>
        </w:rPr>
        <w:t>International Sanctions</w:t>
      </w:r>
      <w:r>
        <w:rPr>
          <w:rFonts w:ascii="Arial" w:cs="Arial" w:eastAsia="Arial" w:hAnsi="Arial"/>
          <w:sz w:val="17"/>
          <w:szCs w:val="17"/>
          <w:color w:val="auto"/>
        </w:rPr>
        <w:t>”); and no Obligor will to its actual knowledge directly or indirectly use the proceeds of the Loans or otherwise make available such proceeds to any Person for the purpose of financing the activities of any Person currently subject to any U.S. sanctions administered by OFAC or any International Sanctions. The Borrower has policies, procedures and internal controls reasonably designed to ensure compliance with the economic sanctions and trade embargo regulations promulgated by OFAC and any International Sanctions.</w:t>
      </w:r>
    </w:p>
    <w:p>
      <w:pPr>
        <w:spacing w:after="0" w:line="177" w:lineRule="exact"/>
        <w:rPr>
          <w:sz w:val="20"/>
          <w:szCs w:val="20"/>
          <w:color w:val="auto"/>
        </w:rPr>
      </w:pPr>
    </w:p>
    <w:p>
      <w:pPr>
        <w:ind w:firstLine="898"/>
        <w:spacing w:after="0" w:line="254" w:lineRule="auto"/>
        <w:rPr>
          <w:sz w:val="20"/>
          <w:szCs w:val="20"/>
          <w:color w:val="auto"/>
        </w:rPr>
      </w:pPr>
      <w:r>
        <w:rPr>
          <w:rFonts w:ascii="Arial" w:cs="Arial" w:eastAsia="Arial" w:hAnsi="Arial"/>
          <w:sz w:val="18"/>
          <w:szCs w:val="18"/>
          <w:color w:val="auto"/>
        </w:rPr>
        <w:t xml:space="preserve">SECTION 3.16. </w:t>
      </w:r>
      <w:r>
        <w:rPr>
          <w:rFonts w:ascii="Arial" w:cs="Arial" w:eastAsia="Arial" w:hAnsi="Arial"/>
          <w:sz w:val="18"/>
          <w:szCs w:val="18"/>
          <w:u w:val="single" w:color="auto"/>
          <w:color w:val="auto"/>
        </w:rPr>
        <w:t>Patriot Act</w:t>
      </w:r>
      <w:r>
        <w:rPr>
          <w:rFonts w:ascii="Arial" w:cs="Arial" w:eastAsia="Arial" w:hAnsi="Arial"/>
          <w:sz w:val="18"/>
          <w:szCs w:val="18"/>
          <w:color w:val="auto"/>
        </w:rPr>
        <w:t>. Each of the Borrower and its Subsidiaries is in compliance with (a) the Trading with the Enemy Act, as amended, and each of the foreign assets control regulations of the United States Treasury Department (31 CFR, Subtitle B, Chapter V, as amended) and any other enabling legislation or executive order relating thereto, and (b) the Uniting And Strengthening America By Providing Appropriate Tools Required To Intercept And Obstruct Terrorism (USA Patriot Act of 2001). No part of the proceeds of the Loans will be used,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spacing w:after="0" w:line="195" w:lineRule="exact"/>
        <w:rPr>
          <w:sz w:val="20"/>
          <w:szCs w:val="20"/>
          <w:color w:val="auto"/>
        </w:rPr>
      </w:pPr>
    </w:p>
    <w:p>
      <w:pPr>
        <w:ind w:right="280" w:firstLine="898"/>
        <w:spacing w:after="0" w:line="259" w:lineRule="auto"/>
        <w:rPr>
          <w:sz w:val="20"/>
          <w:szCs w:val="20"/>
          <w:color w:val="auto"/>
        </w:rPr>
      </w:pPr>
      <w:r>
        <w:rPr>
          <w:rFonts w:ascii="Arial" w:cs="Arial" w:eastAsia="Arial" w:hAnsi="Arial"/>
          <w:sz w:val="18"/>
          <w:szCs w:val="18"/>
          <w:color w:val="auto"/>
        </w:rPr>
        <w:t xml:space="preserve">SECTION 3.17. </w:t>
      </w:r>
      <w:r>
        <w:rPr>
          <w:rFonts w:ascii="Arial" w:cs="Arial" w:eastAsia="Arial" w:hAnsi="Arial"/>
          <w:sz w:val="18"/>
          <w:szCs w:val="18"/>
          <w:u w:val="single" w:color="auto"/>
          <w:color w:val="auto"/>
        </w:rPr>
        <w:t>Collateral Documents</w:t>
      </w:r>
      <w:r>
        <w:rPr>
          <w:rFonts w:ascii="Arial" w:cs="Arial" w:eastAsia="Arial" w:hAnsi="Arial"/>
          <w:sz w:val="18"/>
          <w:szCs w:val="18"/>
          <w:color w:val="auto"/>
        </w:rPr>
        <w:t xml:space="preserve">. The provisions of the Security Documents are effective to create in favor of the Collateral Agent a legal, valid and enforceable first priority Lien (subject to Liens permitted by </w:t>
      </w:r>
      <w:r>
        <w:rPr>
          <w:rFonts w:ascii="Arial" w:cs="Arial" w:eastAsia="Arial" w:hAnsi="Arial"/>
          <w:sz w:val="18"/>
          <w:szCs w:val="18"/>
          <w:u w:val="single" w:color="auto"/>
          <w:color w:val="auto"/>
        </w:rPr>
        <w:t>Section 6.02</w:t>
      </w:r>
      <w:r>
        <w:rPr>
          <w:rFonts w:ascii="Arial" w:cs="Arial" w:eastAsia="Arial" w:hAnsi="Arial"/>
          <w:sz w:val="18"/>
          <w:szCs w:val="18"/>
          <w:color w:val="auto"/>
        </w:rPr>
        <w:t>) on all right, title and interest of the Borrower and each Subsidiary Guarantor in the Collateral described therein. Except for filings completed prior to the Effective Date and as contemplated hereby and by the Security Documents, no filing or other action will be necessary to perfect such Liens.</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274"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CONDITIONS</w:t>
      </w:r>
    </w:p>
    <w:p>
      <w:pPr>
        <w:spacing w:after="0" w:line="225" w:lineRule="exact"/>
        <w:rPr>
          <w:sz w:val="20"/>
          <w:szCs w:val="20"/>
          <w:color w:val="auto"/>
        </w:rPr>
      </w:pPr>
    </w:p>
    <w:p>
      <w:pPr>
        <w:ind w:right="260" w:firstLine="898"/>
        <w:spacing w:after="0" w:line="263"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Effective Date</w:t>
      </w:r>
      <w:r>
        <w:rPr>
          <w:rFonts w:ascii="Arial" w:cs="Arial" w:eastAsia="Arial" w:hAnsi="Arial"/>
          <w:sz w:val="18"/>
          <w:szCs w:val="18"/>
          <w:color w:val="auto"/>
        </w:rPr>
        <w:t xml:space="preserve">. The effectiveness of this Agreement and of the obligations of the Lenders to make Loans and of the Issuing Bank to issue Letters of Credit hereunder shall not become effective until completion of each of the following conditions precedent (unless a condition shall have been waived in accordance with </w:t>
      </w:r>
      <w:r>
        <w:rPr>
          <w:rFonts w:ascii="Arial" w:cs="Arial" w:eastAsia="Arial" w:hAnsi="Arial"/>
          <w:sz w:val="18"/>
          <w:szCs w:val="18"/>
          <w:u w:val="single" w:color="auto"/>
          <w:color w:val="auto"/>
        </w:rPr>
        <w:t>Section 9.02</w:t>
      </w:r>
      <w:r>
        <w:rPr>
          <w:rFonts w:ascii="Arial" w:cs="Arial" w:eastAsia="Arial" w:hAnsi="Arial"/>
          <w:sz w:val="18"/>
          <w:szCs w:val="18"/>
          <w:color w:val="auto"/>
        </w:rPr>
        <w:t>):</w:t>
      </w:r>
    </w:p>
    <w:p>
      <w:pPr>
        <w:spacing w:after="0" w:line="184" w:lineRule="exact"/>
        <w:rPr>
          <w:sz w:val="20"/>
          <w:szCs w:val="20"/>
          <w:color w:val="auto"/>
        </w:rPr>
      </w:pPr>
    </w:p>
    <w:p>
      <w:pPr>
        <w:ind w:right="780" w:firstLine="906"/>
        <w:spacing w:after="0" w:line="277" w:lineRule="auto"/>
        <w:tabs>
          <w:tab w:leader="none" w:pos="1143" w:val="left"/>
        </w:tabs>
        <w:numPr>
          <w:ilvl w:val="1"/>
          <w:numId w:val="101"/>
        </w:numPr>
        <w:rPr>
          <w:rFonts w:ascii="Arial" w:cs="Arial" w:eastAsia="Arial" w:hAnsi="Arial"/>
          <w:sz w:val="18"/>
          <w:szCs w:val="18"/>
          <w:color w:val="auto"/>
        </w:rPr>
      </w:pPr>
      <w:r>
        <w:rPr>
          <w:rFonts w:ascii="Arial" w:cs="Arial" w:eastAsia="Arial" w:hAnsi="Arial"/>
          <w:sz w:val="18"/>
          <w:szCs w:val="18"/>
          <w:u w:val="single" w:color="auto"/>
          <w:color w:val="auto"/>
        </w:rPr>
        <w:t>Documents</w:t>
      </w:r>
      <w:r>
        <w:rPr>
          <w:rFonts w:ascii="Arial" w:cs="Arial" w:eastAsia="Arial" w:hAnsi="Arial"/>
          <w:sz w:val="18"/>
          <w:szCs w:val="18"/>
          <w:color w:val="auto"/>
        </w:rPr>
        <w:t>. Administrative Agent shall have received each of the following documents, each of which shall be satisfactory to the Administrative Agent (and to the extent specified below to each Lender) in form and substance:</w:t>
      </w:r>
    </w:p>
    <w:p>
      <w:pPr>
        <w:spacing w:after="0" w:line="62" w:lineRule="exact"/>
        <w:rPr>
          <w:rFonts w:ascii="Arial" w:cs="Arial" w:eastAsia="Arial" w:hAnsi="Arial"/>
          <w:sz w:val="18"/>
          <w:szCs w:val="18"/>
          <w:color w:val="auto"/>
        </w:rPr>
      </w:pPr>
    </w:p>
    <w:p>
      <w:pPr>
        <w:ind w:left="460" w:right="120" w:firstLine="428"/>
        <w:spacing w:after="0" w:line="263" w:lineRule="auto"/>
        <w:tabs>
          <w:tab w:leader="none" w:pos="1106"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Executed Counterparts</w:t>
      </w:r>
      <w:r>
        <w:rPr>
          <w:rFonts w:ascii="Arial" w:cs="Arial" w:eastAsia="Arial" w:hAnsi="Arial"/>
          <w:sz w:val="18"/>
          <w:szCs w:val="18"/>
          <w:color w:val="auto"/>
        </w:rPr>
        <w:t>. From each party hereto either (i) a counterpart of this Agreement signed on behalf of such party or (ii) written evidence satisfactory to the Administrative Agent (which may include telecopy transmission of a signed signature page to this Agreement) that such party has signed a counterpart of this Agreement.</w:t>
      </w:r>
    </w:p>
    <w:p>
      <w:pPr>
        <w:spacing w:after="0" w:line="75" w:lineRule="exact"/>
        <w:rPr>
          <w:rFonts w:ascii="Arial" w:cs="Arial" w:eastAsia="Arial" w:hAnsi="Arial"/>
          <w:sz w:val="18"/>
          <w:szCs w:val="18"/>
          <w:color w:val="auto"/>
        </w:rPr>
      </w:pPr>
    </w:p>
    <w:p>
      <w:pPr>
        <w:ind w:left="460" w:right="320" w:firstLine="428"/>
        <w:spacing w:after="0" w:line="311" w:lineRule="auto"/>
        <w:tabs>
          <w:tab w:leader="none" w:pos="1156"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Opinion of Counsel to the Borrower</w:t>
      </w:r>
      <w:r>
        <w:rPr>
          <w:rFonts w:ascii="Arial" w:cs="Arial" w:eastAsia="Arial" w:hAnsi="Arial"/>
          <w:sz w:val="16"/>
          <w:szCs w:val="16"/>
          <w:color w:val="auto"/>
        </w:rPr>
        <w:t>. A favorable written opinion (addressed to the Administrative Agent and the Lenders and dated the Effective Date) of Dechert LLP, New York and Maryland counsel for the Borrower, in form and substance reasonably acceptable to the Administrative Agent (and the Borrower hereby instructs such counsel to deliver such opinion to the Lenders and the Administrative Agent).</w:t>
      </w:r>
    </w:p>
    <w:p>
      <w:pPr>
        <w:spacing w:after="0" w:line="40" w:lineRule="exact"/>
        <w:rPr>
          <w:rFonts w:ascii="Arial" w:cs="Arial" w:eastAsia="Arial" w:hAnsi="Arial"/>
          <w:sz w:val="16"/>
          <w:szCs w:val="16"/>
          <w:color w:val="auto"/>
        </w:rPr>
      </w:pPr>
    </w:p>
    <w:p>
      <w:pPr>
        <w:ind w:left="460" w:right="40" w:firstLine="428"/>
        <w:spacing w:after="0" w:line="286" w:lineRule="auto"/>
        <w:tabs>
          <w:tab w:leader="none" w:pos="1206"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auto"/>
        </w:rPr>
        <w:t>Corporate Documents</w:t>
      </w:r>
      <w:r>
        <w:rPr>
          <w:rFonts w:ascii="Arial" w:cs="Arial" w:eastAsia="Arial" w:hAnsi="Arial"/>
          <w:sz w:val="17"/>
          <w:szCs w:val="17"/>
          <w:color w:val="auto"/>
        </w:rPr>
        <w:t>. Such documents and certificates as the Administrative Agent or its counsel may reasonably request relating to the organization, existence and good standing of the Borrower, the authorization of the Transactions and any other legal matters relating to the Borrower, this Agreement or the Transactions, all in form and substance satisfactory to the Administrative Agent and its counsel.</w:t>
      </w:r>
    </w:p>
    <w:p>
      <w:pPr>
        <w:spacing w:after="0" w:line="57" w:lineRule="exact"/>
        <w:rPr>
          <w:rFonts w:ascii="Arial" w:cs="Arial" w:eastAsia="Arial" w:hAnsi="Arial"/>
          <w:sz w:val="17"/>
          <w:szCs w:val="17"/>
          <w:color w:val="auto"/>
        </w:rPr>
      </w:pPr>
    </w:p>
    <w:p>
      <w:pPr>
        <w:ind w:left="460" w:right="440" w:firstLine="428"/>
        <w:spacing w:after="0" w:line="308" w:lineRule="auto"/>
        <w:tabs>
          <w:tab w:leader="none" w:pos="1196"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auto"/>
        </w:rPr>
        <w:t>Officer’s Certificate</w:t>
      </w:r>
      <w:r>
        <w:rPr>
          <w:rFonts w:ascii="Arial" w:cs="Arial" w:eastAsia="Arial" w:hAnsi="Arial"/>
          <w:sz w:val="17"/>
          <w:szCs w:val="17"/>
          <w:color w:val="auto"/>
        </w:rPr>
        <w:t xml:space="preserve">. A certificate, dated the Effective Date and signed by the President, a Vice President or a Financial Officer of the Borrower, confirming compliance with the conditions set forth in the lettered clauses of the first sentence of </w:t>
      </w:r>
      <w:r>
        <w:rPr>
          <w:rFonts w:ascii="Arial" w:cs="Arial" w:eastAsia="Arial" w:hAnsi="Arial"/>
          <w:sz w:val="17"/>
          <w:szCs w:val="17"/>
          <w:u w:val="single" w:color="auto"/>
          <w:color w:val="auto"/>
        </w:rPr>
        <w:t>Section 4.02</w:t>
      </w:r>
      <w:r>
        <w:rPr>
          <w:rFonts w:ascii="Arial" w:cs="Arial" w:eastAsia="Arial" w:hAnsi="Arial"/>
          <w:sz w:val="17"/>
          <w:szCs w:val="17"/>
          <w:color w:val="auto"/>
        </w:rPr>
        <w:t>.</w:t>
      </w:r>
    </w:p>
    <w:p>
      <w:pPr>
        <w:spacing w:after="0" w:line="38" w:lineRule="exact"/>
        <w:rPr>
          <w:rFonts w:ascii="Arial" w:cs="Arial" w:eastAsia="Arial" w:hAnsi="Arial"/>
          <w:sz w:val="17"/>
          <w:szCs w:val="17"/>
          <w:color w:val="auto"/>
        </w:rPr>
      </w:pPr>
    </w:p>
    <w:p>
      <w:pPr>
        <w:ind w:left="460" w:right="460" w:firstLine="428"/>
        <w:spacing w:after="0" w:line="277" w:lineRule="auto"/>
        <w:tabs>
          <w:tab w:leader="none" w:pos="1146"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Guarantee and Security Agreement</w:t>
      </w:r>
      <w:r>
        <w:rPr>
          <w:rFonts w:ascii="Arial" w:cs="Arial" w:eastAsia="Arial" w:hAnsi="Arial"/>
          <w:sz w:val="18"/>
          <w:szCs w:val="18"/>
          <w:color w:val="auto"/>
        </w:rPr>
        <w:t>. The Guarantee and Security Agreement, duly executed and delivered by each of the parties to the Guarantee and Security Agreement.</w:t>
      </w:r>
    </w:p>
    <w:p>
      <w:pPr>
        <w:spacing w:after="0" w:line="62" w:lineRule="exact"/>
        <w:rPr>
          <w:rFonts w:ascii="Arial" w:cs="Arial" w:eastAsia="Arial" w:hAnsi="Arial"/>
          <w:sz w:val="18"/>
          <w:szCs w:val="18"/>
          <w:color w:val="auto"/>
        </w:rPr>
      </w:pPr>
    </w:p>
    <w:p>
      <w:pPr>
        <w:ind w:left="1200" w:hanging="312"/>
        <w:spacing w:after="0"/>
        <w:tabs>
          <w:tab w:leader="none" w:pos="120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Borrowing Base Certificate</w:t>
      </w:r>
      <w:r>
        <w:rPr>
          <w:rFonts w:ascii="Arial" w:cs="Arial" w:eastAsia="Arial" w:hAnsi="Arial"/>
          <w:sz w:val="18"/>
          <w:szCs w:val="18"/>
          <w:color w:val="auto"/>
        </w:rPr>
        <w:t>. A Borrowing Base Certificate showing a calculation of the Borrowing Base as of May 31, 2014.</w:t>
      </w:r>
    </w:p>
    <w:p>
      <w:pPr>
        <w:spacing w:after="0" w:line="225" w:lineRule="exact"/>
        <w:rPr>
          <w:rFonts w:ascii="Arial" w:cs="Arial" w:eastAsia="Arial" w:hAnsi="Arial"/>
          <w:sz w:val="18"/>
          <w:szCs w:val="18"/>
          <w:color w:val="auto"/>
        </w:rPr>
      </w:pPr>
    </w:p>
    <w:p>
      <w:pPr>
        <w:ind w:firstLine="906"/>
        <w:spacing w:after="0" w:line="272" w:lineRule="auto"/>
        <w:tabs>
          <w:tab w:leader="none" w:pos="1153" w:val="left"/>
        </w:tabs>
        <w:numPr>
          <w:ilvl w:val="1"/>
          <w:numId w:val="102"/>
        </w:numPr>
        <w:rPr>
          <w:rFonts w:ascii="Arial" w:cs="Arial" w:eastAsia="Arial" w:hAnsi="Arial"/>
          <w:sz w:val="17"/>
          <w:szCs w:val="17"/>
          <w:color w:val="auto"/>
        </w:rPr>
      </w:pPr>
      <w:r>
        <w:rPr>
          <w:rFonts w:ascii="Arial" w:cs="Arial" w:eastAsia="Arial" w:hAnsi="Arial"/>
          <w:sz w:val="17"/>
          <w:szCs w:val="17"/>
          <w:u w:val="single" w:color="auto"/>
          <w:color w:val="auto"/>
        </w:rPr>
        <w:t>Liens</w:t>
      </w:r>
      <w:r>
        <w:rPr>
          <w:rFonts w:ascii="Arial" w:cs="Arial" w:eastAsia="Arial" w:hAnsi="Arial"/>
          <w:sz w:val="17"/>
          <w:szCs w:val="17"/>
          <w:color w:val="auto"/>
        </w:rPr>
        <w:t xml:space="preserve">. The Administrative Agent shall have received results of a recent lien search in each relevant jurisdiction with respect to the Borrower and its Subsidiaries (other than Financing Subsidiaries), confirming the priority of the Liens in favor of the Collateral Agent created pursuant to the Security Documents and revealing no liens on any of the assets of the Borrower or its Subsidiaries (other than Financing Subsidiaries) except for liens permitted under </w:t>
      </w:r>
      <w:r>
        <w:rPr>
          <w:rFonts w:ascii="Arial" w:cs="Arial" w:eastAsia="Arial" w:hAnsi="Arial"/>
          <w:sz w:val="17"/>
          <w:szCs w:val="17"/>
          <w:u w:val="single" w:color="auto"/>
          <w:color w:val="auto"/>
        </w:rPr>
        <w:t>Section 6.02</w:t>
      </w:r>
      <w:r>
        <w:rPr>
          <w:rFonts w:ascii="Arial" w:cs="Arial" w:eastAsia="Arial" w:hAnsi="Arial"/>
          <w:sz w:val="17"/>
          <w:szCs w:val="17"/>
          <w:color w:val="auto"/>
        </w:rPr>
        <w:t xml:space="preserve"> or liens to be discharged on or prior to the Effective Date pursuant to documentation satisfactory to the Administrative Agent. All UCC financing statements and similar documents required to be filed in order to create in favor of the Administrative Agent, for the benefit of the Lenders, a first priority perfected security interest in the Collateral (to the extent that such a security interest may be perfected by a filing under the Uniform Commercial Code) shall have been properly filed in each jurisdiction required.</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274" w:right="339" w:bottom="1440" w:gutter="0" w:footer="0" w:header="0"/>
        </w:sectPr>
      </w:pPr>
    </w:p>
    <w:bookmarkStart w:id="85" w:name="page86"/>
    <w:bookmarkEnd w:id="85"/>
    <w:p>
      <w:pPr>
        <w:ind w:right="380" w:firstLine="906"/>
        <w:spacing w:after="0" w:line="275" w:lineRule="auto"/>
        <w:tabs>
          <w:tab w:leader="none" w:pos="1143" w:val="left"/>
        </w:tabs>
        <w:numPr>
          <w:ilvl w:val="0"/>
          <w:numId w:val="10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Consents</w:t>
      </w:r>
      <w:r>
        <w:rPr>
          <w:rFonts w:ascii="Arial" w:cs="Arial" w:eastAsia="Arial" w:hAnsi="Arial"/>
          <w:sz w:val="17"/>
          <w:szCs w:val="17"/>
          <w:color w:val="auto"/>
        </w:rPr>
        <w:t>. The Borrower shall have obtained and delivered to the Administrative Agent certified copies of all consents, approvals, authorizations, registrations, or filings required to be made or obtained by the Borrower and all guarantors in connection with the Transactions and any transaction being financed with the proceeds of the Loans, and such consents, approvals, authorizations, registrations, filings and orders shall be in full force and effect and all applicable waiting periods shall have expired and no investigation or inquiry by any Governmental Authority regarding the Transactions or any transaction being financed with the proceeds of the Loans shall be ongoing.</w:t>
      </w:r>
    </w:p>
    <w:p>
      <w:pPr>
        <w:spacing w:after="0" w:line="176" w:lineRule="exact"/>
        <w:rPr>
          <w:rFonts w:ascii="Arial" w:cs="Arial" w:eastAsia="Arial" w:hAnsi="Arial"/>
          <w:sz w:val="17"/>
          <w:szCs w:val="17"/>
          <w:color w:val="auto"/>
        </w:rPr>
      </w:pPr>
    </w:p>
    <w:p>
      <w:pPr>
        <w:ind w:right="40" w:firstLine="906"/>
        <w:spacing w:after="0" w:line="277" w:lineRule="auto"/>
        <w:tabs>
          <w:tab w:leader="none" w:pos="1153"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Fees and Expenses</w:t>
      </w:r>
      <w:r>
        <w:rPr>
          <w:rFonts w:ascii="Arial" w:cs="Arial" w:eastAsia="Arial" w:hAnsi="Arial"/>
          <w:sz w:val="18"/>
          <w:szCs w:val="18"/>
          <w:color w:val="auto"/>
        </w:rPr>
        <w:t>. The Borrower shall have paid in full to the Administrative Agent all fees and expenses related to this Agreement owing on the Effective Date.</w:t>
      </w:r>
    </w:p>
    <w:p>
      <w:pPr>
        <w:spacing w:after="0" w:line="170" w:lineRule="exact"/>
        <w:rPr>
          <w:rFonts w:ascii="Arial" w:cs="Arial" w:eastAsia="Arial" w:hAnsi="Arial"/>
          <w:sz w:val="18"/>
          <w:szCs w:val="18"/>
          <w:color w:val="auto"/>
        </w:rPr>
      </w:pPr>
    </w:p>
    <w:p>
      <w:pPr>
        <w:ind w:right="320" w:firstLine="906"/>
        <w:spacing w:after="0" w:line="277" w:lineRule="auto"/>
        <w:tabs>
          <w:tab w:leader="none" w:pos="1143"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Other Documents</w:t>
      </w:r>
      <w:r>
        <w:rPr>
          <w:rFonts w:ascii="Arial" w:cs="Arial" w:eastAsia="Arial" w:hAnsi="Arial"/>
          <w:sz w:val="18"/>
          <w:szCs w:val="18"/>
          <w:color w:val="auto"/>
        </w:rPr>
        <w:t>. The Administrative Agent shall have received such other documents as the Administrative Agent or any Lender may reasonably request in form and substance satisfactory to the Administrative Agent.</w:t>
      </w:r>
    </w:p>
    <w:p>
      <w:pPr>
        <w:spacing w:after="0" w:line="170" w:lineRule="exact"/>
        <w:rPr>
          <w:sz w:val="20"/>
          <w:szCs w:val="20"/>
          <w:color w:val="auto"/>
        </w:rPr>
      </w:pPr>
    </w:p>
    <w:p>
      <w:pPr>
        <w:ind w:right="520" w:firstLine="898"/>
        <w:spacing w:after="0" w:line="277"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Each Credit Event</w:t>
      </w:r>
      <w:r>
        <w:rPr>
          <w:rFonts w:ascii="Arial" w:cs="Arial" w:eastAsia="Arial" w:hAnsi="Arial"/>
          <w:sz w:val="18"/>
          <w:szCs w:val="18"/>
          <w:color w:val="auto"/>
        </w:rPr>
        <w:t>. The obligation of each Lender to make any Loan, and of the Issuing Bank to issue, amend, renew or extend any Letter of Credit, is additionally subject to the satisfaction of the following conditions:</w:t>
      </w:r>
    </w:p>
    <w:p>
      <w:pPr>
        <w:spacing w:after="0" w:line="170" w:lineRule="exact"/>
        <w:rPr>
          <w:sz w:val="20"/>
          <w:szCs w:val="20"/>
          <w:color w:val="auto"/>
        </w:rPr>
      </w:pPr>
    </w:p>
    <w:p>
      <w:pPr>
        <w:jc w:val="both"/>
        <w:ind w:right="200" w:firstLine="906"/>
        <w:spacing w:after="0" w:line="301" w:lineRule="auto"/>
        <w:tabs>
          <w:tab w:leader="none" w:pos="1143" w:val="left"/>
        </w:tabs>
        <w:numPr>
          <w:ilvl w:val="0"/>
          <w:numId w:val="104"/>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of the Borrower set forth in this Agreement and in the other Loan Documents shall be true and correct (or, in the case of the representations and warranties in </w:t>
      </w:r>
      <w:r>
        <w:rPr>
          <w:rFonts w:ascii="Arial" w:cs="Arial" w:eastAsia="Arial" w:hAnsi="Arial"/>
          <w:sz w:val="16"/>
          <w:szCs w:val="16"/>
          <w:u w:val="single" w:color="auto"/>
          <w:color w:val="auto"/>
        </w:rPr>
        <w:t>Sections 3.03</w:t>
      </w:r>
      <w:r>
        <w:rPr>
          <w:rFonts w:ascii="Arial" w:cs="Arial" w:eastAsia="Arial" w:hAnsi="Arial"/>
          <w:sz w:val="16"/>
          <w:szCs w:val="16"/>
          <w:color w:val="auto"/>
        </w:rPr>
        <w:t xml:space="preserve">, </w:t>
      </w:r>
      <w:r>
        <w:rPr>
          <w:rFonts w:ascii="Arial" w:cs="Arial" w:eastAsia="Arial" w:hAnsi="Arial"/>
          <w:sz w:val="16"/>
          <w:szCs w:val="16"/>
          <w:u w:val="single" w:color="auto"/>
          <w:color w:val="auto"/>
        </w:rPr>
        <w:t>3.05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3.13</w:t>
      </w:r>
      <w:r>
        <w:rPr>
          <w:rFonts w:ascii="Arial" w:cs="Arial" w:eastAsia="Arial" w:hAnsi="Arial"/>
          <w:sz w:val="16"/>
          <w:szCs w:val="16"/>
          <w:color w:val="auto"/>
        </w:rPr>
        <w:t xml:space="preserve"> of this Agreement, and in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of the Guarantee and Security Agreement, true and correct in all material respects) on and as of the date of such Loan or the date of issuance, amendment, renewal or extension of such Letter of Credit, as applicable, or, as to any such representation or warranty that refers to a specific date, as of such specific date;</w:t>
      </w:r>
    </w:p>
    <w:p>
      <w:pPr>
        <w:spacing w:after="0" w:line="157" w:lineRule="exact"/>
        <w:rPr>
          <w:rFonts w:ascii="Arial" w:cs="Arial" w:eastAsia="Arial" w:hAnsi="Arial"/>
          <w:sz w:val="16"/>
          <w:szCs w:val="16"/>
          <w:color w:val="auto"/>
        </w:rPr>
      </w:pPr>
    </w:p>
    <w:p>
      <w:pPr>
        <w:ind w:right="160" w:firstLine="906"/>
        <w:spacing w:after="0" w:line="277" w:lineRule="auto"/>
        <w:tabs>
          <w:tab w:leader="none" w:pos="1153"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at the time of and immediately after giving effect to such Loan or the issuance, amendment, renewal or extension of such Letter of Credit, as applicable, no Default shall have occurred and be continuing; and</w:t>
      </w:r>
    </w:p>
    <w:p>
      <w:pPr>
        <w:spacing w:after="0" w:line="170" w:lineRule="exact"/>
        <w:rPr>
          <w:rFonts w:ascii="Arial" w:cs="Arial" w:eastAsia="Arial" w:hAnsi="Arial"/>
          <w:sz w:val="18"/>
          <w:szCs w:val="18"/>
          <w:color w:val="auto"/>
        </w:rPr>
      </w:pPr>
    </w:p>
    <w:p>
      <w:pPr>
        <w:ind w:right="20" w:firstLine="906"/>
        <w:spacing w:after="0" w:line="257" w:lineRule="auto"/>
        <w:tabs>
          <w:tab w:leader="none" w:pos="1143"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either (i) the aggregate Covered Debt Amount (after giving effect to such extension of credit) shall not exceed the Borrowing Base reflected on the Borrowing Base Certificate most recently delivered to the Administrative Agent or (ii) the Borrower shall have delivered an updated Borrowing Base Certificate demonstrating that the Covered Debt Amount (after giving effect to such extension of credit) shall not exceed the Borrowing Base after giving effect to such extension of credit as well as any concurrent acquisitions of Portfolio Investments or payment of outstanding Loans or Other Covered Indebtedness.</w:t>
      </w:r>
    </w:p>
    <w:p>
      <w:pPr>
        <w:spacing w:after="0" w:line="188" w:lineRule="exact"/>
        <w:rPr>
          <w:sz w:val="20"/>
          <w:szCs w:val="20"/>
          <w:color w:val="auto"/>
        </w:rPr>
      </w:pPr>
    </w:p>
    <w:p>
      <w:pPr>
        <w:ind w:right="180" w:firstLine="898"/>
        <w:spacing w:after="0" w:line="259" w:lineRule="auto"/>
        <w:rPr>
          <w:sz w:val="20"/>
          <w:szCs w:val="20"/>
          <w:color w:val="auto"/>
        </w:rPr>
      </w:pPr>
      <w:r>
        <w:rPr>
          <w:rFonts w:ascii="Arial" w:cs="Arial" w:eastAsia="Arial" w:hAnsi="Arial"/>
          <w:sz w:val="18"/>
          <w:szCs w:val="18"/>
          <w:color w:val="auto"/>
        </w:rPr>
        <w:t>Each Borrowing and each issuance, amendment, renewal or extension of a Letter of Credit shall be deemed to constitute a representation and warranty by the Borrower on the date thereof as to the matters specified in the preceding sentence. For the avoidance of doubt, the conversion or continuation of a Borrowing as the same or a different Type (without an increase in the principal amount thereof) shall not be considered the making of a Loan.</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274"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AFFIRMATIVE COVENANTS</w:t>
      </w:r>
    </w:p>
    <w:p>
      <w:pPr>
        <w:spacing w:after="0" w:line="225" w:lineRule="exact"/>
        <w:rPr>
          <w:sz w:val="20"/>
          <w:szCs w:val="20"/>
          <w:color w:val="auto"/>
        </w:rPr>
      </w:pPr>
    </w:p>
    <w:p>
      <w:pPr>
        <w:jc w:val="both"/>
        <w:ind w:right="320" w:firstLine="898"/>
        <w:spacing w:after="0" w:line="263" w:lineRule="auto"/>
        <w:rPr>
          <w:sz w:val="20"/>
          <w:szCs w:val="20"/>
          <w:color w:val="auto"/>
        </w:rPr>
      </w:pPr>
      <w:r>
        <w:rPr>
          <w:rFonts w:ascii="Arial" w:cs="Arial" w:eastAsia="Arial" w:hAnsi="Arial"/>
          <w:sz w:val="18"/>
          <w:szCs w:val="18"/>
          <w:color w:val="auto"/>
        </w:rPr>
        <w:t>Until the Commitments have expired or been terminated and the principal of and interest on each Loan and all fees payable hereunder shall have been paid in full and all Letters of Credit shall have expired, been terminated, Cash Collateralized or backstopped and all LC Disbursements shall have been reimbursed, the Borrower covenants and agrees with the Lenders that:</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7"/>
          <w:szCs w:val="17"/>
          <w:color w:val="auto"/>
        </w:rPr>
        <w:t xml:space="preserve">SECTION 5.01. </w:t>
      </w:r>
      <w:r>
        <w:rPr>
          <w:rFonts w:ascii="Arial" w:cs="Arial" w:eastAsia="Arial" w:hAnsi="Arial"/>
          <w:sz w:val="17"/>
          <w:szCs w:val="17"/>
          <w:u w:val="single" w:color="auto"/>
          <w:color w:val="auto"/>
        </w:rPr>
        <w:t>Financial Statements and Other Information</w:t>
      </w:r>
      <w:r>
        <w:rPr>
          <w:rFonts w:ascii="Arial" w:cs="Arial" w:eastAsia="Arial" w:hAnsi="Arial"/>
          <w:sz w:val="17"/>
          <w:szCs w:val="17"/>
          <w:color w:val="auto"/>
        </w:rPr>
        <w:t>. The Borrower will furnish to the Administrative Agent and each Lender:</w:t>
      </w:r>
    </w:p>
    <w:p>
      <w:pPr>
        <w:spacing w:after="0" w:line="237" w:lineRule="exact"/>
        <w:rPr>
          <w:sz w:val="20"/>
          <w:szCs w:val="20"/>
          <w:color w:val="auto"/>
        </w:rPr>
      </w:pPr>
    </w:p>
    <w:p>
      <w:pPr>
        <w:ind w:right="120" w:firstLine="906"/>
        <w:spacing w:after="0" w:line="293" w:lineRule="auto"/>
        <w:tabs>
          <w:tab w:leader="none" w:pos="1143" w:val="left"/>
        </w:tabs>
        <w:numPr>
          <w:ilvl w:val="0"/>
          <w:numId w:val="105"/>
        </w:numPr>
        <w:rPr>
          <w:rFonts w:ascii="Arial" w:cs="Arial" w:eastAsia="Arial" w:hAnsi="Arial"/>
          <w:sz w:val="16"/>
          <w:szCs w:val="16"/>
          <w:color w:val="auto"/>
        </w:rPr>
      </w:pPr>
      <w:r>
        <w:rPr>
          <w:rFonts w:ascii="Arial" w:cs="Arial" w:eastAsia="Arial" w:hAnsi="Arial"/>
          <w:sz w:val="16"/>
          <w:szCs w:val="16"/>
          <w:color w:val="auto"/>
        </w:rPr>
        <w:t xml:space="preserve">within 90 days after the end of each fiscal year of the Borrower, the audited consolidated statements of assets and liabilities, operations, changes in net assets and cash flows of the Borrower and its Subsidiaries as of the end of and for such year, setting forth in each case in comparative form the figures for the previous fiscal year, all reported on by KPMG or other independent public accountants of recognized national standing to the effect that such consolidated financial statements present fairly in all material respects the financial condition and results of operations of the Borrower and its Subsidiaries on a consolidated basis in accordance with GAAP consistently applied;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requirements set forth in this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may be fulfilled by providing to the Administrative Agent and the Lenders the report of the Borrower to the SEC on Form 10-K for the applicable fiscal year;</w:t>
      </w:r>
    </w:p>
    <w:p>
      <w:pPr>
        <w:spacing w:after="0" w:line="164" w:lineRule="exact"/>
        <w:rPr>
          <w:rFonts w:ascii="Arial" w:cs="Arial" w:eastAsia="Arial" w:hAnsi="Arial"/>
          <w:sz w:val="16"/>
          <w:szCs w:val="16"/>
          <w:color w:val="auto"/>
        </w:rPr>
      </w:pPr>
    </w:p>
    <w:p>
      <w:pPr>
        <w:ind w:right="100" w:firstLine="906"/>
        <w:spacing w:after="0" w:line="271" w:lineRule="auto"/>
        <w:tabs>
          <w:tab w:leader="none" w:pos="1153" w:val="left"/>
        </w:tabs>
        <w:numPr>
          <w:ilvl w:val="0"/>
          <w:numId w:val="105"/>
        </w:numPr>
        <w:rPr>
          <w:rFonts w:ascii="Arial" w:cs="Arial" w:eastAsia="Arial" w:hAnsi="Arial"/>
          <w:sz w:val="17"/>
          <w:szCs w:val="17"/>
          <w:color w:val="auto"/>
        </w:rPr>
      </w:pPr>
      <w:r>
        <w:rPr>
          <w:rFonts w:ascii="Arial" w:cs="Arial" w:eastAsia="Arial" w:hAnsi="Arial"/>
          <w:sz w:val="17"/>
          <w:szCs w:val="17"/>
          <w:color w:val="auto"/>
        </w:rPr>
        <w:t xml:space="preserve">within 45 days after the end of each of the first three fiscal quarters of each fiscal year of the Borrower, the consolidated statements of assets and liabilities, operations, changes in net assets and cash flows of the Borrower and its Subsidiaries as of the end of and for such fiscal quarter and the then elapsed portion of the fiscal year, setting forth in each case in comparative form the figures for (or, in the case of the statements of assets and liabilities, operations, changes in net assets and cash flows, as of the end of) the corresponding period or periods of the previous fiscal year, all certified by a Financial Officer of the Borrower as presenting fairly in all material respects the financial condition and results of operations of the Borrower and its Subsidiaries on a consolidated basis in accordance with GAAP consistently applied, subject to normal year-end audit adjustments and the absence of footnotes;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requirements set forth in this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may be fulfilled by providing to the Lenders the report of the Borrower to the SEC on Form 10-Q for the applicable quarterly period;</w:t>
      </w:r>
    </w:p>
    <w:p>
      <w:pPr>
        <w:spacing w:after="0" w:line="178" w:lineRule="exact"/>
        <w:rPr>
          <w:rFonts w:ascii="Arial" w:cs="Arial" w:eastAsia="Arial" w:hAnsi="Arial"/>
          <w:sz w:val="17"/>
          <w:szCs w:val="17"/>
          <w:color w:val="auto"/>
        </w:rPr>
      </w:pPr>
    </w:p>
    <w:p>
      <w:pPr>
        <w:ind w:right="80" w:firstLine="906"/>
        <w:spacing w:after="0" w:line="254" w:lineRule="auto"/>
        <w:tabs>
          <w:tab w:leader="none" w:pos="1143"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concurrently with any delivery of financial statements under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Section, a certificate of a Financial Officer of the Borrower (i) certifying that such statements are consistent with the financial statements filed by the Borrower with the Securities and Exchange Commission, (ii) certifying as to whether the Borrower has knowledge that a Default has occurred during the applicable period and, if a Default has occurred, specifying the details thereof and any action taken or proposed to be taken with respect thereto, (iii) setting forth reasonably detailed calculations demonstrating compliance with </w:t>
      </w:r>
      <w:r>
        <w:rPr>
          <w:rFonts w:ascii="Arial" w:cs="Arial" w:eastAsia="Arial" w:hAnsi="Arial"/>
          <w:sz w:val="18"/>
          <w:szCs w:val="18"/>
          <w:u w:val="single" w:color="auto"/>
          <w:color w:val="auto"/>
        </w:rPr>
        <w:t>Sections 6.01</w:t>
      </w:r>
      <w:r>
        <w:rPr>
          <w:rFonts w:ascii="Arial" w:cs="Arial" w:eastAsia="Arial" w:hAnsi="Arial"/>
          <w:sz w:val="18"/>
          <w:szCs w:val="18"/>
          <w:color w:val="auto"/>
        </w:rPr>
        <w:t xml:space="preserve">, </w:t>
      </w:r>
      <w:r>
        <w:rPr>
          <w:rFonts w:ascii="Arial" w:cs="Arial" w:eastAsia="Arial" w:hAnsi="Arial"/>
          <w:sz w:val="18"/>
          <w:szCs w:val="18"/>
          <w:u w:val="single" w:color="auto"/>
          <w:color w:val="auto"/>
        </w:rPr>
        <w:t>6.02</w:t>
      </w:r>
      <w:r>
        <w:rPr>
          <w:rFonts w:ascii="Arial" w:cs="Arial" w:eastAsia="Arial" w:hAnsi="Arial"/>
          <w:sz w:val="18"/>
          <w:szCs w:val="18"/>
          <w:color w:val="auto"/>
        </w:rPr>
        <w:t xml:space="preserve">, </w:t>
      </w:r>
      <w:r>
        <w:rPr>
          <w:rFonts w:ascii="Arial" w:cs="Arial" w:eastAsia="Arial" w:hAnsi="Arial"/>
          <w:sz w:val="18"/>
          <w:szCs w:val="18"/>
          <w:u w:val="single" w:color="auto"/>
          <w:color w:val="auto"/>
        </w:rPr>
        <w:t>6.04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6.07</w:t>
      </w:r>
      <w:r>
        <w:rPr>
          <w:rFonts w:ascii="Arial" w:cs="Arial" w:eastAsia="Arial" w:hAnsi="Arial"/>
          <w:sz w:val="18"/>
          <w:szCs w:val="18"/>
          <w:color w:val="auto"/>
        </w:rPr>
        <w:t xml:space="preserve"> and (iv) stating whether any change in GAAP as applied by (or in the application of GAAP by) the Borrower has occurred since the Effective Date and, if any such change has occurred, specifying the effect of such change on the financial statements accompanying such certificate;</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274" w:right="339" w:bottom="1440" w:gutter="0" w:footer="0" w:header="0"/>
        </w:sectPr>
      </w:pPr>
    </w:p>
    <w:bookmarkStart w:id="87" w:name="page88"/>
    <w:bookmarkEnd w:id="87"/>
    <w:p>
      <w:pPr>
        <w:ind w:right="80" w:firstLine="906"/>
        <w:spacing w:after="0" w:line="308" w:lineRule="auto"/>
        <w:tabs>
          <w:tab w:leader="none" w:pos="1153" w:val="left"/>
        </w:tabs>
        <w:numPr>
          <w:ilvl w:val="0"/>
          <w:numId w:val="10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 soon as available and in any event not later than 20 days after the end of each monthly accounting period (ending on the last day of each calendar month) of the Borrower and its Subsidiaries, a Borrowing Base Certificate as at the last day of such accounting period;</w:t>
      </w:r>
    </w:p>
    <w:p>
      <w:pPr>
        <w:spacing w:after="0" w:line="146" w:lineRule="exact"/>
        <w:rPr>
          <w:rFonts w:ascii="Arial" w:cs="Arial" w:eastAsia="Arial" w:hAnsi="Arial"/>
          <w:sz w:val="17"/>
          <w:szCs w:val="17"/>
          <w:color w:val="auto"/>
        </w:rPr>
      </w:pPr>
    </w:p>
    <w:p>
      <w:pPr>
        <w:ind w:right="60" w:firstLine="906"/>
        <w:spacing w:after="0" w:line="279" w:lineRule="auto"/>
        <w:tabs>
          <w:tab w:leader="none" w:pos="1143" w:val="left"/>
        </w:tabs>
        <w:numPr>
          <w:ilvl w:val="0"/>
          <w:numId w:val="106"/>
        </w:numPr>
        <w:rPr>
          <w:rFonts w:ascii="Arial" w:cs="Arial" w:eastAsia="Arial" w:hAnsi="Arial"/>
          <w:sz w:val="17"/>
          <w:szCs w:val="17"/>
          <w:color w:val="auto"/>
        </w:rPr>
      </w:pPr>
      <w:r>
        <w:rPr>
          <w:rFonts w:ascii="Arial" w:cs="Arial" w:eastAsia="Arial" w:hAnsi="Arial"/>
          <w:sz w:val="17"/>
          <w:szCs w:val="17"/>
          <w:color w:val="auto"/>
        </w:rPr>
        <w:t>promptly but no later than five Business Days after the Borrower shall at any time have knowledge that there is a Borrowing Base Deficiency, a Borrowing Base Certificate as at the date the Borrower has knowledge of such Borrowing Base Deficiency indicating the amount of the Borrowing Base Deficiency as at the date the Borrower obtained knowledge of such deficiency and the amount of the Borrowing Base Deficiency as of the date not earlier than one Business Day prior to the date the Borrowing Base Certificate is delivered pursuant to this paragraph;</w:t>
      </w:r>
    </w:p>
    <w:p>
      <w:pPr>
        <w:spacing w:after="0" w:line="171" w:lineRule="exact"/>
        <w:rPr>
          <w:rFonts w:ascii="Arial" w:cs="Arial" w:eastAsia="Arial" w:hAnsi="Arial"/>
          <w:sz w:val="17"/>
          <w:szCs w:val="17"/>
          <w:color w:val="auto"/>
        </w:rPr>
      </w:pPr>
    </w:p>
    <w:p>
      <w:pPr>
        <w:ind w:right="140" w:firstLine="906"/>
        <w:spacing w:after="0" w:line="263" w:lineRule="auto"/>
        <w:tabs>
          <w:tab w:leader="none" w:pos="1123"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promptly upon receipt thereof copies of all significant reports submitted by the Borrower’s independent public accountants in connection with each annual, interim or special audit or review of any type of the financial statements or related internal control systems of the Borrower or any of its Subsidiaries delivered by such accountants to the management or board of directors of the Borrower;</w:t>
      </w:r>
    </w:p>
    <w:p>
      <w:pPr>
        <w:spacing w:after="0" w:line="183" w:lineRule="exact"/>
        <w:rPr>
          <w:rFonts w:ascii="Arial" w:cs="Arial" w:eastAsia="Arial" w:hAnsi="Arial"/>
          <w:sz w:val="18"/>
          <w:szCs w:val="18"/>
          <w:color w:val="auto"/>
        </w:rPr>
      </w:pPr>
    </w:p>
    <w:p>
      <w:pPr>
        <w:ind w:right="220" w:firstLine="906"/>
        <w:spacing w:after="0" w:line="263" w:lineRule="auto"/>
        <w:tabs>
          <w:tab w:leader="none" w:pos="1153"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promptly after the same become publicly available, copies of all periodic and other reports, proxy statements and other materials filed by the Borrower or any of its Subsidiaries with the Securities and Exchange Commission, or any Governmental Authority succeeding to any or all of the functions of said Commission, or with any national securities exchange, as the case may be; and</w:t>
      </w:r>
    </w:p>
    <w:p>
      <w:pPr>
        <w:spacing w:after="0" w:line="183" w:lineRule="exact"/>
        <w:rPr>
          <w:rFonts w:ascii="Arial" w:cs="Arial" w:eastAsia="Arial" w:hAnsi="Arial"/>
          <w:sz w:val="18"/>
          <w:szCs w:val="18"/>
          <w:color w:val="auto"/>
        </w:rPr>
      </w:pPr>
    </w:p>
    <w:p>
      <w:pPr>
        <w:jc w:val="both"/>
        <w:ind w:right="300" w:firstLine="906"/>
        <w:spacing w:after="0" w:line="263" w:lineRule="auto"/>
        <w:tabs>
          <w:tab w:leader="none" w:pos="1153"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promptly following any request therefor, such other information regarding the operations, business affairs and financial condition of the Borrower or any of its Subsidiaries, or compliance with the terms of this Agreement and the other Loan Documents, as the Administrative Agent or any Lender may reasonably request.</w:t>
      </w:r>
    </w:p>
    <w:p>
      <w:pPr>
        <w:spacing w:after="0" w:line="183" w:lineRule="exact"/>
        <w:rPr>
          <w:rFonts w:ascii="Arial" w:cs="Arial" w:eastAsia="Arial" w:hAnsi="Arial"/>
          <w:sz w:val="18"/>
          <w:szCs w:val="18"/>
          <w:color w:val="auto"/>
        </w:rPr>
      </w:pPr>
    </w:p>
    <w:p>
      <w:pPr>
        <w:ind w:right="140" w:firstLine="906"/>
        <w:spacing w:after="0" w:line="290" w:lineRule="auto"/>
        <w:tabs>
          <w:tab w:leader="none" w:pos="1113" w:val="left"/>
        </w:tabs>
        <w:numPr>
          <w:ilvl w:val="0"/>
          <w:numId w:val="106"/>
        </w:numPr>
        <w:rPr>
          <w:rFonts w:ascii="Arial" w:cs="Arial" w:eastAsia="Arial" w:hAnsi="Arial"/>
          <w:sz w:val="16"/>
          <w:szCs w:val="16"/>
          <w:color w:val="auto"/>
        </w:rPr>
      </w:pPr>
      <w:r>
        <w:rPr>
          <w:rFonts w:ascii="Arial" w:cs="Arial" w:eastAsia="Arial" w:hAnsi="Arial"/>
          <w:sz w:val="16"/>
          <w:szCs w:val="16"/>
          <w:color w:val="auto"/>
        </w:rPr>
        <w:t xml:space="preserve">Borrower and each Lender acknowledge that certain of the Lenders may be Public Lenders and, if documents or notices required to be delivered pursuant to this </w:t>
      </w:r>
      <w:r>
        <w:rPr>
          <w:rFonts w:ascii="Arial" w:cs="Arial" w:eastAsia="Arial" w:hAnsi="Arial"/>
          <w:sz w:val="16"/>
          <w:szCs w:val="16"/>
          <w:u w:val="single" w:color="auto"/>
          <w:color w:val="auto"/>
        </w:rPr>
        <w:t>Section 5.01</w:t>
      </w:r>
      <w:r>
        <w:rPr>
          <w:rFonts w:ascii="Arial" w:cs="Arial" w:eastAsia="Arial" w:hAnsi="Arial"/>
          <w:sz w:val="16"/>
          <w:szCs w:val="16"/>
          <w:color w:val="auto"/>
        </w:rPr>
        <w:t xml:space="preserve"> or otherwise are being distributed through IntraLinks/IntraAgency, SyndTrak or another relevant website or other information platform (the “Platform”), any document or notice that Borrower has indicated contains Non-Public Information shall not be posted by Administrative Agent on that portion of the Platform designated for such Public Lenders. Borrower agrees to clearly designate all information provided to Administrative Agent by or on behalf of Borrower or any of its Subsidiaries which is suitable to make available to Public Lenders. If Borrower has not indicated whether a document or notice delivered pursuant to this </w:t>
      </w:r>
      <w:r>
        <w:rPr>
          <w:rFonts w:ascii="Arial" w:cs="Arial" w:eastAsia="Arial" w:hAnsi="Arial"/>
          <w:sz w:val="16"/>
          <w:szCs w:val="16"/>
          <w:u w:val="single" w:color="auto"/>
          <w:color w:val="auto"/>
        </w:rPr>
        <w:t>Section 5.01</w:t>
      </w:r>
      <w:r>
        <w:rPr>
          <w:rFonts w:ascii="Arial" w:cs="Arial" w:eastAsia="Arial" w:hAnsi="Arial"/>
          <w:sz w:val="16"/>
          <w:szCs w:val="16"/>
          <w:color w:val="auto"/>
        </w:rPr>
        <w:t xml:space="preserve"> contains Non-Public Information, the Administrative Agent reserves the right to post such document or notice solely on that portion of the Platform designated for Lenders who wish to receive material Non-Public Information with respect to Borrower, its Subsidiaries and their Securities (as such term is defined in </w:t>
      </w:r>
      <w:r>
        <w:rPr>
          <w:rFonts w:ascii="Arial" w:cs="Arial" w:eastAsia="Arial" w:hAnsi="Arial"/>
          <w:sz w:val="16"/>
          <w:szCs w:val="16"/>
          <w:u w:val="single" w:color="auto"/>
          <w:color w:val="auto"/>
        </w:rPr>
        <w:t>Section 5.13</w:t>
      </w:r>
      <w:r>
        <w:rPr>
          <w:rFonts w:ascii="Arial" w:cs="Arial" w:eastAsia="Arial" w:hAnsi="Arial"/>
          <w:sz w:val="16"/>
          <w:szCs w:val="16"/>
          <w:color w:val="auto"/>
        </w:rPr>
        <w:t xml:space="preserve"> of this Agreement).</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274" w:right="339" w:bottom="1440" w:gutter="0" w:footer="0" w:header="0"/>
        </w:sectPr>
      </w:pPr>
    </w:p>
    <w:bookmarkStart w:id="88" w:name="page89"/>
    <w:bookmarkEnd w:id="88"/>
    <w:p>
      <w:pPr>
        <w:ind w:right="440" w:firstLine="906"/>
        <w:spacing w:after="0" w:line="286" w:lineRule="auto"/>
        <w:tabs>
          <w:tab w:leader="none" w:pos="1113" w:val="left"/>
        </w:tabs>
        <w:numPr>
          <w:ilvl w:val="0"/>
          <w:numId w:val="10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Notwithstanding anything to the contrary herein, the requirements to deliver documents set forth in </w:t>
      </w:r>
      <w:r>
        <w:rPr>
          <w:rFonts w:ascii="Arial" w:cs="Arial" w:eastAsia="Arial" w:hAnsi="Arial"/>
          <w:sz w:val="17"/>
          <w:szCs w:val="17"/>
          <w:u w:val="single" w:color="auto"/>
          <w:color w:val="auto"/>
        </w:rPr>
        <w:t>Section 5.01(a)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(g)</w:t>
      </w:r>
      <w:r>
        <w:rPr>
          <w:rFonts w:ascii="Arial" w:cs="Arial" w:eastAsia="Arial" w:hAnsi="Arial"/>
          <w:sz w:val="17"/>
          <w:szCs w:val="17"/>
          <w:color w:val="auto"/>
        </w:rPr>
        <w:t xml:space="preserve"> will be fulfilled by filing by the Borrower of the applicable documents for public availability on the SEC’s Electronic Data Gathering and Retrieval system; provided, that the Borrower shall notify the Administrative Agent (by telecopier or electronic mail) of the posting of any such documents.</w:t>
      </w:r>
    </w:p>
    <w:p>
      <w:pPr>
        <w:spacing w:after="0" w:line="165" w:lineRule="exact"/>
        <w:rPr>
          <w:sz w:val="20"/>
          <w:szCs w:val="20"/>
          <w:color w:val="auto"/>
        </w:rPr>
      </w:pPr>
    </w:p>
    <w:p>
      <w:pPr>
        <w:ind w:right="120" w:firstLine="898"/>
        <w:spacing w:after="0" w:line="277"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Notices of Material Events</w:t>
      </w:r>
      <w:r>
        <w:rPr>
          <w:rFonts w:ascii="Arial" w:cs="Arial" w:eastAsia="Arial" w:hAnsi="Arial"/>
          <w:sz w:val="18"/>
          <w:szCs w:val="18"/>
          <w:color w:val="auto"/>
        </w:rPr>
        <w:t>. The Borrower will furnish to the Administrative Agent and each Lender prompt written notice of the following:</w:t>
      </w:r>
    </w:p>
    <w:p>
      <w:pPr>
        <w:spacing w:after="0" w:line="170" w:lineRule="exact"/>
        <w:rPr>
          <w:sz w:val="20"/>
          <w:szCs w:val="20"/>
          <w:color w:val="auto"/>
        </w:rPr>
      </w:pPr>
    </w:p>
    <w:p>
      <w:pPr>
        <w:ind w:left="1160" w:hanging="254"/>
        <w:spacing w:after="0"/>
        <w:tabs>
          <w:tab w:leader="none" w:pos="11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occurrence of any Default;</w:t>
      </w:r>
    </w:p>
    <w:p>
      <w:pPr>
        <w:spacing w:after="0" w:line="225" w:lineRule="exact"/>
        <w:rPr>
          <w:rFonts w:ascii="Arial" w:cs="Arial" w:eastAsia="Arial" w:hAnsi="Arial"/>
          <w:sz w:val="18"/>
          <w:szCs w:val="18"/>
          <w:color w:val="auto"/>
        </w:rPr>
      </w:pPr>
    </w:p>
    <w:p>
      <w:pPr>
        <w:ind w:right="20" w:firstLine="906"/>
        <w:spacing w:after="0" w:line="308" w:lineRule="auto"/>
        <w:tabs>
          <w:tab w:leader="none" w:pos="1153"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filing or commencement of any action, suit or proceeding by or before any arbitrator or Governmental Authority against or affecting the Borrower or any of its Affiliates that, if adversely determined, could reasonably be expected to result in a Material Adverse Effect;</w:t>
      </w:r>
    </w:p>
    <w:p>
      <w:pPr>
        <w:spacing w:after="0" w:line="146" w:lineRule="exact"/>
        <w:rPr>
          <w:rFonts w:ascii="Arial" w:cs="Arial" w:eastAsia="Arial" w:hAnsi="Arial"/>
          <w:sz w:val="17"/>
          <w:szCs w:val="17"/>
          <w:color w:val="auto"/>
        </w:rPr>
      </w:pPr>
    </w:p>
    <w:p>
      <w:pPr>
        <w:ind w:right="120" w:firstLine="906"/>
        <w:spacing w:after="0" w:line="277" w:lineRule="auto"/>
        <w:tabs>
          <w:tab w:leader="none" w:pos="1143"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occurrence of any ERISA Event that, alone or together with any other ERISA Events that have occurred, could reasonably be expected to result in liability of the Borrower and its Subsidiaries in an aggregate amount exceeding $7,500,000; and</w:t>
      </w:r>
    </w:p>
    <w:p>
      <w:pPr>
        <w:spacing w:after="0" w:line="170" w:lineRule="exact"/>
        <w:rPr>
          <w:rFonts w:ascii="Arial" w:cs="Arial" w:eastAsia="Arial" w:hAnsi="Arial"/>
          <w:sz w:val="18"/>
          <w:szCs w:val="18"/>
          <w:color w:val="auto"/>
        </w:rPr>
      </w:pPr>
    </w:p>
    <w:p>
      <w:pPr>
        <w:ind w:left="1160" w:hanging="254"/>
        <w:spacing w:after="0"/>
        <w:tabs>
          <w:tab w:leader="none" w:pos="11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other development that results in, or could reasonably be expected to result in, a Material Adverse Effect.</w:t>
      </w:r>
    </w:p>
    <w:p>
      <w:pPr>
        <w:spacing w:after="0" w:line="225" w:lineRule="exact"/>
        <w:rPr>
          <w:sz w:val="20"/>
          <w:szCs w:val="20"/>
          <w:color w:val="auto"/>
        </w:rPr>
      </w:pPr>
    </w:p>
    <w:p>
      <w:pPr>
        <w:ind w:right="100" w:firstLine="898"/>
        <w:spacing w:after="0" w:line="342" w:lineRule="auto"/>
        <w:rPr>
          <w:sz w:val="20"/>
          <w:szCs w:val="20"/>
          <w:color w:val="auto"/>
        </w:rPr>
      </w:pPr>
      <w:r>
        <w:rPr>
          <w:rFonts w:ascii="Arial" w:cs="Arial" w:eastAsia="Arial" w:hAnsi="Arial"/>
          <w:sz w:val="16"/>
          <w:szCs w:val="16"/>
          <w:color w:val="auto"/>
        </w:rPr>
        <w:t>Each notice delivered under this Section shall be accompanied by a statement of a Financial Officer or other executive officer of the Borrower setting forth the details of the event or development requiring such notice and any action taken or proposed to be taken with respect thereto.</w:t>
      </w:r>
    </w:p>
    <w:p>
      <w:pPr>
        <w:spacing w:after="0" w:line="124" w:lineRule="exact"/>
        <w:rPr>
          <w:sz w:val="20"/>
          <w:szCs w:val="20"/>
          <w:color w:val="auto"/>
        </w:rPr>
      </w:pPr>
    </w:p>
    <w:p>
      <w:pPr>
        <w:ind w:right="180" w:firstLine="898"/>
        <w:spacing w:after="0" w:line="259"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Existence; Conduct of Business</w:t>
      </w:r>
      <w:r>
        <w:rPr>
          <w:rFonts w:ascii="Arial" w:cs="Arial" w:eastAsia="Arial" w:hAnsi="Arial"/>
          <w:sz w:val="18"/>
          <w:szCs w:val="18"/>
          <w:color w:val="auto"/>
        </w:rPr>
        <w:t xml:space="preserve">. The Borrower will, and will cause each of its Subsidiaries (other than Immaterial Subsidiaries) to, do or cause to be done all things necessary to preserve, renew and keep in full force and effect its legal existence and the rights, licenses, permits, privileges and franchises material to the conduct of its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prohibit any merger, consolidation, liquidation or dissolution permitted under </w:t>
      </w:r>
      <w:r>
        <w:rPr>
          <w:rFonts w:ascii="Arial" w:cs="Arial" w:eastAsia="Arial" w:hAnsi="Arial"/>
          <w:sz w:val="18"/>
          <w:szCs w:val="18"/>
          <w:u w:val="single" w:color="auto"/>
          <w:color w:val="auto"/>
        </w:rPr>
        <w:t>Section 6.03</w:t>
      </w:r>
      <w:r>
        <w:rPr>
          <w:rFonts w:ascii="Arial" w:cs="Arial" w:eastAsia="Arial" w:hAnsi="Arial"/>
          <w:sz w:val="18"/>
          <w:szCs w:val="18"/>
          <w:color w:val="auto"/>
        </w:rPr>
        <w:t>.</w:t>
      </w:r>
    </w:p>
    <w:p>
      <w:pPr>
        <w:spacing w:after="0" w:line="187" w:lineRule="exact"/>
        <w:rPr>
          <w:sz w:val="20"/>
          <w:szCs w:val="20"/>
          <w:color w:val="auto"/>
        </w:rPr>
      </w:pPr>
    </w:p>
    <w:p>
      <w:pPr>
        <w:ind w:right="20" w:firstLine="898"/>
        <w:spacing w:after="0" w:line="275" w:lineRule="auto"/>
        <w:rPr>
          <w:sz w:val="20"/>
          <w:szCs w:val="20"/>
          <w:color w:val="auto"/>
        </w:rPr>
      </w:pPr>
      <w:r>
        <w:rPr>
          <w:rFonts w:ascii="Arial" w:cs="Arial" w:eastAsia="Arial" w:hAnsi="Arial"/>
          <w:sz w:val="17"/>
          <w:szCs w:val="17"/>
          <w:color w:val="auto"/>
        </w:rPr>
        <w:t xml:space="preserve">SECTION 5.04. </w:t>
      </w:r>
      <w:r>
        <w:rPr>
          <w:rFonts w:ascii="Arial" w:cs="Arial" w:eastAsia="Arial" w:hAnsi="Arial"/>
          <w:sz w:val="17"/>
          <w:szCs w:val="17"/>
          <w:u w:val="single" w:color="auto"/>
          <w:color w:val="auto"/>
        </w:rPr>
        <w:t>Payment of Obligations</w:t>
      </w:r>
      <w:r>
        <w:rPr>
          <w:rFonts w:ascii="Arial" w:cs="Arial" w:eastAsia="Arial" w:hAnsi="Arial"/>
          <w:sz w:val="17"/>
          <w:szCs w:val="17"/>
          <w:color w:val="auto"/>
        </w:rPr>
        <w:t>. The Borrower will, and will cause each of its Subsidiaries to, pay its obligations, including income tax and other material tax liabilities and material contractual obligations, that, if not paid, could reasonably be expected to result in a Material Adverse Effect before the same shall become delinquent or in default, except where (a) the validity or amount thereof is being contested in good faith by appropriate proceedings, (b) the Borrower or such Subsidiary has set aside on its books adequate reserves with respect thereto in accordance with GAAP and (c) the failure to make payment pending such contest could not reasonably be expected to result in a Material Adverse Effect.</w:t>
      </w:r>
    </w:p>
    <w:p>
      <w:pPr>
        <w:spacing w:after="0" w:line="176" w:lineRule="exact"/>
        <w:rPr>
          <w:sz w:val="20"/>
          <w:szCs w:val="20"/>
          <w:color w:val="auto"/>
        </w:rPr>
      </w:pPr>
    </w:p>
    <w:p>
      <w:pPr>
        <w:ind w:right="80" w:firstLine="898"/>
        <w:spacing w:after="0" w:line="279" w:lineRule="auto"/>
        <w:rPr>
          <w:sz w:val="20"/>
          <w:szCs w:val="20"/>
          <w:color w:val="auto"/>
        </w:rPr>
      </w:pPr>
      <w:r>
        <w:rPr>
          <w:rFonts w:ascii="Arial" w:cs="Arial" w:eastAsia="Arial" w:hAnsi="Arial"/>
          <w:sz w:val="17"/>
          <w:szCs w:val="17"/>
          <w:color w:val="auto"/>
        </w:rPr>
        <w:t xml:space="preserve">SECTION 5.05. </w:t>
      </w:r>
      <w:r>
        <w:rPr>
          <w:rFonts w:ascii="Arial" w:cs="Arial" w:eastAsia="Arial" w:hAnsi="Arial"/>
          <w:sz w:val="17"/>
          <w:szCs w:val="17"/>
          <w:u w:val="single" w:color="auto"/>
          <w:color w:val="auto"/>
        </w:rPr>
        <w:t>Maintenance of Properties; Insurance</w:t>
      </w:r>
      <w:r>
        <w:rPr>
          <w:rFonts w:ascii="Arial" w:cs="Arial" w:eastAsia="Arial" w:hAnsi="Arial"/>
          <w:sz w:val="17"/>
          <w:szCs w:val="17"/>
          <w:color w:val="auto"/>
        </w:rPr>
        <w:t>. The Borrower will, and will cause each of its Subsidiaries (other than Immaterial Subsidiaries) to, (a) keep and maintain all property material to the conduct of its business in good working order and condition, ordinary wear and tear excepted, and (b) maintain, with financially sound and reputable insurance companies, insurance in such amounts and against such risks as are customarily maintained by companies engaged in the same or similar businesses operating in the same or similar locations.</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274" w:right="339" w:bottom="1440" w:gutter="0" w:footer="0" w:header="0"/>
        </w:sectPr>
      </w:pPr>
    </w:p>
    <w:bookmarkStart w:id="89" w:name="page90"/>
    <w:bookmarkEnd w:id="89"/>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5.06. </w:t>
      </w:r>
      <w:r>
        <w:rPr>
          <w:rFonts w:ascii="Arial" w:cs="Arial" w:eastAsia="Arial" w:hAnsi="Arial"/>
          <w:sz w:val="18"/>
          <w:szCs w:val="18"/>
          <w:u w:val="single" w:color="auto"/>
          <w:color w:val="auto"/>
        </w:rPr>
        <w:t>Books and Records; Inspection and Audit Rights</w:t>
      </w:r>
      <w:r>
        <w:rPr>
          <w:rFonts w:ascii="Arial" w:cs="Arial" w:eastAsia="Arial" w:hAnsi="Arial"/>
          <w:sz w:val="18"/>
          <w:szCs w:val="18"/>
          <w:color w:val="auto"/>
        </w:rPr>
        <w:t>.</w:t>
      </w:r>
    </w:p>
    <w:p>
      <w:pPr>
        <w:spacing w:after="0" w:line="225" w:lineRule="exact"/>
        <w:rPr>
          <w:sz w:val="20"/>
          <w:szCs w:val="20"/>
          <w:color w:val="auto"/>
        </w:rPr>
      </w:pPr>
    </w:p>
    <w:p>
      <w:pPr>
        <w:ind w:firstLine="906"/>
        <w:spacing w:after="0" w:line="254" w:lineRule="auto"/>
        <w:tabs>
          <w:tab w:leader="none" w:pos="1143"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Books and Records; Inspection Rights</w:t>
      </w:r>
      <w:r>
        <w:rPr>
          <w:rFonts w:ascii="Arial" w:cs="Arial" w:eastAsia="Arial" w:hAnsi="Arial"/>
          <w:sz w:val="18"/>
          <w:szCs w:val="18"/>
          <w:color w:val="auto"/>
        </w:rPr>
        <w:t xml:space="preserve">. The Borrower will, and will cause each of its Subsidiaries to, keep books of record and account in accordance with GAAP. The Borrower will, and will cause each of its Subsidiaries to, permit any representatives designated by the Administrative Agent or any Lender, upon reasonable prior notice, to visit and inspect its properties during business hours, to examine and make extracts from its books and records, and to discuss its affairs, finances and condition with its officers and independent accountants, all at such reasonable times and as often as reasonably requested, in each case, to the extent such inspection or requests for such information are reasonable and such information can be provided or discussed without violation of law, rule, regulation or contract;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or such Subsidiary shall be entitled to have its representatives and advisors present during any inspection of its books and records.</w:t>
      </w:r>
    </w:p>
    <w:p>
      <w:pPr>
        <w:spacing w:after="0" w:line="194" w:lineRule="exact"/>
        <w:rPr>
          <w:rFonts w:ascii="Arial" w:cs="Arial" w:eastAsia="Arial" w:hAnsi="Arial"/>
          <w:sz w:val="18"/>
          <w:szCs w:val="18"/>
          <w:color w:val="auto"/>
        </w:rPr>
      </w:pPr>
    </w:p>
    <w:p>
      <w:pPr>
        <w:ind w:right="80" w:firstLine="906"/>
        <w:spacing w:after="0" w:line="270" w:lineRule="auto"/>
        <w:tabs>
          <w:tab w:leader="none" w:pos="1153" w:val="left"/>
        </w:tabs>
        <w:numPr>
          <w:ilvl w:val="0"/>
          <w:numId w:val="109"/>
        </w:numPr>
        <w:rPr>
          <w:rFonts w:ascii="Arial" w:cs="Arial" w:eastAsia="Arial" w:hAnsi="Arial"/>
          <w:sz w:val="17"/>
          <w:szCs w:val="17"/>
          <w:color w:val="auto"/>
        </w:rPr>
      </w:pPr>
      <w:r>
        <w:rPr>
          <w:rFonts w:ascii="Arial" w:cs="Arial" w:eastAsia="Arial" w:hAnsi="Arial"/>
          <w:sz w:val="17"/>
          <w:szCs w:val="17"/>
          <w:u w:val="single" w:color="auto"/>
          <w:color w:val="auto"/>
        </w:rPr>
        <w:t>Audit Rights</w:t>
      </w:r>
      <w:r>
        <w:rPr>
          <w:rFonts w:ascii="Arial" w:cs="Arial" w:eastAsia="Arial" w:hAnsi="Arial"/>
          <w:sz w:val="17"/>
          <w:szCs w:val="17"/>
          <w:color w:val="auto"/>
        </w:rPr>
        <w:t xml:space="preserve">. The Borrower will, and will cause each of its Subsidiaries to, permit any representatives designated by Administrative Agent (including any consultants, accountants, lawyers and appraisers retained by the Administrative Agent) to conduct evaluations and appraisals of the Borrower’s computation of the Borrowing Base and the assets included in the Borrowing Base, all at such reasonable times and as often as reasonably requested. The Borrower shall pay the reasonable fees and expenses of any representatives retained by the Administrative Agent to conduct any such evaluation or appraisal;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shall not be required to pay such fees and expenses for more than one such evaluation or appraisal during any calendar year unless an Event of Default has occurred and is continuing at the time of any subsequent evaluation or appraisal during such calendar year. The Borrower also agrees to modify or adjust the computation of the Borrowing Base to the extent required by the Administrative Agent or the Required Lenders as a result of any such evaluation or appraisal;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Borrower demonstrates that such evaluation or appraisal is incorrect, the Borrower shall be permitted to re-adjust its computation of the Borrowing Base.</w:t>
      </w:r>
    </w:p>
    <w:p>
      <w:pPr>
        <w:spacing w:after="0" w:line="181" w:lineRule="exact"/>
        <w:rPr>
          <w:sz w:val="20"/>
          <w:szCs w:val="20"/>
          <w:color w:val="auto"/>
        </w:rPr>
      </w:pPr>
    </w:p>
    <w:p>
      <w:pPr>
        <w:ind w:right="40" w:firstLine="898"/>
        <w:spacing w:after="0" w:line="296" w:lineRule="auto"/>
        <w:rPr>
          <w:sz w:val="20"/>
          <w:szCs w:val="20"/>
          <w:color w:val="auto"/>
        </w:rPr>
      </w:pPr>
      <w:r>
        <w:rPr>
          <w:rFonts w:ascii="Arial" w:cs="Arial" w:eastAsia="Arial" w:hAnsi="Arial"/>
          <w:sz w:val="16"/>
          <w:szCs w:val="16"/>
          <w:color w:val="auto"/>
        </w:rPr>
        <w:t xml:space="preserve">SECTION 5.07. </w:t>
      </w:r>
      <w:r>
        <w:rPr>
          <w:rFonts w:ascii="Arial" w:cs="Arial" w:eastAsia="Arial" w:hAnsi="Arial"/>
          <w:sz w:val="16"/>
          <w:szCs w:val="16"/>
          <w:u w:val="single" w:color="auto"/>
          <w:color w:val="auto"/>
        </w:rPr>
        <w:t>Compliance with Laws</w:t>
      </w:r>
      <w:r>
        <w:rPr>
          <w:rFonts w:ascii="Arial" w:cs="Arial" w:eastAsia="Arial" w:hAnsi="Arial"/>
          <w:sz w:val="16"/>
          <w:szCs w:val="16"/>
          <w:color w:val="auto"/>
        </w:rPr>
        <w:t>. The Borrower will, and will cause each of its Subsidiaries to, comply with all laws, rules, regulations, including the Investment Company Act, and orders of any Governmental Authority applicable to it or its property, except where the failure to do so, individually or in the aggregate, could not reasonably be expected to result in a Material Adverse Effect. Without limiting the generality of the foregoing, the Borrower will, and will cause its Subsidiaries to, conduct its business and other activities in compliance in all material respects with the provisions of the Investment Company Act and any applicable rules, regulations or orders issued by the Securities and Exchange Commission thereunder.</w:t>
      </w:r>
    </w:p>
    <w:p>
      <w:pPr>
        <w:spacing w:after="0" w:line="16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Certain Obligations Respecting Subsidiaries; Further Assurances</w:t>
      </w:r>
      <w:r>
        <w:rPr>
          <w:rFonts w:ascii="Arial" w:cs="Arial" w:eastAsia="Arial" w:hAnsi="Arial"/>
          <w:sz w:val="18"/>
          <w:szCs w:val="18"/>
          <w:color w:val="auto"/>
        </w:rPr>
        <w:t>.</w:t>
      </w:r>
    </w:p>
    <w:p>
      <w:pPr>
        <w:spacing w:after="0" w:line="225" w:lineRule="exact"/>
        <w:rPr>
          <w:sz w:val="20"/>
          <w:szCs w:val="20"/>
          <w:color w:val="auto"/>
        </w:rPr>
      </w:pPr>
    </w:p>
    <w:p>
      <w:pPr>
        <w:ind w:right="420" w:firstLine="906"/>
        <w:spacing w:after="0" w:line="277" w:lineRule="auto"/>
        <w:tabs>
          <w:tab w:leader="none" w:pos="1143"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Subsidiary Guarantors</w:t>
      </w:r>
      <w:r>
        <w:rPr>
          <w:rFonts w:ascii="Arial" w:cs="Arial" w:eastAsia="Arial" w:hAnsi="Arial"/>
          <w:sz w:val="18"/>
          <w:szCs w:val="18"/>
          <w:color w:val="auto"/>
        </w:rPr>
        <w:t>. In the event that the Borrower or any of its Subsidiaries shall form or acquire any new Subsidiary (other than a Financing Subsidiary or a Foreign Subsidiary) the Borrower will cause such new Subsidiary to become a</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274" w:right="339" w:bottom="1440" w:gutter="0" w:footer="0" w:header="0"/>
        </w:sectPr>
      </w:pPr>
    </w:p>
    <w:bookmarkStart w:id="90" w:name="page91"/>
    <w:bookmarkEnd w:id="90"/>
    <w:p>
      <w:pPr>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“Subsidiary Guarantor” (and, thereby, an “Obligor”) under the Guarantee and Security Agreement pursuant to a Guarantee Assumption Agreement and to deliver such proof of corporate or other action, incumbency of officers, opinions of counsel and other documents as is consistent with those delivered by the Borrower pursuant to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upon the Effective Date or as the Administrative Agent shall have reasonably requested.</w:t>
      </w:r>
    </w:p>
    <w:p>
      <w:pPr>
        <w:spacing w:after="0" w:line="165" w:lineRule="exact"/>
        <w:rPr>
          <w:sz w:val="20"/>
          <w:szCs w:val="20"/>
          <w:color w:val="auto"/>
        </w:rPr>
      </w:pPr>
    </w:p>
    <w:p>
      <w:pPr>
        <w:ind w:right="380" w:firstLine="906"/>
        <w:spacing w:after="0" w:line="277" w:lineRule="auto"/>
        <w:tabs>
          <w:tab w:leader="none" w:pos="1153" w:val="left"/>
        </w:tabs>
        <w:numPr>
          <w:ilvl w:val="1"/>
          <w:numId w:val="111"/>
        </w:numPr>
        <w:rPr>
          <w:rFonts w:ascii="Arial" w:cs="Arial" w:eastAsia="Arial" w:hAnsi="Arial"/>
          <w:sz w:val="18"/>
          <w:szCs w:val="18"/>
          <w:color w:val="auto"/>
        </w:rPr>
      </w:pPr>
      <w:r>
        <w:rPr>
          <w:rFonts w:ascii="Arial" w:cs="Arial" w:eastAsia="Arial" w:hAnsi="Arial"/>
          <w:sz w:val="18"/>
          <w:szCs w:val="18"/>
          <w:u w:val="single" w:color="auto"/>
          <w:color w:val="auto"/>
        </w:rPr>
        <w:t>Ownership of Subsidiaries</w:t>
      </w:r>
      <w:r>
        <w:rPr>
          <w:rFonts w:ascii="Arial" w:cs="Arial" w:eastAsia="Arial" w:hAnsi="Arial"/>
          <w:sz w:val="18"/>
          <w:szCs w:val="18"/>
          <w:color w:val="auto"/>
        </w:rPr>
        <w:t>. The Borrower will, and will cause each of its Subsidiaries to, take such action from time to time as shall be necessary to ensure that each of its Subsidiaries is a wholly owned Subsidiary.</w:t>
      </w:r>
    </w:p>
    <w:p>
      <w:pPr>
        <w:spacing w:after="0" w:line="170" w:lineRule="exact"/>
        <w:rPr>
          <w:rFonts w:ascii="Arial" w:cs="Arial" w:eastAsia="Arial" w:hAnsi="Arial"/>
          <w:sz w:val="18"/>
          <w:szCs w:val="18"/>
          <w:color w:val="auto"/>
        </w:rPr>
      </w:pPr>
    </w:p>
    <w:p>
      <w:pPr>
        <w:ind w:right="20" w:firstLine="906"/>
        <w:spacing w:after="0" w:line="282" w:lineRule="auto"/>
        <w:tabs>
          <w:tab w:leader="none" w:pos="1143" w:val="left"/>
        </w:tabs>
        <w:numPr>
          <w:ilvl w:val="1"/>
          <w:numId w:val="111"/>
        </w:numPr>
        <w:rPr>
          <w:rFonts w:ascii="Arial" w:cs="Arial" w:eastAsia="Arial" w:hAnsi="Arial"/>
          <w:sz w:val="16"/>
          <w:szCs w:val="16"/>
          <w:color w:val="auto"/>
        </w:rPr>
      </w:pPr>
      <w:r>
        <w:rPr>
          <w:rFonts w:ascii="Arial" w:cs="Arial" w:eastAsia="Arial" w:hAnsi="Arial"/>
          <w:sz w:val="16"/>
          <w:szCs w:val="16"/>
          <w:u w:val="single" w:color="auto"/>
          <w:color w:val="auto"/>
        </w:rPr>
        <w:t>Further Assurances</w:t>
      </w:r>
      <w:r>
        <w:rPr>
          <w:rFonts w:ascii="Arial" w:cs="Arial" w:eastAsia="Arial" w:hAnsi="Arial"/>
          <w:sz w:val="16"/>
          <w:szCs w:val="16"/>
          <w:color w:val="auto"/>
        </w:rPr>
        <w:t xml:space="preserve">. The Borrower will, and will cause each of the Subsidiary Guarantors to, take such action from time to time as shall reasonably be requested by the Administrative Agent to effectuate the purposes and objectives of this Agreement. Without limiting the generality of the foregoing, the Borrower will, and will cause each of the Subsidiary Guarantors to, take such action from time to time (including filing appropriate Uniform Commercial Code financing statements and executing and delivering such assignments, security agreements and other instruments) as shall be reasonably requested by the Administrative Agent: (i) to create, in favor of the Collateral Agent for the benefit of the Lenders (and any affiliate thereof that is a party to any Hedging Agreement entered into with the Borrower) and the holders of any Secured Longer-Term Indebtedness, perfected security interests and Liens in the Collateral;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security interest or Lien shall be subject to the relevant requirements of the Security Documents, (ii) to cause any bank or securities intermediary (within the meaning of the Uniform Commercial Code) to enter into such arrangements with the Collateral Agent as shall be appropriate in order that the Collateral Agent has “</w:t>
      </w:r>
      <w:r>
        <w:rPr>
          <w:rFonts w:ascii="Arial" w:cs="Arial" w:eastAsia="Arial" w:hAnsi="Arial"/>
          <w:sz w:val="16"/>
          <w:szCs w:val="16"/>
          <w:u w:val="single" w:color="auto"/>
          <w:color w:val="auto"/>
        </w:rPr>
        <w:t>control</w:t>
      </w:r>
      <w:r>
        <w:rPr>
          <w:rFonts w:ascii="Arial" w:cs="Arial" w:eastAsia="Arial" w:hAnsi="Arial"/>
          <w:sz w:val="16"/>
          <w:szCs w:val="16"/>
          <w:color w:val="auto"/>
        </w:rPr>
        <w:t xml:space="preserve">” (within the meaning of the Uniform Commercial Code) over each bank account or securities account of the Obligors, and in that connection, the Borrower agrees to cause all cash and other proceeds of Portfolio Investments received by any Obligor to be promptly deposited into such an account (or otherwise delivered to, or registered in the name of, the Collateral Agent) and, until such deposit, delivery or registration such cash and other proceeds shall be held in trust by the Borrower for and as the property of the Collateral Agent and shall not be commingled with any other finds or property of such Obligor, (iii) in the case of any Portfolio Investment consisting of a Bank Loan (as defined in </w:t>
      </w:r>
      <w:r>
        <w:rPr>
          <w:rFonts w:ascii="Arial" w:cs="Arial" w:eastAsia="Arial" w:hAnsi="Arial"/>
          <w:sz w:val="16"/>
          <w:szCs w:val="16"/>
          <w:u w:val="single" w:color="auto"/>
          <w:color w:val="auto"/>
        </w:rPr>
        <w:t>Section 5.13</w:t>
      </w:r>
      <w:r>
        <w:rPr>
          <w:rFonts w:ascii="Arial" w:cs="Arial" w:eastAsia="Arial" w:hAnsi="Arial"/>
          <w:sz w:val="16"/>
          <w:szCs w:val="16"/>
          <w:color w:val="auto"/>
        </w:rPr>
        <w:t>) that does not constitute all of the credit extended to the underlying borrower under the relevant underlying loan documents and a Financing Subsidiary holds any interest in the loans or other extensions of credit under such loan documents, (x) to cause such Financing Subsidiary to be party to such underlying loan documents as a “</w:t>
      </w:r>
      <w:r>
        <w:rPr>
          <w:rFonts w:ascii="Arial" w:cs="Arial" w:eastAsia="Arial" w:hAnsi="Arial"/>
          <w:sz w:val="16"/>
          <w:szCs w:val="16"/>
          <w:u w:val="single" w:color="auto"/>
          <w:color w:val="auto"/>
        </w:rPr>
        <w:t>lender</w:t>
      </w:r>
      <w:r>
        <w:rPr>
          <w:rFonts w:ascii="Arial" w:cs="Arial" w:eastAsia="Arial" w:hAnsi="Arial"/>
          <w:sz w:val="16"/>
          <w:szCs w:val="16"/>
          <w:color w:val="auto"/>
        </w:rPr>
        <w:t>” having a direct interest (or a participation not acquired from an Obligor) in such underlying loan documents and the extensions of credit thereunder and (y) to ensure that all amounts owing to such Obligor or Financing Subsidiary by the underlying borrower or other obligated party are remitted by such borrower or obligated party directly to separate accounts of such Obligor and such Financing Subsidiary, (iv) in the event that any Obligor is acting as an agent or administrative agent under any loan documents with respect to any Bank Loan that does not constitute all of the credit extended to the underlying borrower under the relevant underlying loan documents, to ensure that all funds held by such Obligor in such capacity as agent or administrative agent is segregated from all other funds of such Obligor and clearly identified as being held in an agency capacity and</w:t>
      </w:r>
    </w:p>
    <w:p>
      <w:pPr>
        <w:spacing w:after="0" w:line="10" w:lineRule="exact"/>
        <w:rPr>
          <w:rFonts w:ascii="Arial" w:cs="Arial" w:eastAsia="Arial" w:hAnsi="Arial"/>
          <w:sz w:val="16"/>
          <w:szCs w:val="16"/>
          <w:color w:val="auto"/>
        </w:rPr>
      </w:pPr>
    </w:p>
    <w:p>
      <w:pPr>
        <w:ind w:right="500" w:firstLine="8"/>
        <w:spacing w:after="0" w:line="260" w:lineRule="auto"/>
        <w:tabs>
          <w:tab w:leader="none" w:pos="25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to cause the closing sets and all executed amendments, consents, forbearances and other modifications and assignment agreements relating to any Portfolio Investment and any other documents</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274" w:right="339" w:bottom="1440" w:gutter="0" w:footer="0" w:header="0"/>
        </w:sectPr>
      </w:pPr>
    </w:p>
    <w:bookmarkStart w:id="91" w:name="page92"/>
    <w:bookmarkEnd w:id="91"/>
    <w:p>
      <w:pPr>
        <w:ind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relating to any Portfolio Investment requested by the Collateral Agent, in each case to be held by the Collateral Agent or a custodian pursuant to the terms of a custodian agreement reasonably satisfactory to the Collateral Agent.</w:t>
      </w:r>
    </w:p>
    <w:p>
      <w:pPr>
        <w:spacing w:after="0" w:line="170" w:lineRule="exact"/>
        <w:rPr>
          <w:sz w:val="20"/>
          <w:szCs w:val="20"/>
          <w:color w:val="auto"/>
        </w:rPr>
      </w:pPr>
    </w:p>
    <w:p>
      <w:pPr>
        <w:ind w:right="100" w:firstLine="898"/>
        <w:spacing w:after="0" w:line="254"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Use of Proceeds</w:t>
      </w:r>
      <w:r>
        <w:rPr>
          <w:rFonts w:ascii="Arial" w:cs="Arial" w:eastAsia="Arial" w:hAnsi="Arial"/>
          <w:sz w:val="18"/>
          <w:szCs w:val="18"/>
          <w:color w:val="auto"/>
        </w:rPr>
        <w:t xml:space="preserve">. The Borrower will use the proceeds of the Loans only for general corporate purposes of the Borrower in the ordinary course of business, including the acquisition and funding (either directly or through one or more wholly-owned Subsidiaries) of leveraged loans, mezzanine loans, high-yield securities, convertible securities, preferred stock, common stock and other Portfolio Investments;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neither the Administrative Agent nor any Lender shall have any responsibility as to the use of any of such proceeds. No part of the proceeds of any Loan will be used in violation of applicable law or, directly or indirectly, for the purpose, whether immediate, incidental or ultimate, of buying or carrying any Margin Stock. Margin Stock shall be purchased by the Obligors only with the proceeds of Indebtedness not directly or indirectly secured by Margin Stock, or with the proceeds of equity capital of the Borrower.</w:t>
      </w:r>
    </w:p>
    <w:p>
      <w:pPr>
        <w:spacing w:after="0" w:line="195" w:lineRule="exact"/>
        <w:rPr>
          <w:sz w:val="20"/>
          <w:szCs w:val="20"/>
          <w:color w:val="auto"/>
        </w:rPr>
      </w:pPr>
    </w:p>
    <w:p>
      <w:pPr>
        <w:ind w:right="540" w:firstLine="898"/>
        <w:spacing w:after="0" w:line="277"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Status of RIC and BDC</w:t>
      </w:r>
      <w:r>
        <w:rPr>
          <w:rFonts w:ascii="Arial" w:cs="Arial" w:eastAsia="Arial" w:hAnsi="Arial"/>
          <w:sz w:val="18"/>
          <w:szCs w:val="18"/>
          <w:color w:val="auto"/>
        </w:rPr>
        <w:t>. The Borrower shall at all times maintain its status as a RIC under the Code, and as a “business development company” under the Investment Company Act.</w:t>
      </w:r>
    </w:p>
    <w:p>
      <w:pPr>
        <w:spacing w:after="0" w:line="170" w:lineRule="exact"/>
        <w:rPr>
          <w:sz w:val="20"/>
          <w:szCs w:val="20"/>
          <w:color w:val="auto"/>
        </w:rPr>
      </w:pPr>
    </w:p>
    <w:p>
      <w:pPr>
        <w:ind w:right="120" w:firstLine="898"/>
        <w:spacing w:after="0" w:line="259"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Investment Policies</w:t>
      </w:r>
      <w:r>
        <w:rPr>
          <w:rFonts w:ascii="Arial" w:cs="Arial" w:eastAsia="Arial" w:hAnsi="Arial"/>
          <w:sz w:val="18"/>
          <w:szCs w:val="18"/>
          <w:color w:val="auto"/>
        </w:rPr>
        <w:t xml:space="preserve">. The Borrower shall at all times be in compliance in all material respects with its Investment Policies;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it shall not be deemed a material change in the Investment Policies if (i) investment size (which as of the Effective Date is to normally range from between $5,000,000 and $50,000,000) proportionately increases as the size of the Borrower’s capital base changes or (ii) the Borrower and its Subsidiaries, taken as a whole, invest up to 30% of their assets in non-U.S. companies.</w:t>
      </w:r>
    </w:p>
    <w:p>
      <w:pPr>
        <w:spacing w:after="0" w:line="18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Portfolio Valuation and Diversification Etc</w:t>
      </w:r>
      <w:r>
        <w:rPr>
          <w:rFonts w:ascii="Arial" w:cs="Arial" w:eastAsia="Arial" w:hAnsi="Arial"/>
          <w:sz w:val="18"/>
          <w:szCs w:val="18"/>
          <w:color w:val="auto"/>
        </w:rPr>
        <w:t>.</w:t>
      </w:r>
    </w:p>
    <w:p>
      <w:pPr>
        <w:spacing w:after="0" w:line="225" w:lineRule="exact"/>
        <w:rPr>
          <w:sz w:val="20"/>
          <w:szCs w:val="20"/>
          <w:color w:val="auto"/>
        </w:rPr>
      </w:pPr>
    </w:p>
    <w:p>
      <w:pPr>
        <w:ind w:right="60" w:firstLine="906"/>
        <w:spacing w:after="0" w:line="257" w:lineRule="auto"/>
        <w:tabs>
          <w:tab w:leader="none" w:pos="1143" w:val="left"/>
        </w:tabs>
        <w:numPr>
          <w:ilvl w:val="1"/>
          <w:numId w:val="113"/>
        </w:numPr>
        <w:rPr>
          <w:rFonts w:ascii="Arial" w:cs="Arial" w:eastAsia="Arial" w:hAnsi="Arial"/>
          <w:sz w:val="18"/>
          <w:szCs w:val="18"/>
          <w:color w:val="auto"/>
        </w:rPr>
      </w:pPr>
      <w:r>
        <w:rPr>
          <w:rFonts w:ascii="Arial" w:cs="Arial" w:eastAsia="Arial" w:hAnsi="Arial"/>
          <w:sz w:val="18"/>
          <w:szCs w:val="18"/>
          <w:u w:val="single" w:color="auto"/>
          <w:color w:val="auto"/>
        </w:rPr>
        <w:t>Industry Classification Groups</w:t>
      </w:r>
      <w:r>
        <w:rPr>
          <w:rFonts w:ascii="Arial" w:cs="Arial" w:eastAsia="Arial" w:hAnsi="Arial"/>
          <w:sz w:val="18"/>
          <w:szCs w:val="18"/>
          <w:color w:val="auto"/>
        </w:rPr>
        <w:t>. For purposes of this Agreement, the Borrower shall assign each Portfolio Investment to an Industry Classification Group. To the extent that any Portfolio Investment is not correlated with the risks of other Portfolio Investments in an Industry Classification Group, such Portfolio Investment may be assigned by the Borrower to an Industry Classification Group that is more closely correlated to such Portfolio Investment. In the absence of any correlation, the Borrower shall be permitted, upon prior notice to the Administrative Agent and each Lender, to create up to three additional industry classification groups for purposes of this Agreement.</w:t>
      </w:r>
    </w:p>
    <w:p>
      <w:pPr>
        <w:spacing w:after="0" w:line="187" w:lineRule="exact"/>
        <w:rPr>
          <w:rFonts w:ascii="Arial" w:cs="Arial" w:eastAsia="Arial" w:hAnsi="Arial"/>
          <w:sz w:val="18"/>
          <w:szCs w:val="18"/>
          <w:color w:val="auto"/>
        </w:rPr>
      </w:pPr>
    </w:p>
    <w:p>
      <w:pPr>
        <w:ind w:left="1160" w:hanging="254"/>
        <w:spacing w:after="0"/>
        <w:tabs>
          <w:tab w:leader="none" w:pos="1160" w:val="left"/>
        </w:tabs>
        <w:numPr>
          <w:ilvl w:val="1"/>
          <w:numId w:val="113"/>
        </w:numPr>
        <w:rPr>
          <w:rFonts w:ascii="Arial" w:cs="Arial" w:eastAsia="Arial" w:hAnsi="Arial"/>
          <w:sz w:val="18"/>
          <w:szCs w:val="18"/>
          <w:color w:val="auto"/>
        </w:rPr>
      </w:pPr>
      <w:r>
        <w:rPr>
          <w:rFonts w:ascii="Arial" w:cs="Arial" w:eastAsia="Arial" w:hAnsi="Arial"/>
          <w:sz w:val="18"/>
          <w:szCs w:val="18"/>
          <w:u w:val="single" w:color="auto"/>
          <w:color w:val="auto"/>
        </w:rPr>
        <w:t>Portfolio Valuation Etc</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340" w:firstLine="428"/>
        <w:spacing w:after="0" w:line="301" w:lineRule="auto"/>
        <w:tabs>
          <w:tab w:leader="none" w:pos="1106" w:val="left"/>
        </w:tabs>
        <w:numPr>
          <w:ilvl w:val="0"/>
          <w:numId w:val="114"/>
        </w:numPr>
        <w:rPr>
          <w:rFonts w:ascii="Arial" w:cs="Arial" w:eastAsia="Arial" w:hAnsi="Arial"/>
          <w:sz w:val="16"/>
          <w:szCs w:val="16"/>
          <w:color w:val="auto"/>
        </w:rPr>
      </w:pPr>
      <w:r>
        <w:rPr>
          <w:rFonts w:ascii="Arial" w:cs="Arial" w:eastAsia="Arial" w:hAnsi="Arial"/>
          <w:sz w:val="16"/>
          <w:szCs w:val="16"/>
          <w:u w:val="single" w:color="auto"/>
          <w:color w:val="auto"/>
        </w:rPr>
        <w:t>Settlement Date Basis</w:t>
      </w:r>
      <w:r>
        <w:rPr>
          <w:rFonts w:ascii="Arial" w:cs="Arial" w:eastAsia="Arial" w:hAnsi="Arial"/>
          <w:sz w:val="16"/>
          <w:szCs w:val="16"/>
          <w:color w:val="auto"/>
        </w:rPr>
        <w:t xml:space="preserve">. For purposes of this Agreement, all determinations of whether an investment is to be included as a Portfolio Investment shall be determined on a settlement-date basis (meaning that any investment that has been purchased will not be treated as a Portfolio Investment until such purchase has settled, and any Portfolio Investment which has been sold will not be excluded as a Portfolio Investment until such sale has settled);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investment shall be included as a Portfolio Investment to the extent it has not been paid for in full.</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274" w:right="339" w:bottom="1440" w:gutter="0" w:footer="0" w:header="0"/>
        </w:sectPr>
      </w:pPr>
    </w:p>
    <w:bookmarkStart w:id="92" w:name="page93"/>
    <w:bookmarkEnd w:id="92"/>
    <w:p>
      <w:pPr>
        <w:ind w:left="280" w:hanging="272"/>
        <w:spacing w:after="0"/>
        <w:tabs>
          <w:tab w:leader="none" w:pos="280" w:val="left"/>
        </w:tabs>
        <w:numPr>
          <w:ilvl w:val="0"/>
          <w:numId w:val="115"/>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Determination of Values</w:t>
      </w:r>
      <w:r>
        <w:rPr>
          <w:rFonts w:ascii="Arial" w:cs="Arial" w:eastAsia="Arial" w:hAnsi="Arial"/>
          <w:sz w:val="17"/>
          <w:szCs w:val="17"/>
          <w:color w:val="auto"/>
        </w:rPr>
        <w:t>. The Borrower will conduct reviews of the value to be assigned to each of its Portfolio Investments as follows:</w:t>
      </w:r>
    </w:p>
    <w:p>
      <w:pPr>
        <w:spacing w:after="0" w:line="128" w:lineRule="exact"/>
        <w:rPr>
          <w:rFonts w:ascii="Arial" w:cs="Arial" w:eastAsia="Arial" w:hAnsi="Arial"/>
          <w:sz w:val="17"/>
          <w:szCs w:val="17"/>
          <w:color w:val="auto"/>
        </w:rPr>
      </w:pPr>
    </w:p>
    <w:p>
      <w:pPr>
        <w:ind w:left="20" w:right="420" w:firstLine="420"/>
        <w:spacing w:after="0" w:line="259" w:lineRule="auto"/>
        <w:tabs>
          <w:tab w:leader="none" w:pos="728" w:val="left"/>
        </w:tabs>
        <w:numPr>
          <w:ilvl w:val="1"/>
          <w:numId w:val="115"/>
        </w:numPr>
        <w:rPr>
          <w:rFonts w:ascii="Arial" w:cs="Arial" w:eastAsia="Arial" w:hAnsi="Arial"/>
          <w:sz w:val="18"/>
          <w:szCs w:val="18"/>
          <w:color w:val="auto"/>
        </w:rPr>
      </w:pPr>
      <w:r>
        <w:rPr>
          <w:rFonts w:ascii="Arial" w:cs="Arial" w:eastAsia="Arial" w:hAnsi="Arial"/>
          <w:sz w:val="18"/>
          <w:szCs w:val="18"/>
          <w:u w:val="single" w:color="auto"/>
          <w:color w:val="auto"/>
        </w:rPr>
        <w:t>Quoted Investments - External Review</w:t>
      </w:r>
      <w:r>
        <w:rPr>
          <w:rFonts w:ascii="Arial" w:cs="Arial" w:eastAsia="Arial" w:hAnsi="Arial"/>
          <w:sz w:val="18"/>
          <w:szCs w:val="18"/>
          <w:color w:val="auto"/>
        </w:rPr>
        <w:t>. With respect to Portfolio Investments (including Cash Equivalents) for which market quotations are readily available, the Borrower shall, not less frequently than once each calendar week, determine the market value of such Portfolio Investments which shall, in each case, be determined in accordance with one of the following methodologies (as selected by the Borrower):</w:t>
      </w:r>
    </w:p>
    <w:p>
      <w:pPr>
        <w:spacing w:after="0" w:line="78" w:lineRule="exact"/>
        <w:rPr>
          <w:rFonts w:ascii="Arial" w:cs="Arial" w:eastAsia="Arial" w:hAnsi="Arial"/>
          <w:sz w:val="18"/>
          <w:szCs w:val="18"/>
          <w:color w:val="auto"/>
        </w:rPr>
      </w:pPr>
    </w:p>
    <w:p>
      <w:pPr>
        <w:ind w:left="580" w:right="240" w:firstLine="399"/>
        <w:spacing w:after="0" w:line="277" w:lineRule="auto"/>
        <w:tabs>
          <w:tab w:leader="none" w:pos="1266" w:val="left"/>
        </w:tabs>
        <w:numPr>
          <w:ilvl w:val="2"/>
          <w:numId w:val="115"/>
        </w:numPr>
        <w:rPr>
          <w:rFonts w:ascii="Arial" w:cs="Arial" w:eastAsia="Arial" w:hAnsi="Arial"/>
          <w:sz w:val="18"/>
          <w:szCs w:val="18"/>
          <w:color w:val="auto"/>
        </w:rPr>
      </w:pPr>
      <w:r>
        <w:rPr>
          <w:rFonts w:ascii="Arial" w:cs="Arial" w:eastAsia="Arial" w:hAnsi="Arial"/>
          <w:sz w:val="18"/>
          <w:szCs w:val="18"/>
          <w:color w:val="auto"/>
        </w:rPr>
        <w:t>in the case of public and 144A securities, the average of the bid prices as determined by two Approved Dealers selected by the Borrower,</w:t>
      </w:r>
    </w:p>
    <w:p>
      <w:pPr>
        <w:spacing w:after="0" w:line="62" w:lineRule="exact"/>
        <w:rPr>
          <w:rFonts w:ascii="Arial" w:cs="Arial" w:eastAsia="Arial" w:hAnsi="Arial"/>
          <w:sz w:val="18"/>
          <w:szCs w:val="18"/>
          <w:color w:val="auto"/>
        </w:rPr>
      </w:pPr>
    </w:p>
    <w:p>
      <w:pPr>
        <w:ind w:left="1240" w:hanging="261"/>
        <w:spacing w:after="0"/>
        <w:tabs>
          <w:tab w:leader="none" w:pos="1240" w:val="left"/>
        </w:tabs>
        <w:numPr>
          <w:ilvl w:val="2"/>
          <w:numId w:val="115"/>
        </w:numPr>
        <w:rPr>
          <w:rFonts w:ascii="Arial" w:cs="Arial" w:eastAsia="Arial" w:hAnsi="Arial"/>
          <w:sz w:val="18"/>
          <w:szCs w:val="18"/>
          <w:color w:val="auto"/>
        </w:rPr>
      </w:pPr>
      <w:r>
        <w:rPr>
          <w:rFonts w:ascii="Arial" w:cs="Arial" w:eastAsia="Arial" w:hAnsi="Arial"/>
          <w:sz w:val="18"/>
          <w:szCs w:val="18"/>
          <w:color w:val="auto"/>
        </w:rPr>
        <w:t>in the case of bank loans, the bid price as determined by one Approved Dealer selected by the Borrower,</w:t>
      </w:r>
    </w:p>
    <w:p>
      <w:pPr>
        <w:spacing w:after="0" w:line="117" w:lineRule="exact"/>
        <w:rPr>
          <w:rFonts w:ascii="Arial" w:cs="Arial" w:eastAsia="Arial" w:hAnsi="Arial"/>
          <w:sz w:val="18"/>
          <w:szCs w:val="18"/>
          <w:color w:val="auto"/>
        </w:rPr>
      </w:pPr>
    </w:p>
    <w:p>
      <w:pPr>
        <w:ind w:left="580" w:right="220" w:firstLine="399"/>
        <w:spacing w:after="0" w:line="277" w:lineRule="auto"/>
        <w:tabs>
          <w:tab w:leader="none" w:pos="1226" w:val="left"/>
        </w:tabs>
        <w:numPr>
          <w:ilvl w:val="2"/>
          <w:numId w:val="115"/>
        </w:numPr>
        <w:rPr>
          <w:rFonts w:ascii="Arial" w:cs="Arial" w:eastAsia="Arial" w:hAnsi="Arial"/>
          <w:sz w:val="18"/>
          <w:szCs w:val="18"/>
          <w:color w:val="auto"/>
        </w:rPr>
      </w:pPr>
      <w:r>
        <w:rPr>
          <w:rFonts w:ascii="Arial" w:cs="Arial" w:eastAsia="Arial" w:hAnsi="Arial"/>
          <w:sz w:val="18"/>
          <w:szCs w:val="18"/>
          <w:color w:val="auto"/>
        </w:rPr>
        <w:t>in the case of any Portfolio Investment traded on an exchange, the closing price for such Portfolio Investment most recently posted on such exchange, and</w:t>
      </w:r>
    </w:p>
    <w:p>
      <w:pPr>
        <w:spacing w:after="0" w:line="62" w:lineRule="exact"/>
        <w:rPr>
          <w:rFonts w:ascii="Arial" w:cs="Arial" w:eastAsia="Arial" w:hAnsi="Arial"/>
          <w:sz w:val="18"/>
          <w:szCs w:val="18"/>
          <w:color w:val="auto"/>
        </w:rPr>
      </w:pPr>
    </w:p>
    <w:p>
      <w:pPr>
        <w:ind w:left="1220" w:hanging="241"/>
        <w:spacing w:after="0"/>
        <w:tabs>
          <w:tab w:leader="none" w:pos="1220" w:val="left"/>
        </w:tabs>
        <w:numPr>
          <w:ilvl w:val="2"/>
          <w:numId w:val="115"/>
        </w:numPr>
        <w:rPr>
          <w:rFonts w:ascii="Arial" w:cs="Arial" w:eastAsia="Arial" w:hAnsi="Arial"/>
          <w:sz w:val="16"/>
          <w:szCs w:val="16"/>
          <w:color w:val="auto"/>
        </w:rPr>
      </w:pPr>
      <w:r>
        <w:rPr>
          <w:rFonts w:ascii="Arial" w:cs="Arial" w:eastAsia="Arial" w:hAnsi="Arial"/>
          <w:sz w:val="16"/>
          <w:szCs w:val="16"/>
          <w:color w:val="auto"/>
        </w:rPr>
        <w:t>in the case of any other Portfolio Investment, the fair market value thereof as determined by an Approved Pricing Service; and</w:t>
      </w:r>
    </w:p>
    <w:p>
      <w:pPr>
        <w:spacing w:after="0" w:line="140" w:lineRule="exact"/>
        <w:rPr>
          <w:rFonts w:ascii="Arial" w:cs="Arial" w:eastAsia="Arial" w:hAnsi="Arial"/>
          <w:sz w:val="16"/>
          <w:szCs w:val="16"/>
          <w:color w:val="auto"/>
        </w:rPr>
      </w:pPr>
    </w:p>
    <w:p>
      <w:pPr>
        <w:ind w:left="20" w:right="20" w:firstLine="420"/>
        <w:spacing w:after="0" w:line="263" w:lineRule="auto"/>
        <w:tabs>
          <w:tab w:leader="none" w:pos="718" w:val="left"/>
        </w:tabs>
        <w:numPr>
          <w:ilvl w:val="1"/>
          <w:numId w:val="115"/>
        </w:numPr>
        <w:rPr>
          <w:rFonts w:ascii="Arial" w:cs="Arial" w:eastAsia="Arial" w:hAnsi="Arial"/>
          <w:sz w:val="18"/>
          <w:szCs w:val="18"/>
          <w:color w:val="auto"/>
        </w:rPr>
      </w:pPr>
      <w:r>
        <w:rPr>
          <w:rFonts w:ascii="Arial" w:cs="Arial" w:eastAsia="Arial" w:hAnsi="Arial"/>
          <w:sz w:val="18"/>
          <w:szCs w:val="18"/>
          <w:u w:val="single" w:color="auto"/>
          <w:color w:val="auto"/>
        </w:rPr>
        <w:t>Unquoted Investments- External Review</w:t>
      </w:r>
      <w:r>
        <w:rPr>
          <w:rFonts w:ascii="Arial" w:cs="Arial" w:eastAsia="Arial" w:hAnsi="Arial"/>
          <w:sz w:val="18"/>
          <w:szCs w:val="18"/>
          <w:color w:val="auto"/>
        </w:rPr>
        <w:t xml:space="preserve">. With respect to Portfolio Investments for which market quotations are not readily available, the Borrower shall request an Approved Third-Party Appraiser to assist the Board of Directors of the Borrower in determining the fair market value of such Portfolio Investments, as at the last day of each fiscal quarter;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75" w:lineRule="exact"/>
        <w:rPr>
          <w:rFonts w:ascii="Arial" w:cs="Arial" w:eastAsia="Arial" w:hAnsi="Arial"/>
          <w:sz w:val="18"/>
          <w:szCs w:val="18"/>
          <w:color w:val="auto"/>
        </w:rPr>
      </w:pPr>
    </w:p>
    <w:p>
      <w:pPr>
        <w:ind w:left="1240" w:hanging="261"/>
        <w:spacing w:after="0"/>
        <w:tabs>
          <w:tab w:leader="none" w:pos="1240" w:val="left"/>
        </w:tabs>
        <w:numPr>
          <w:ilvl w:val="2"/>
          <w:numId w:val="116"/>
        </w:numPr>
        <w:rPr>
          <w:rFonts w:ascii="Arial" w:cs="Arial" w:eastAsia="Arial" w:hAnsi="Arial"/>
          <w:sz w:val="18"/>
          <w:szCs w:val="18"/>
          <w:color w:val="auto"/>
        </w:rPr>
      </w:pPr>
      <w:r>
        <w:rPr>
          <w:rFonts w:ascii="Arial" w:cs="Arial" w:eastAsia="Arial" w:hAnsi="Arial"/>
          <w:sz w:val="18"/>
          <w:szCs w:val="18"/>
          <w:color w:val="auto"/>
        </w:rPr>
        <w:t>the Value of any such Portfolio Investment (i.e., a Portfolio Investment for which market quotations are not readily</w:t>
      </w:r>
    </w:p>
    <w:p>
      <w:pPr>
        <w:spacing w:after="0" w:line="23" w:lineRule="exact"/>
        <w:rPr>
          <w:sz w:val="20"/>
          <w:szCs w:val="20"/>
          <w:color w:val="auto"/>
        </w:rPr>
      </w:pPr>
    </w:p>
    <w:p>
      <w:pPr>
        <w:jc w:val="both"/>
        <w:ind w:left="580" w:right="260"/>
        <w:spacing w:after="0" w:line="255" w:lineRule="auto"/>
        <w:rPr>
          <w:sz w:val="20"/>
          <w:szCs w:val="20"/>
          <w:color w:val="auto"/>
        </w:rPr>
      </w:pPr>
      <w:r>
        <w:rPr>
          <w:rFonts w:ascii="Arial" w:cs="Arial" w:eastAsia="Arial" w:hAnsi="Arial"/>
          <w:sz w:val="18"/>
          <w:szCs w:val="18"/>
          <w:color w:val="auto"/>
        </w:rPr>
        <w:t xml:space="preserve">available) acquired during a fiscal quarter shall be deemed to be equal to the cost of such Portfolio Investment until such time as the fair market value of such Portfolio Investment is determined in accordance with the foregoing provisions of this </w:t>
      </w:r>
      <w:r>
        <w:rPr>
          <w:rFonts w:ascii="Arial" w:cs="Arial" w:eastAsia="Arial" w:hAnsi="Arial"/>
          <w:sz w:val="18"/>
          <w:szCs w:val="18"/>
          <w:u w:val="single" w:color="auto"/>
          <w:color w:val="auto"/>
        </w:rPr>
        <w:t>sub-clause (B)</w:t>
      </w:r>
      <w:r>
        <w:rPr>
          <w:rFonts w:ascii="Arial" w:cs="Arial" w:eastAsia="Arial" w:hAnsi="Arial"/>
          <w:sz w:val="18"/>
          <w:szCs w:val="18"/>
          <w:color w:val="auto"/>
        </w:rPr>
        <w:t xml:space="preserve"> as at the last day of such fiscal quarter; and</w:t>
      </w:r>
    </w:p>
    <w:p>
      <w:pPr>
        <w:spacing w:after="0" w:line="82" w:lineRule="exact"/>
        <w:rPr>
          <w:sz w:val="20"/>
          <w:szCs w:val="20"/>
          <w:color w:val="auto"/>
        </w:rPr>
      </w:pPr>
    </w:p>
    <w:p>
      <w:pPr>
        <w:ind w:left="580" w:right="40" w:firstLine="399"/>
        <w:spacing w:after="0" w:line="293" w:lineRule="auto"/>
        <w:tabs>
          <w:tab w:leader="none" w:pos="1226" w:val="left"/>
        </w:tabs>
        <w:numPr>
          <w:ilvl w:val="0"/>
          <w:numId w:val="117"/>
        </w:numPr>
        <w:rPr>
          <w:rFonts w:ascii="Arial" w:cs="Arial" w:eastAsia="Arial" w:hAnsi="Arial"/>
          <w:sz w:val="16"/>
          <w:szCs w:val="16"/>
          <w:color w:val="auto"/>
        </w:rPr>
      </w:pPr>
      <w:r>
        <w:rPr>
          <w:rFonts w:ascii="Arial" w:cs="Arial" w:eastAsia="Arial" w:hAnsi="Arial"/>
          <w:sz w:val="16"/>
          <w:szCs w:val="16"/>
          <w:color w:val="auto"/>
        </w:rPr>
        <w:t>notwithstanding the foregoing, the Board of Directors of the Borrower may, without the assistance of an Approved Third-Party Appraiser, determine the fair market value of such unquoted Portfolio Investments so long as the aggregate Value thereof so determined does not at any time exceed 10% of the aggregate Borrowing Base, except that the fair market value of any Portfolio Investment that has been determined without the assistance of an Approved Third-Party Appraiser as at the last day of any fiscal quarter or Testing Quarter shall be deemed to be zero as at the last day of the immediately succeeding fiscal quarter (but effective upon the date upon which the Borrowing Base Certificate for such last day is required to be delivered hereunder) if an Approved Third-Party</w:t>
      </w:r>
    </w:p>
    <w:p>
      <w:pPr>
        <w:spacing w:after="0" w:line="9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0360"/>
          </w:cols>
          <w:pgMar w:left="1200" w:top="274" w:right="339" w:bottom="1440" w:gutter="0" w:footer="0" w:header="0"/>
        </w:sectPr>
      </w:pPr>
    </w:p>
    <w:bookmarkStart w:id="93" w:name="page94"/>
    <w:bookmarkEnd w:id="93"/>
    <w:p>
      <w:pPr>
        <w:ind w:left="560"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Appraiser has not assisted the Board of Directors of the Borrower in determining the fair market value of such Portfolio Investments, as at such date.</w:t>
      </w:r>
    </w:p>
    <w:p>
      <w:pPr>
        <w:spacing w:after="0" w:line="62" w:lineRule="exact"/>
        <w:rPr>
          <w:sz w:val="20"/>
          <w:szCs w:val="20"/>
          <w:color w:val="auto"/>
        </w:rPr>
      </w:pPr>
    </w:p>
    <w:p>
      <w:pPr>
        <w:ind w:right="180" w:firstLine="420"/>
        <w:spacing w:after="0" w:line="270" w:lineRule="auto"/>
        <w:tabs>
          <w:tab w:leader="none" w:pos="698" w:val="left"/>
        </w:tabs>
        <w:numPr>
          <w:ilvl w:val="0"/>
          <w:numId w:val="118"/>
        </w:numPr>
        <w:rPr>
          <w:rFonts w:ascii="Arial" w:cs="Arial" w:eastAsia="Arial" w:hAnsi="Arial"/>
          <w:sz w:val="17"/>
          <w:szCs w:val="17"/>
          <w:color w:val="auto"/>
        </w:rPr>
      </w:pPr>
      <w:r>
        <w:rPr>
          <w:rFonts w:ascii="Arial" w:cs="Arial" w:eastAsia="Arial" w:hAnsi="Arial"/>
          <w:sz w:val="17"/>
          <w:szCs w:val="17"/>
          <w:u w:val="single" w:color="auto"/>
          <w:color w:val="auto"/>
        </w:rPr>
        <w:t>Internal Review</w:t>
      </w:r>
      <w:r>
        <w:rPr>
          <w:rFonts w:ascii="Arial" w:cs="Arial" w:eastAsia="Arial" w:hAnsi="Arial"/>
          <w:sz w:val="17"/>
          <w:szCs w:val="17"/>
          <w:color w:val="auto"/>
        </w:rPr>
        <w:t xml:space="preserve">. The Borrower shall conduct internal reviews of all Portfolio Investments at least once each calendar week which shall take into account any events of which the Borrower has knowledge that adversely affect the value of the Portfolio Investments. If the value of any Portfolio Investment as most recently determined by the Borrower pursuant to this </w:t>
      </w:r>
      <w:r>
        <w:rPr>
          <w:rFonts w:ascii="Arial" w:cs="Arial" w:eastAsia="Arial" w:hAnsi="Arial"/>
          <w:sz w:val="17"/>
          <w:szCs w:val="17"/>
          <w:u w:val="single" w:color="auto"/>
          <w:color w:val="auto"/>
        </w:rPr>
        <w:t>Section 5.12(b)(ii)(C)</w:t>
      </w:r>
      <w:r>
        <w:rPr>
          <w:rFonts w:ascii="Arial" w:cs="Arial" w:eastAsia="Arial" w:hAnsi="Arial"/>
          <w:sz w:val="17"/>
          <w:szCs w:val="17"/>
          <w:color w:val="auto"/>
        </w:rPr>
        <w:t xml:space="preserve"> is lower than the value of such Portfolio Investment as most recently determined pursuant to </w:t>
      </w:r>
      <w:r>
        <w:rPr>
          <w:rFonts w:ascii="Arial" w:cs="Arial" w:eastAsia="Arial" w:hAnsi="Arial"/>
          <w:sz w:val="17"/>
          <w:szCs w:val="17"/>
          <w:u w:val="single" w:color="auto"/>
          <w:color w:val="auto"/>
        </w:rPr>
        <w:t>Section 5.12(b)(ii)(A)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such lower value shall be deemed to be the “Value” of such Portfolio Investment for purposes 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Value of any Portfolio Investment of the Borrower and its Subsidiaries shall be increased by the net unrealized gain as at the date such Value is determined of any Hedging Agreement entered into to hedge risks associated with such Portfolio Investment and reduced by the net unrealized loss as at such date of any such Hedging Agreement (such net unrealized gain or net unrealized loss, on any date, to be equal to the aggregate amount receivable or payable under the related Hedging Agreement if the same were terminated on such date).</w:t>
      </w:r>
    </w:p>
    <w:p>
      <w:pPr>
        <w:spacing w:after="0" w:line="72" w:lineRule="exact"/>
        <w:rPr>
          <w:rFonts w:ascii="Arial" w:cs="Arial" w:eastAsia="Arial" w:hAnsi="Arial"/>
          <w:sz w:val="17"/>
          <w:szCs w:val="17"/>
          <w:color w:val="auto"/>
        </w:rPr>
      </w:pPr>
    </w:p>
    <w:p>
      <w:pPr>
        <w:ind w:right="100" w:firstLine="420"/>
        <w:spacing w:after="0" w:line="263" w:lineRule="auto"/>
        <w:tabs>
          <w:tab w:leader="none" w:pos="708"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Failure to Determine Values</w:t>
      </w:r>
      <w:r>
        <w:rPr>
          <w:rFonts w:ascii="Arial" w:cs="Arial" w:eastAsia="Arial" w:hAnsi="Arial"/>
          <w:sz w:val="18"/>
          <w:szCs w:val="18"/>
          <w:color w:val="auto"/>
        </w:rPr>
        <w:t xml:space="preserve">. If the Borrower shall fail to determine the value of any Portfolio Investment as at any date pursuant to the requirements of the foregoing </w:t>
      </w:r>
      <w:r>
        <w:rPr>
          <w:rFonts w:ascii="Arial" w:cs="Arial" w:eastAsia="Arial" w:hAnsi="Arial"/>
          <w:sz w:val="18"/>
          <w:szCs w:val="18"/>
          <w:u w:val="single" w:color="auto"/>
          <w:color w:val="auto"/>
        </w:rPr>
        <w:t>sub-clauses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then the “Value” of such Portfolio Investment as at such date shall be deemed to be zero.</w:t>
      </w:r>
    </w:p>
    <w:p>
      <w:pPr>
        <w:spacing w:after="0" w:line="75" w:lineRule="exact"/>
        <w:rPr>
          <w:rFonts w:ascii="Arial" w:cs="Arial" w:eastAsia="Arial" w:hAnsi="Arial"/>
          <w:sz w:val="18"/>
          <w:szCs w:val="18"/>
          <w:color w:val="auto"/>
        </w:rPr>
      </w:pPr>
    </w:p>
    <w:p>
      <w:pPr>
        <w:ind w:left="700" w:hanging="280"/>
        <w:spacing w:after="0"/>
        <w:tabs>
          <w:tab w:leader="none" w:pos="700"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Testing of Values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560" w:right="60" w:firstLine="399"/>
        <w:spacing w:after="0" w:line="273" w:lineRule="auto"/>
        <w:tabs>
          <w:tab w:leader="none" w:pos="1206" w:val="left"/>
        </w:tabs>
        <w:numPr>
          <w:ilvl w:val="1"/>
          <w:numId w:val="118"/>
        </w:numPr>
        <w:rPr>
          <w:rFonts w:ascii="Arial" w:cs="Arial" w:eastAsia="Arial" w:hAnsi="Arial"/>
          <w:sz w:val="17"/>
          <w:szCs w:val="17"/>
          <w:color w:val="auto"/>
        </w:rPr>
      </w:pPr>
      <w:r>
        <w:rPr>
          <w:rFonts w:ascii="Arial" w:cs="Arial" w:eastAsia="Arial" w:hAnsi="Arial"/>
          <w:sz w:val="17"/>
          <w:szCs w:val="17"/>
          <w:color w:val="auto"/>
        </w:rPr>
        <w:t>For the second calendar month immediately following the end of each fiscal quarter (the last such fiscal quarter is referred to herein as, the “</w:t>
      </w:r>
      <w:r>
        <w:rPr>
          <w:rFonts w:ascii="Arial" w:cs="Arial" w:eastAsia="Arial" w:hAnsi="Arial"/>
          <w:sz w:val="17"/>
          <w:szCs w:val="17"/>
          <w:u w:val="single" w:color="auto"/>
          <w:color w:val="auto"/>
        </w:rPr>
        <w:t>Testing Quarter</w:t>
      </w:r>
      <w:r>
        <w:rPr>
          <w:rFonts w:ascii="Arial" w:cs="Arial" w:eastAsia="Arial" w:hAnsi="Arial"/>
          <w:sz w:val="17"/>
          <w:szCs w:val="17"/>
          <w:color w:val="auto"/>
        </w:rPr>
        <w:t xml:space="preserve">”), the Administrative Agent shall cause an Approved Third-Party Appraiser selected by the Administrative Agent to value such number of Unquoted Investments (selected by the Administrative Agent) that collectively have an aggregate Value approximately equal to the Calculation Amount. If there is a difference between the Borrower’s valuation and the Approved Third-Party Appraiser’s valuation of any Unquoted Investment, the Value of such Unquoted Investment for Borrowing Base purposes shall be established as set forth in the third sentence of </w:t>
      </w:r>
      <w:r>
        <w:rPr>
          <w:rFonts w:ascii="Arial" w:cs="Arial" w:eastAsia="Arial" w:hAnsi="Arial"/>
          <w:sz w:val="17"/>
          <w:szCs w:val="17"/>
          <w:u w:val="single" w:color="auto"/>
          <w:color w:val="auto"/>
        </w:rPr>
        <w:t>sub-clause (F)</w:t>
      </w:r>
      <w:r>
        <w:rPr>
          <w:rFonts w:ascii="Arial" w:cs="Arial" w:eastAsia="Arial" w:hAnsi="Arial"/>
          <w:sz w:val="17"/>
          <w:szCs w:val="17"/>
          <w:color w:val="auto"/>
        </w:rPr>
        <w:t xml:space="preserve"> below.</w:t>
      </w:r>
    </w:p>
    <w:p>
      <w:pPr>
        <w:spacing w:after="0" w:line="69" w:lineRule="exact"/>
        <w:rPr>
          <w:rFonts w:ascii="Arial" w:cs="Arial" w:eastAsia="Arial" w:hAnsi="Arial"/>
          <w:sz w:val="17"/>
          <w:szCs w:val="17"/>
          <w:color w:val="auto"/>
        </w:rPr>
      </w:pPr>
    </w:p>
    <w:p>
      <w:pPr>
        <w:jc w:val="both"/>
        <w:ind w:left="560" w:right="40" w:firstLine="399"/>
        <w:spacing w:after="0" w:line="257" w:lineRule="auto"/>
        <w:tabs>
          <w:tab w:leader="none" w:pos="1206" w:val="left"/>
        </w:tabs>
        <w:numPr>
          <w:ilvl w:val="1"/>
          <w:numId w:val="118"/>
        </w:numPr>
        <w:rPr>
          <w:rFonts w:ascii="Arial" w:cs="Arial" w:eastAsia="Arial" w:hAnsi="Arial"/>
          <w:sz w:val="18"/>
          <w:szCs w:val="18"/>
          <w:color w:val="auto"/>
        </w:rPr>
      </w:pPr>
      <w:r>
        <w:rPr>
          <w:rFonts w:ascii="Arial" w:cs="Arial" w:eastAsia="Arial" w:hAnsi="Arial"/>
          <w:sz w:val="18"/>
          <w:szCs w:val="18"/>
          <w:color w:val="auto"/>
        </w:rPr>
        <w:t>For the avoidance of doubt, the valuation of any Approved Third-Party Appraiser selected by the Administrative Agent would not be as of, or delivered at, the end of any fiscal quarter. Any such valuation would be as of the end of the second month immediately following any fiscal quarter (the “</w:t>
      </w:r>
      <w:r>
        <w:rPr>
          <w:rFonts w:ascii="Arial" w:cs="Arial" w:eastAsia="Arial" w:hAnsi="Arial"/>
          <w:sz w:val="18"/>
          <w:szCs w:val="18"/>
          <w:u w:val="single" w:color="auto"/>
          <w:color w:val="auto"/>
        </w:rPr>
        <w:t>Administrative Agent Appraisal Testing Month</w:t>
      </w:r>
      <w:r>
        <w:rPr>
          <w:rFonts w:ascii="Arial" w:cs="Arial" w:eastAsia="Arial" w:hAnsi="Arial"/>
          <w:sz w:val="18"/>
          <w:szCs w:val="18"/>
          <w:color w:val="auto"/>
        </w:rPr>
        <w:t>”) and would be reflected in the Borrowing Base Certificate for such month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Approved Third-Party Appraiser delivers such valuation at least seven (7) Business Days before the 20</w:t>
      </w:r>
      <w:r>
        <w:rPr>
          <w:rFonts w:ascii="Arial" w:cs="Arial" w:eastAsia="Arial" w:hAnsi="Arial"/>
          <w:sz w:val="15"/>
          <w:szCs w:val="15"/>
          <w:color w:val="auto"/>
        </w:rPr>
        <w:t>th</w:t>
      </w:r>
      <w:r>
        <w:rPr>
          <w:rFonts w:ascii="Arial" w:cs="Arial" w:eastAsia="Arial" w:hAnsi="Arial"/>
          <w:sz w:val="18"/>
          <w:szCs w:val="18"/>
          <w:color w:val="auto"/>
        </w:rPr>
        <w:t xml:space="preserve"> day after</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340"/>
          </w:cols>
          <w:pgMar w:left="1220" w:top="274" w:right="339" w:bottom="1440" w:gutter="0" w:footer="0" w:header="0"/>
        </w:sectPr>
      </w:pPr>
    </w:p>
    <w:bookmarkStart w:id="94" w:name="page95"/>
    <w:bookmarkEnd w:id="94"/>
    <w:p>
      <w:pPr>
        <w:ind w:left="560" w:right="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the end of the applicable monthly accounting period and, if such valuation is delivered after such time, it shall be included in the Borrowing Base Certificate for the following monthly period and applied to the then applicable balance of the related Portfolio Investment). For illustrative purposes, if the given fiscal quarter is the fourth quarter ending on December 31, 2014, then (A) the Administrative Agent would initiate the testing of Values (using the December 31, 2014 Calculation Amount for purposes of determining the scope of the testing under </w:t>
      </w:r>
      <w:r>
        <w:rPr>
          <w:rFonts w:ascii="Arial" w:cs="Arial" w:eastAsia="Arial" w:hAnsi="Arial"/>
          <w:sz w:val="17"/>
          <w:szCs w:val="17"/>
          <w:u w:val="single" w:color="auto"/>
          <w:color w:val="auto"/>
        </w:rPr>
        <w:t>clauses (E)(x)</w:t>
      </w:r>
      <w:r>
        <w:rPr>
          <w:rFonts w:ascii="Arial" w:cs="Arial" w:eastAsia="Arial" w:hAnsi="Arial"/>
          <w:sz w:val="17"/>
          <w:szCs w:val="17"/>
          <w:color w:val="auto"/>
        </w:rPr>
        <w:t xml:space="preserve"> during the month of February with the anticipation of receiving the valuations from the applicable Approved Third-Party Appraiser(s) on or after February 28, 2015 and (B)(xx) if such valuations were received before the 7</w:t>
      </w:r>
      <w:r>
        <w:rPr>
          <w:rFonts w:ascii="Arial" w:cs="Arial" w:eastAsia="Arial" w:hAnsi="Arial"/>
          <w:sz w:val="14"/>
          <w:szCs w:val="14"/>
          <w:color w:val="auto"/>
        </w:rPr>
        <w:t>th</w:t>
      </w:r>
      <w:r>
        <w:rPr>
          <w:rFonts w:ascii="Arial" w:cs="Arial" w:eastAsia="Arial" w:hAnsi="Arial"/>
          <w:sz w:val="17"/>
          <w:szCs w:val="17"/>
          <w:color w:val="auto"/>
        </w:rPr>
        <w:t xml:space="preserve"> Business Day before March 20, 2015, such valuations would be included in the March 20, 2015 Borrowing Base Certificate covering the month of February, or (yy) if such valuations were received after such time, they would be included in the April 20, 2015 Borrowing Base Certificate for the month of March.</w:t>
      </w:r>
    </w:p>
    <w:p>
      <w:pPr>
        <w:spacing w:after="0" w:line="73" w:lineRule="exact"/>
        <w:rPr>
          <w:sz w:val="20"/>
          <w:szCs w:val="20"/>
          <w:color w:val="auto"/>
        </w:rPr>
      </w:pPr>
    </w:p>
    <w:p>
      <w:pPr>
        <w:ind w:left="560" w:right="180"/>
        <w:spacing w:after="0" w:line="277" w:lineRule="auto"/>
        <w:rPr>
          <w:sz w:val="20"/>
          <w:szCs w:val="20"/>
          <w:color w:val="auto"/>
        </w:rPr>
      </w:pPr>
      <w:r>
        <w:rPr>
          <w:rFonts w:ascii="Arial" w:cs="Arial" w:eastAsia="Arial" w:hAnsi="Arial"/>
          <w:sz w:val="18"/>
          <w:szCs w:val="18"/>
          <w:color w:val="auto"/>
        </w:rPr>
        <w:t xml:space="preserve">For the avoidance of doubt, all calculations of value pursuant to this </w:t>
      </w:r>
      <w:r>
        <w:rPr>
          <w:rFonts w:ascii="Arial" w:cs="Arial" w:eastAsia="Arial" w:hAnsi="Arial"/>
          <w:sz w:val="18"/>
          <w:szCs w:val="18"/>
          <w:u w:val="single" w:color="auto"/>
          <w:color w:val="auto"/>
        </w:rPr>
        <w:t>Section 5.12(b)(ii)(E)</w:t>
      </w:r>
      <w:r>
        <w:rPr>
          <w:rFonts w:ascii="Arial" w:cs="Arial" w:eastAsia="Arial" w:hAnsi="Arial"/>
          <w:sz w:val="18"/>
          <w:szCs w:val="18"/>
          <w:color w:val="auto"/>
        </w:rPr>
        <w:t xml:space="preserve"> shall be determined without application of the Advance Rates.</w:t>
      </w:r>
    </w:p>
    <w:p>
      <w:pPr>
        <w:spacing w:after="0" w:line="62" w:lineRule="exact"/>
        <w:rPr>
          <w:sz w:val="20"/>
          <w:szCs w:val="20"/>
          <w:color w:val="auto"/>
        </w:rPr>
      </w:pPr>
    </w:p>
    <w:p>
      <w:pPr>
        <w:ind w:firstLine="420"/>
        <w:spacing w:after="0" w:line="283" w:lineRule="auto"/>
        <w:tabs>
          <w:tab w:leader="none" w:pos="678" w:val="left"/>
        </w:tabs>
        <w:numPr>
          <w:ilvl w:val="1"/>
          <w:numId w:val="119"/>
        </w:numPr>
        <w:rPr>
          <w:rFonts w:ascii="Arial" w:cs="Arial" w:eastAsia="Arial" w:hAnsi="Arial"/>
          <w:sz w:val="16"/>
          <w:szCs w:val="16"/>
          <w:color w:val="auto"/>
        </w:rPr>
      </w:pPr>
      <w:r>
        <w:rPr>
          <w:rFonts w:ascii="Arial" w:cs="Arial" w:eastAsia="Arial" w:hAnsi="Arial"/>
          <w:sz w:val="16"/>
          <w:szCs w:val="16"/>
          <w:u w:val="single" w:color="auto"/>
          <w:color w:val="auto"/>
        </w:rPr>
        <w:t>Valuation Dispute Resolution</w:t>
      </w:r>
      <w:r>
        <w:rPr>
          <w:rFonts w:ascii="Arial" w:cs="Arial" w:eastAsia="Arial" w:hAnsi="Arial"/>
          <w:sz w:val="16"/>
          <w:szCs w:val="16"/>
          <w:color w:val="auto"/>
        </w:rPr>
        <w:t xml:space="preserve">. Notwithstanding the foregoing, the Administrative Agent shall at any time have the right to request any Portfolio Investment with a value assigned by the Borrower pursuant to </w:t>
      </w:r>
      <w:r>
        <w:rPr>
          <w:rFonts w:ascii="Arial" w:cs="Arial" w:eastAsia="Arial" w:hAnsi="Arial"/>
          <w:sz w:val="16"/>
          <w:szCs w:val="16"/>
          <w:u w:val="single" w:color="auto"/>
          <w:color w:val="auto"/>
        </w:rPr>
        <w:t>Section 5.12(b)(ii)(B)</w:t>
      </w:r>
      <w:r>
        <w:rPr>
          <w:rFonts w:ascii="Arial" w:cs="Arial" w:eastAsia="Arial" w:hAnsi="Arial"/>
          <w:sz w:val="16"/>
          <w:szCs w:val="16"/>
          <w:color w:val="auto"/>
        </w:rPr>
        <w:t xml:space="preserve"> be independently valued by an Approved Third-Party Appraiser retained by the Administrative Agent. There shall be no limit on the number of such appraisals requested by the Administrative Agent and the reasonable and documented out-of-pocket costs of any such valuation shall be at the expense of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unless an Event of Default has occurred and is continuing, the Borrower’s obligation to reimburse valuation costs pursuant to this supplemental testing shall be limited to the greater of (i) $200,000 and (ii) 0.05% of the total amount of the Commitments, per annum. If the difference between the Borrower’s valuation pursuant to </w:t>
      </w:r>
      <w:r>
        <w:rPr>
          <w:rFonts w:ascii="Arial" w:cs="Arial" w:eastAsia="Arial" w:hAnsi="Arial"/>
          <w:sz w:val="16"/>
          <w:szCs w:val="16"/>
          <w:u w:val="single" w:color="auto"/>
          <w:color w:val="auto"/>
        </w:rPr>
        <w:t>Section 5.12(b)(ii)(B)</w:t>
      </w:r>
      <w:r>
        <w:rPr>
          <w:rFonts w:ascii="Arial" w:cs="Arial" w:eastAsia="Arial" w:hAnsi="Arial"/>
          <w:sz w:val="16"/>
          <w:szCs w:val="16"/>
          <w:color w:val="auto"/>
        </w:rPr>
        <w:t xml:space="preserve"> and the valuation of any Approved Third-Party Appraiser retained by the Administrative Agent pursuant to </w:t>
      </w:r>
      <w:r>
        <w:rPr>
          <w:rFonts w:ascii="Arial" w:cs="Arial" w:eastAsia="Arial" w:hAnsi="Arial"/>
          <w:sz w:val="16"/>
          <w:szCs w:val="16"/>
          <w:u w:val="single" w:color="auto"/>
          <w:color w:val="auto"/>
        </w:rPr>
        <w:t>Section 5.12(b)(ii)(E)</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(F)</w:t>
      </w:r>
      <w:r>
        <w:rPr>
          <w:rFonts w:ascii="Arial" w:cs="Arial" w:eastAsia="Arial" w:hAnsi="Arial"/>
          <w:sz w:val="16"/>
          <w:szCs w:val="16"/>
          <w:color w:val="auto"/>
        </w:rPr>
        <w:t xml:space="preserve"> is (1) less than 5% of the value thereof, then the Borrower’s valuation shall be used, (2) between 5% and 20% of the value thereof, then the valuation of such Portfolio Investment shall be the average of the value determined by the Borrower and the value determined by the Approved Third-Party Appraiser retained by the Administrative Agent and</w:t>
      </w:r>
    </w:p>
    <w:p>
      <w:pPr>
        <w:spacing w:after="0" w:line="4" w:lineRule="exact"/>
        <w:rPr>
          <w:rFonts w:ascii="Arial" w:cs="Arial" w:eastAsia="Arial" w:hAnsi="Arial"/>
          <w:sz w:val="16"/>
          <w:szCs w:val="16"/>
          <w:color w:val="auto"/>
        </w:rPr>
      </w:pPr>
    </w:p>
    <w:p>
      <w:pPr>
        <w:ind w:right="220" w:firstLine="6"/>
        <w:spacing w:after="0" w:line="271" w:lineRule="auto"/>
        <w:tabs>
          <w:tab w:leader="none" w:pos="255" w:val="left"/>
        </w:tabs>
        <w:numPr>
          <w:ilvl w:val="0"/>
          <w:numId w:val="120"/>
        </w:numPr>
        <w:rPr>
          <w:rFonts w:ascii="Arial" w:cs="Arial" w:eastAsia="Arial" w:hAnsi="Arial"/>
          <w:sz w:val="17"/>
          <w:szCs w:val="17"/>
          <w:color w:val="auto"/>
        </w:rPr>
      </w:pPr>
      <w:r>
        <w:rPr>
          <w:rFonts w:ascii="Arial" w:cs="Arial" w:eastAsia="Arial" w:hAnsi="Arial"/>
          <w:sz w:val="17"/>
          <w:szCs w:val="17"/>
          <w:color w:val="auto"/>
        </w:rPr>
        <w:t>greater than 20% of the value thereof, then the Borrower and the Administrative Agent shall retain an additional Approved Third-Party Appraiser and the valuation of such Portfolio Investment shall be the average of the three valuations (with the Administrative Agent’s Approved Third-Party Appraiser’s valuation to be used until the third valuation is obtained). For the avoidance of doubt, such supplemental values shall be applicable only to and used only for determining value under this Agreement and shall not be deemed fair value of such asset under ASC 820 for purposes of the Borrower’s financial statements, the Investment Company Act or otherwise.</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0340"/>
          </w:cols>
          <w:pgMar w:left="1220" w:top="274" w:right="339" w:bottom="1440" w:gutter="0" w:footer="0" w:header="0"/>
        </w:sectPr>
      </w:pPr>
    </w:p>
    <w:bookmarkStart w:id="95" w:name="page96"/>
    <w:bookmarkEnd w:id="95"/>
    <w:p>
      <w:pPr>
        <w:ind w:firstLine="906"/>
        <w:spacing w:after="0" w:line="279" w:lineRule="auto"/>
        <w:tabs>
          <w:tab w:leader="none" w:pos="1143" w:val="left"/>
        </w:tabs>
        <w:numPr>
          <w:ilvl w:val="0"/>
          <w:numId w:val="12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Investment Company Diversification and Tax Requirements</w:t>
      </w:r>
      <w:r>
        <w:rPr>
          <w:rFonts w:ascii="Arial" w:cs="Arial" w:eastAsia="Arial" w:hAnsi="Arial"/>
          <w:sz w:val="17"/>
          <w:szCs w:val="17"/>
          <w:color w:val="auto"/>
        </w:rPr>
        <w:t>. The Borrower will, and will cause its Subsidiaries (other than Financing Subsidiaries that are exempt from the Investment Company Act) at all times to (i) comply in all material respects with the portfolio diversification and similar requirements set forth in the Investment Company Act applicable to business development companies and (ii) subject to applicable grace periods set forth in the Code, comply with the portfolio diversification and similar requirements set forth in the Code applicable to RICs.</w:t>
      </w:r>
    </w:p>
    <w:p>
      <w:pPr>
        <w:spacing w:after="0" w:line="171" w:lineRule="exact"/>
        <w:rPr>
          <w:rFonts w:ascii="Arial" w:cs="Arial" w:eastAsia="Arial" w:hAnsi="Arial"/>
          <w:sz w:val="17"/>
          <w:szCs w:val="17"/>
          <w:color w:val="auto"/>
        </w:rPr>
      </w:pPr>
    </w:p>
    <w:p>
      <w:pPr>
        <w:ind w:right="20" w:firstLine="906"/>
        <w:spacing w:after="0" w:line="254" w:lineRule="auto"/>
        <w:tabs>
          <w:tab w:leader="none" w:pos="1153"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Commitments under Portfolio Investments</w:t>
      </w:r>
      <w:r>
        <w:rPr>
          <w:rFonts w:ascii="Arial" w:cs="Arial" w:eastAsia="Arial" w:hAnsi="Arial"/>
          <w:sz w:val="18"/>
          <w:szCs w:val="18"/>
          <w:color w:val="auto"/>
        </w:rPr>
        <w:t>. The Borrower will, and will cause its Subsidiaries to, acquire Portfolio Investments (it being understood that neither (x) the receipt of Portfolio Investments as part of a restructuring or workout nor (y) any new or additional borrowing under an existing Portfolio Investment shall constitute an “acquisition” of such Portfolio Investments) constituting revolving credit facilities or delayed draw term loans with revolving or future commitments only if the aggregate commitments or future commitments under such revolving credit facilities or delayed draw term loans (excluding discretionary future commitments, such as accordions and commitment increase options) does not exceed (i) prior to the Commitment Termination Date, 20% of the aggregate Commitment amount at the time of acquisition and (ii) following the Commitment Termination Date, 20% of the Revolving Credit Exposure at the time of acquisition.</w:t>
      </w:r>
    </w:p>
    <w:p>
      <w:pPr>
        <w:spacing w:after="0" w:line="195" w:lineRule="exact"/>
        <w:rPr>
          <w:sz w:val="20"/>
          <w:szCs w:val="20"/>
          <w:color w:val="auto"/>
        </w:rPr>
      </w:pPr>
    </w:p>
    <w:p>
      <w:pPr>
        <w:jc w:val="both"/>
        <w:ind w:right="40" w:firstLine="898"/>
        <w:spacing w:after="0" w:line="263" w:lineRule="auto"/>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u w:val="single" w:color="auto"/>
          <w:color w:val="auto"/>
        </w:rPr>
        <w:t>Calculation of Borrowing Base</w:t>
      </w:r>
      <w:r>
        <w:rPr>
          <w:rFonts w:ascii="Arial" w:cs="Arial" w:eastAsia="Arial" w:hAnsi="Arial"/>
          <w:sz w:val="18"/>
          <w:szCs w:val="18"/>
          <w:color w:val="auto"/>
        </w:rPr>
        <w:t>. For purposes of this Agreement, the “</w:t>
      </w:r>
      <w:r>
        <w:rPr>
          <w:rFonts w:ascii="Arial" w:cs="Arial" w:eastAsia="Arial" w:hAnsi="Arial"/>
          <w:sz w:val="18"/>
          <w:szCs w:val="18"/>
          <w:u w:val="single" w:color="auto"/>
          <w:color w:val="auto"/>
        </w:rPr>
        <w:t>Borrowing Base</w:t>
      </w:r>
      <w:r>
        <w:rPr>
          <w:rFonts w:ascii="Arial" w:cs="Arial" w:eastAsia="Arial" w:hAnsi="Arial"/>
          <w:sz w:val="18"/>
          <w:szCs w:val="18"/>
          <w:color w:val="auto"/>
        </w:rPr>
        <w:t xml:space="preserve">” shall be determined, as at any date of determination, as the sum of the Advance Rates of the Value of each Portfolio Investment (excluding any Cash Collateral held by the Administrative Agent pursuant to </w:t>
      </w:r>
      <w:r>
        <w:rPr>
          <w:rFonts w:ascii="Arial" w:cs="Arial" w:eastAsia="Arial" w:hAnsi="Arial"/>
          <w:sz w:val="18"/>
          <w:szCs w:val="18"/>
          <w:u w:val="single" w:color="auto"/>
          <w:color w:val="auto"/>
        </w:rPr>
        <w:t>Section 2.05(k)</w:t>
      </w:r>
      <w:r>
        <w:rPr>
          <w:rFonts w:ascii="Arial" w:cs="Arial" w:eastAsia="Arial" w:hAnsi="Arial"/>
          <w:sz w:val="18"/>
          <w:szCs w:val="18"/>
          <w:color w:val="auto"/>
        </w:rPr>
        <w:t xml:space="preserve"> or the last paragraph of </w:t>
      </w:r>
      <w:r>
        <w:rPr>
          <w:rFonts w:ascii="Arial" w:cs="Arial" w:eastAsia="Arial" w:hAnsi="Arial"/>
          <w:sz w:val="18"/>
          <w:szCs w:val="18"/>
          <w:u w:val="single" w:color="auto"/>
          <w:color w:val="auto"/>
        </w:rPr>
        <w:t>Section 2.09(a)</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84" w:lineRule="exact"/>
        <w:rPr>
          <w:sz w:val="20"/>
          <w:szCs w:val="20"/>
          <w:color w:val="auto"/>
        </w:rPr>
      </w:pPr>
    </w:p>
    <w:p>
      <w:pPr>
        <w:ind w:right="180" w:firstLine="906"/>
        <w:spacing w:after="0" w:line="257" w:lineRule="auto"/>
        <w:tabs>
          <w:tab w:leader="none" w:pos="1143"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Advance Rate applicable to that portion of the aggregate Value of the Portfolio Investments in a consolidated group of corporations or other entities (collectively, a “</w:t>
      </w:r>
      <w:r>
        <w:rPr>
          <w:rFonts w:ascii="Arial" w:cs="Arial" w:eastAsia="Arial" w:hAnsi="Arial"/>
          <w:sz w:val="18"/>
          <w:szCs w:val="18"/>
          <w:u w:val="single" w:color="auto"/>
          <w:color w:val="auto"/>
        </w:rPr>
        <w:t>Consolidated Group</w:t>
      </w:r>
      <w:r>
        <w:rPr>
          <w:rFonts w:ascii="Arial" w:cs="Arial" w:eastAsia="Arial" w:hAnsi="Arial"/>
          <w:sz w:val="18"/>
          <w:szCs w:val="18"/>
          <w:color w:val="auto"/>
        </w:rPr>
        <w:t xml:space="preserve">”), in accordance with GAAP, that exceeds 10% of Shareholders’ Equity of the Borrower (which, for purposes of this calculation shall exclude the aggregate amount of investments in, and advances to, Financing Subsidiaries) shall be 50% of the Advance Rate otherwise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the Portfolio Investments in a single Consolidated Group designated by the Borrower to the Administrative Agent such 10% figure shall be increased to 12.5%;</w:t>
      </w:r>
    </w:p>
    <w:p>
      <w:pPr>
        <w:spacing w:after="0" w:line="187" w:lineRule="exact"/>
        <w:rPr>
          <w:rFonts w:ascii="Arial" w:cs="Arial" w:eastAsia="Arial" w:hAnsi="Arial"/>
          <w:sz w:val="18"/>
          <w:szCs w:val="18"/>
          <w:color w:val="auto"/>
        </w:rPr>
      </w:pPr>
    </w:p>
    <w:p>
      <w:pPr>
        <w:ind w:right="80" w:firstLine="906"/>
        <w:spacing w:after="0" w:line="263" w:lineRule="auto"/>
        <w:tabs>
          <w:tab w:leader="none" w:pos="1153"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Advance Rate applicable to that portion of the aggregate Value of the Portfolio Investments of all issuers in a Consolidated Group exceeding 20% of Shareholders’ Equity of the Borrower (which, for purposes of this calculation shall exclude the aggregate amount of investments in, and advances to, Financing Subsidiaries) shall be 0%;</w:t>
      </w:r>
    </w:p>
    <w:p>
      <w:pPr>
        <w:spacing w:after="0" w:line="183" w:lineRule="exact"/>
        <w:rPr>
          <w:rFonts w:ascii="Arial" w:cs="Arial" w:eastAsia="Arial" w:hAnsi="Arial"/>
          <w:sz w:val="18"/>
          <w:szCs w:val="18"/>
          <w:color w:val="auto"/>
        </w:rPr>
      </w:pPr>
    </w:p>
    <w:p>
      <w:pPr>
        <w:ind w:right="100" w:firstLine="906"/>
        <w:spacing w:after="0" w:line="263" w:lineRule="auto"/>
        <w:tabs>
          <w:tab w:leader="none" w:pos="1143"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Advance Rate applicable to that portion of the aggregate Value of the Portfolio Investments in any single Industry Classification Group that exceeds 20% of Shareholders’ Equity of the Borrower (which for purposes of this calculation shall exclude the aggregate amount of investments in, and advances to, Financing Subsidiaries) shall be 0%;</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274" w:right="339" w:bottom="1440" w:gutter="0" w:footer="0" w:header="0"/>
        </w:sectPr>
      </w:pPr>
    </w:p>
    <w:bookmarkStart w:id="96" w:name="page97"/>
    <w:bookmarkEnd w:id="96"/>
    <w:p>
      <w:pPr>
        <w:ind w:right="160"/>
        <w:spacing w:after="0" w:line="286"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provided</w:t>
      </w:r>
      <w:r>
        <w:rPr>
          <w:rFonts w:ascii="Arial" w:cs="Arial" w:eastAsia="Arial" w:hAnsi="Arial"/>
          <w:sz w:val="17"/>
          <w:szCs w:val="17"/>
          <w:color w:val="auto"/>
        </w:rPr>
        <w:t xml:space="preserve"> that, with respect to the Portfolio Investments in a single Industry Classification Group from time to time designated by the Borrower to the Administrative Agent such 20% figure shall be increased to 30% and, accordingly, only to the extent that the Value for such single Industry Classification Group exceeds 30% of the Shareholders’ Equity shall the Advance Rate applicable to such excess Value be 0%;</w:t>
      </w:r>
    </w:p>
    <w:p>
      <w:pPr>
        <w:spacing w:after="0" w:line="165" w:lineRule="exact"/>
        <w:rPr>
          <w:sz w:val="20"/>
          <w:szCs w:val="20"/>
          <w:color w:val="auto"/>
        </w:rPr>
      </w:pPr>
    </w:p>
    <w:p>
      <w:pPr>
        <w:ind w:right="440" w:firstLine="906"/>
        <w:spacing w:after="0" w:line="311" w:lineRule="auto"/>
        <w:tabs>
          <w:tab w:leader="none" w:pos="1153" w:val="left"/>
        </w:tabs>
        <w:numPr>
          <w:ilvl w:val="0"/>
          <w:numId w:val="123"/>
        </w:numPr>
        <w:rPr>
          <w:rFonts w:ascii="Arial" w:cs="Arial" w:eastAsia="Arial" w:hAnsi="Arial"/>
          <w:sz w:val="16"/>
          <w:szCs w:val="16"/>
          <w:color w:val="auto"/>
        </w:rPr>
      </w:pPr>
      <w:r>
        <w:rPr>
          <w:rFonts w:ascii="Arial" w:cs="Arial" w:eastAsia="Arial" w:hAnsi="Arial"/>
          <w:sz w:val="16"/>
          <w:szCs w:val="16"/>
          <w:color w:val="auto"/>
        </w:rPr>
        <w:t>no Portfolio Investment may be included in the Borrowing Base unless the Collateral Agent maintains a first priority, perfected Lien (subject to Permitted Liens) on such Portfolio Investment and such Portfolio Investment has been Delivered (as defined in the Guarantee and Security Agreement) to the Collateral Agent, and then only for so long as such Portfolio Investment continues to be Delivered as contemplated therein;</w:t>
      </w:r>
    </w:p>
    <w:p>
      <w:pPr>
        <w:spacing w:after="0" w:line="148" w:lineRule="exact"/>
        <w:rPr>
          <w:rFonts w:ascii="Arial" w:cs="Arial" w:eastAsia="Arial" w:hAnsi="Arial"/>
          <w:sz w:val="16"/>
          <w:szCs w:val="16"/>
          <w:color w:val="auto"/>
        </w:rPr>
      </w:pPr>
    </w:p>
    <w:p>
      <w:pPr>
        <w:ind w:right="200" w:firstLine="906"/>
        <w:spacing w:after="0" w:line="277" w:lineRule="auto"/>
        <w:tabs>
          <w:tab w:leader="none" w:pos="1143"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portion of the Borrowing Base attributable to Performing Non-Cash Pay High Yield Securities, Performing Non-Cash Pay Mezzanine Investments, Equity Interests and Non-Performing Portfolio Investments shall not exceed 25%; and</w:t>
      </w:r>
    </w:p>
    <w:p>
      <w:pPr>
        <w:spacing w:after="0" w:line="170" w:lineRule="exact"/>
        <w:rPr>
          <w:rFonts w:ascii="Arial" w:cs="Arial" w:eastAsia="Arial" w:hAnsi="Arial"/>
          <w:sz w:val="18"/>
          <w:szCs w:val="18"/>
          <w:color w:val="auto"/>
        </w:rPr>
      </w:pPr>
    </w:p>
    <w:p>
      <w:pPr>
        <w:ind w:right="20" w:firstLine="906"/>
        <w:spacing w:after="0" w:line="263" w:lineRule="auto"/>
        <w:tabs>
          <w:tab w:leader="none" w:pos="1123"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portion of the Borrowing Base attributable to Non-Performing Portfolio Investments shall not exceed 15% and the portion of the Borrowing Base attributable to Portfolio Investments that were Non-Performing Portfolio Investments at the time such Portfolio Investments were acquired shall not exceed 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As used herein, the following terms have the following meanings:</w:t>
      </w:r>
    </w:p>
    <w:p>
      <w:pPr>
        <w:spacing w:after="0" w:line="225" w:lineRule="exact"/>
        <w:rPr>
          <w:sz w:val="20"/>
          <w:szCs w:val="20"/>
          <w:color w:val="auto"/>
        </w:rPr>
      </w:pPr>
    </w:p>
    <w:p>
      <w:pPr>
        <w:ind w:right="400"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Advance Rate</w:t>
      </w:r>
      <w:r>
        <w:rPr>
          <w:rFonts w:ascii="Arial" w:cs="Arial" w:eastAsia="Arial" w:hAnsi="Arial"/>
          <w:sz w:val="18"/>
          <w:szCs w:val="18"/>
          <w:color w:val="auto"/>
        </w:rPr>
        <w:t xml:space="preserve">” means, as to any Portfolio Investment and subject to adjustment as provided in </w:t>
      </w:r>
      <w:r>
        <w:rPr>
          <w:rFonts w:ascii="Arial" w:cs="Arial" w:eastAsia="Arial" w:hAnsi="Arial"/>
          <w:sz w:val="18"/>
          <w:szCs w:val="18"/>
          <w:u w:val="single" w:color="auto"/>
          <w:color w:val="auto"/>
        </w:rPr>
        <w:t>Section 5.13(a)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the following percentages with respect to such Portfolio Investment:</w:t>
      </w:r>
    </w:p>
    <w:p>
      <w:pPr>
        <w:spacing w:after="0" w:line="193" w:lineRule="exact"/>
        <w:rPr>
          <w:sz w:val="20"/>
          <w:szCs w:val="20"/>
          <w:color w:val="auto"/>
        </w:rPr>
      </w:pPr>
    </w:p>
    <w:tbl>
      <w:tblPr>
        <w:tblLayout w:type="fixed"/>
        <w:tblInd w:w="1360" w:type="dxa"/>
        <w:tblCellMar>
          <w:top w:w="0" w:type="dxa"/>
          <w:left w:w="0" w:type="dxa"/>
          <w:bottom w:w="0" w:type="dxa"/>
          <w:right w:w="0" w:type="dxa"/>
        </w:tblCellMar>
      </w:tblPr>
      <w:tr>
        <w:trPr>
          <w:trHeight w:val="167"/>
        </w:trPr>
        <w:tc>
          <w:tcPr>
            <w:tcW w:w="6540" w:type="dxa"/>
            <w:vAlign w:val="bottom"/>
            <w:gridSpan w:val="2"/>
          </w:tcPr>
          <w:p>
            <w:pPr>
              <w:spacing w:after="0"/>
              <w:rPr>
                <w:sz w:val="20"/>
                <w:szCs w:val="20"/>
                <w:color w:val="auto"/>
              </w:rPr>
            </w:pPr>
            <w:r>
              <w:rPr>
                <w:rFonts w:ascii="Arial" w:cs="Arial" w:eastAsia="Arial" w:hAnsi="Arial"/>
                <w:sz w:val="14"/>
                <w:szCs w:val="14"/>
                <w:color w:val="auto"/>
              </w:rPr>
              <w:t>Portfolio Investment</w:t>
            </w:r>
          </w:p>
        </w:tc>
        <w:tc>
          <w:tcPr>
            <w:tcW w:w="1200" w:type="dxa"/>
            <w:vAlign w:val="bottom"/>
            <w:gridSpan w:val="2"/>
          </w:tcPr>
          <w:p>
            <w:pPr>
              <w:jc w:val="right"/>
              <w:ind w:right="760"/>
              <w:spacing w:after="0"/>
              <w:rPr>
                <w:sz w:val="20"/>
                <w:szCs w:val="20"/>
                <w:color w:val="auto"/>
              </w:rPr>
            </w:pPr>
            <w:r>
              <w:rPr>
                <w:rFonts w:ascii="Arial" w:cs="Arial" w:eastAsia="Arial" w:hAnsi="Arial"/>
                <w:sz w:val="14"/>
                <w:szCs w:val="14"/>
                <w:color w:val="auto"/>
                <w:w w:val="91"/>
              </w:rPr>
              <w:t>Quoted</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w w:val="92"/>
              </w:rPr>
              <w:t>Unquoted</w:t>
            </w:r>
          </w:p>
        </w:tc>
      </w:tr>
      <w:tr>
        <w:trPr>
          <w:trHeight w:val="20"/>
        </w:trPr>
        <w:tc>
          <w:tcPr>
            <w:tcW w:w="1180" w:type="dxa"/>
            <w:vAlign w:val="bottom"/>
            <w:tcBorders>
              <w:bottom w:val="single" w:sz="8" w:color="CCEEFF"/>
            </w:tcBorders>
            <w:shd w:val="clear" w:color="auto" w:fill="000000"/>
          </w:tcPr>
          <w:p>
            <w:pPr>
              <w:spacing w:after="0" w:line="20" w:lineRule="exact"/>
              <w:rPr>
                <w:sz w:val="1"/>
                <w:szCs w:val="1"/>
                <w:color w:val="auto"/>
              </w:rPr>
            </w:pPr>
          </w:p>
        </w:tc>
        <w:tc>
          <w:tcPr>
            <w:tcW w:w="53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203"/>
        </w:trPr>
        <w:tc>
          <w:tcPr>
            <w:tcW w:w="65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Cash, Cash Equivalents and Short-Term U.S. Government Securities</w:t>
            </w:r>
          </w:p>
        </w:tc>
        <w:tc>
          <w:tcPr>
            <w:tcW w:w="1200" w:type="dxa"/>
            <w:vAlign w:val="bottom"/>
            <w:gridSpan w:val="2"/>
            <w:shd w:val="clear" w:color="auto" w:fill="CCEEFF"/>
          </w:tcPr>
          <w:p>
            <w:pPr>
              <w:jc w:val="right"/>
              <w:ind w:right="620"/>
              <w:spacing w:after="0" w:line="203" w:lineRule="exact"/>
              <w:rPr>
                <w:sz w:val="20"/>
                <w:szCs w:val="20"/>
                <w:color w:val="auto"/>
              </w:rPr>
            </w:pPr>
            <w:r>
              <w:rPr>
                <w:rFonts w:ascii="Arial" w:cs="Arial" w:eastAsia="Arial" w:hAnsi="Arial"/>
                <w:sz w:val="18"/>
                <w:szCs w:val="18"/>
                <w:color w:val="auto"/>
              </w:rPr>
              <w:t>100%</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n.a.</w:t>
            </w:r>
          </w:p>
        </w:tc>
        <w:tc>
          <w:tcPr>
            <w:tcW w:w="200" w:type="dxa"/>
            <w:vAlign w:val="bottom"/>
            <w:shd w:val="clear" w:color="auto" w:fill="CCEEFF"/>
          </w:tcPr>
          <w:p>
            <w:pPr>
              <w:spacing w:after="0"/>
              <w:rPr>
                <w:sz w:val="17"/>
                <w:szCs w:val="17"/>
                <w:color w:val="auto"/>
              </w:rPr>
            </w:pP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Long-Term U.S. Government Securities</w:t>
            </w: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95%</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Performing First Lien Bank Loans</w:t>
            </w: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85%</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Performing Unitranche Loans</w:t>
            </w: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80%</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Performing Second Lien Bank Loans</w:t>
            </w: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75%</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Performing Cash Pay High Yield Securities</w:t>
            </w: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70%</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Performing Cash Pay Mezzanine Investments</w:t>
            </w: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65%</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Performing Non-Cash Pay High Yield Securities</w:t>
            </w: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60%</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Performing Non-Cash Pay Mezzanine Investments</w:t>
            </w: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55%</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Non-Performing First Lien Bank Loans</w:t>
            </w: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45%</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Non-Performing Unitranche Loans</w:t>
            </w: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40%</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Non-Performing Second Lien Bank Loans</w:t>
            </w: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40%</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Non-Performing High Yield Securities</w:t>
            </w: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30%</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Non-Performing Mezzanine Investments</w:t>
            </w: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30%</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Performing Common Equity</w:t>
            </w: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30%</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Non-Performing Common Equity</w:t>
            </w: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0%</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Structured Finance Obligations and Finance Leases</w:t>
            </w: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274" w:right="339" w:bottom="1440" w:gutter="0" w:footer="0" w:header="0"/>
        </w:sectPr>
      </w:pPr>
    </w:p>
    <w:bookmarkStart w:id="97" w:name="page98"/>
    <w:bookmarkEnd w:id="97"/>
    <w:p>
      <w:pPr>
        <w:jc w:val="both"/>
        <w:ind w:right="540" w:firstLine="898"/>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Bank Loans</w:t>
      </w:r>
      <w:r>
        <w:rPr>
          <w:rFonts w:ascii="Arial" w:cs="Arial" w:eastAsia="Arial" w:hAnsi="Arial"/>
          <w:sz w:val="18"/>
          <w:szCs w:val="18"/>
          <w:color w:val="auto"/>
        </w:rPr>
        <w:t>” means debt obligations (including term loans, revolving loans, debtor-in-possession financings, the funded and unfunded portion of revolving credit lines and letter of credit facilities and other similar loans and investments including interim loans and senior subordinated loans) which are generally under a syndicated loan or credit facility.</w:t>
      </w:r>
    </w:p>
    <w:p>
      <w:pPr>
        <w:spacing w:after="0" w:line="184" w:lineRule="exact"/>
        <w:rPr>
          <w:sz w:val="20"/>
          <w:szCs w:val="20"/>
          <w:color w:val="auto"/>
        </w:rPr>
      </w:pPr>
    </w:p>
    <w:p>
      <w:pPr>
        <w:ind w:right="160" w:firstLine="89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Stock</w:t>
      </w:r>
      <w:r>
        <w:rPr>
          <w:rFonts w:ascii="Arial" w:cs="Arial" w:eastAsia="Arial" w:hAnsi="Arial"/>
          <w:sz w:val="16"/>
          <w:szCs w:val="16"/>
          <w:color w:val="auto"/>
        </w:rPr>
        <w:t>” of any Person means any and all shares of corporate stock (however designated) of and any and all other Equity Interests and participations representing ownership interests (including membership interests and limited liability company interests) in, such Person.</w:t>
      </w:r>
    </w:p>
    <w:p>
      <w:pPr>
        <w:spacing w:after="0" w:line="12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Credit Agreement.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Credit Agreement.</w:t>
      </w:r>
    </w:p>
    <w:p>
      <w:pPr>
        <w:spacing w:after="0" w:line="225" w:lineRule="exact"/>
        <w:rPr>
          <w:sz w:val="20"/>
          <w:szCs w:val="20"/>
          <w:color w:val="auto"/>
        </w:rPr>
      </w:pPr>
    </w:p>
    <w:p>
      <w:pPr>
        <w:ind w:right="200" w:firstLine="89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Bank Loan</w:t>
      </w:r>
      <w:r>
        <w:rPr>
          <w:rFonts w:ascii="Arial" w:cs="Arial" w:eastAsia="Arial" w:hAnsi="Arial"/>
          <w:sz w:val="18"/>
          <w:szCs w:val="18"/>
          <w:color w:val="auto"/>
        </w:rPr>
        <w:t>” means a Bank Loan that is entitled to the benefit of a first lien and first priority perfected security interest (subject to Liens for “ABL” revolvers and customary encumbrances) on a substantial portion of the assets of the respective borrower and guarantors obligated in respect thereof. An Obligor’s investment in the first-out portion of a Unitranche Loan shall be treated as a First Lien Bank Loan for purposes of determining the applicable Advance Rate for such portion of such Portfolio Investment.</w:t>
      </w:r>
    </w:p>
    <w:p>
      <w:pPr>
        <w:spacing w:after="0" w:line="187" w:lineRule="exact"/>
        <w:rPr>
          <w:sz w:val="20"/>
          <w:szCs w:val="20"/>
          <w:color w:val="auto"/>
        </w:rPr>
      </w:pPr>
    </w:p>
    <w:p>
      <w:pPr>
        <w:ind w:right="200" w:firstLine="89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High Yield Securities</w:t>
      </w:r>
      <w:r>
        <w:rPr>
          <w:rFonts w:ascii="Arial" w:cs="Arial" w:eastAsia="Arial" w:hAnsi="Arial"/>
          <w:sz w:val="18"/>
          <w:szCs w:val="18"/>
          <w:color w:val="auto"/>
        </w:rPr>
        <w:t>” means debt Securities and Preferred Stock, in each case (a) issued by public or private issuers, (b) issued pursuant to an effective registration statement or pursuant to Rule 144A under the Securities Act (or any successor provision thereunder) or other exemption to the Securities Act and (c) that are not Cash Equivalents, Mezzanine Investments or Bank Loans.</w:t>
      </w:r>
    </w:p>
    <w:p>
      <w:pPr>
        <w:spacing w:after="0" w:line="184" w:lineRule="exact"/>
        <w:rPr>
          <w:sz w:val="20"/>
          <w:szCs w:val="20"/>
          <w:color w:val="auto"/>
        </w:rPr>
      </w:pPr>
    </w:p>
    <w:p>
      <w:pPr>
        <w:ind w:right="620"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Long-Term U.S. Government Securities</w:t>
      </w:r>
      <w:r>
        <w:rPr>
          <w:rFonts w:ascii="Arial" w:cs="Arial" w:eastAsia="Arial" w:hAnsi="Arial"/>
          <w:sz w:val="18"/>
          <w:szCs w:val="18"/>
          <w:color w:val="auto"/>
        </w:rPr>
        <w:t>” means U.S. Government Securities maturing more than one year from the applicable date of determination.</w:t>
      </w:r>
    </w:p>
    <w:p>
      <w:pPr>
        <w:spacing w:after="0" w:line="170" w:lineRule="exact"/>
        <w:rPr>
          <w:sz w:val="20"/>
          <w:szCs w:val="20"/>
          <w:color w:val="auto"/>
        </w:rPr>
      </w:pPr>
    </w:p>
    <w:p>
      <w:pPr>
        <w:ind w:right="380" w:firstLine="89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Mezzanine Investments</w:t>
      </w:r>
      <w:r>
        <w:rPr>
          <w:rFonts w:ascii="Arial" w:cs="Arial" w:eastAsia="Arial" w:hAnsi="Arial"/>
          <w:sz w:val="18"/>
          <w:szCs w:val="18"/>
          <w:color w:val="auto"/>
        </w:rPr>
        <w:t>” means debt Securities (including convertible debt Securities (other than the “in-the-money” equity component thereof)) and Preferred Stock in each case (a) issued by public or private issuers, (b) issued without registration under the Securities Act, (c) not issued pursuant to Rule 144A under the Securities Act (or any successor provision thereunder), (d) that are not Cash Equivalents and (e) contractually subordinated in right of payment to other debt of the same issuer.</w:t>
      </w:r>
    </w:p>
    <w:p>
      <w:pPr>
        <w:spacing w:after="0" w:line="187" w:lineRule="exact"/>
        <w:rPr>
          <w:sz w:val="20"/>
          <w:szCs w:val="20"/>
          <w:color w:val="auto"/>
        </w:rPr>
      </w:pPr>
    </w:p>
    <w:p>
      <w:pPr>
        <w:ind w:right="240"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Non-Performing Common Equity</w:t>
      </w:r>
      <w:r>
        <w:rPr>
          <w:rFonts w:ascii="Arial" w:cs="Arial" w:eastAsia="Arial" w:hAnsi="Arial"/>
          <w:sz w:val="18"/>
          <w:szCs w:val="18"/>
          <w:color w:val="auto"/>
        </w:rPr>
        <w:t>” means Capital Stock (other than Preferred Stock) and warrants of an issuer having any debt outstanding that is non-Performing.</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Non-Performing First Lien Bank Loans</w:t>
      </w:r>
      <w:r>
        <w:rPr>
          <w:rFonts w:ascii="Arial" w:cs="Arial" w:eastAsia="Arial" w:hAnsi="Arial"/>
          <w:sz w:val="18"/>
          <w:szCs w:val="18"/>
          <w:color w:val="auto"/>
        </w:rPr>
        <w:t>” means First Lien Bank Loans other than Performing First Lien Bank Loans.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Non-Performing High Yield Securities</w:t>
      </w:r>
      <w:r>
        <w:rPr>
          <w:rFonts w:ascii="Arial" w:cs="Arial" w:eastAsia="Arial" w:hAnsi="Arial"/>
          <w:sz w:val="18"/>
          <w:szCs w:val="18"/>
          <w:color w:val="auto"/>
        </w:rPr>
        <w:t>” means High Yield Securities other than Performing High Yield Securities.</w:t>
      </w:r>
    </w:p>
    <w:p>
      <w:pPr>
        <w:spacing w:after="0" w:line="158" w:lineRule="exact"/>
        <w:rPr>
          <w:sz w:val="20"/>
          <w:szCs w:val="20"/>
          <w:color w:val="auto"/>
        </w:rPr>
      </w:pPr>
    </w:p>
    <w:p>
      <w:pPr>
        <w:ind w:left="9020"/>
        <w:spacing w:after="0"/>
        <w:rPr>
          <w:sz w:val="20"/>
          <w:szCs w:val="20"/>
          <w:color w:val="auto"/>
        </w:rPr>
      </w:pPr>
      <w:r>
        <w:rPr>
          <w:rFonts w:ascii="Arial" w:cs="Arial" w:eastAsia="Arial" w:hAnsi="Arial"/>
          <w:sz w:val="15"/>
          <w:szCs w:val="15"/>
          <w:i w:val="1"/>
          <w:iCs w:val="1"/>
          <w:color w:val="auto"/>
        </w:rPr>
        <w:t>Second Amended and Restated</w:t>
      </w:r>
    </w:p>
    <w:p>
      <w:pPr>
        <w:spacing w:after="0" w:line="5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274" w:right="339" w:bottom="1440" w:gutter="0" w:footer="0" w:header="0"/>
        </w:sectPr>
      </w:pPr>
    </w:p>
    <w:bookmarkStart w:id="98" w:name="page99"/>
    <w:bookmarkEnd w:id="98"/>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Non-Performing Mezzanine Investments</w:t>
      </w:r>
      <w:r>
        <w:rPr>
          <w:rFonts w:ascii="Arial" w:cs="Arial" w:eastAsia="Arial" w:hAnsi="Arial"/>
          <w:sz w:val="18"/>
          <w:szCs w:val="18"/>
          <w:color w:val="auto"/>
        </w:rPr>
        <w:t>” means Mezzanine Investments other than Performing Mezzanine Investments.</w:t>
      </w:r>
    </w:p>
    <w:p>
      <w:pPr>
        <w:spacing w:after="0" w:line="225" w:lineRule="exact"/>
        <w:rPr>
          <w:sz w:val="20"/>
          <w:szCs w:val="20"/>
          <w:color w:val="auto"/>
        </w:rPr>
      </w:pPr>
    </w:p>
    <w:p>
      <w:pPr>
        <w:ind w:right="100"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Non-Performing Portfolio Investment</w:t>
      </w:r>
      <w:r>
        <w:rPr>
          <w:rFonts w:ascii="Arial" w:cs="Arial" w:eastAsia="Arial" w:hAnsi="Arial"/>
          <w:sz w:val="18"/>
          <w:szCs w:val="18"/>
          <w:color w:val="auto"/>
        </w:rPr>
        <w:t>” means Portfolio Investments for which the issuer is in default of any payment obligations of principal or interest in respect thereof after the expiration of any applicable grace period.</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Non-Performing Second Lien Bank Loans</w:t>
      </w:r>
      <w:r>
        <w:rPr>
          <w:rFonts w:ascii="Arial" w:cs="Arial" w:eastAsia="Arial" w:hAnsi="Arial"/>
          <w:sz w:val="18"/>
          <w:szCs w:val="18"/>
          <w:color w:val="auto"/>
        </w:rPr>
        <w:t>” means Second Lien Bank Loans other than Performing Second Lien Bank Loans.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Non-Performing Unitranche Loans</w:t>
      </w:r>
      <w:r>
        <w:rPr>
          <w:rFonts w:ascii="Arial" w:cs="Arial" w:eastAsia="Arial" w:hAnsi="Arial"/>
          <w:sz w:val="18"/>
          <w:szCs w:val="18"/>
          <w:color w:val="auto"/>
        </w:rPr>
        <w:t>” means Unitranche Loans other than Performing Unitranche Loans.</w:t>
      </w:r>
    </w:p>
    <w:p>
      <w:pPr>
        <w:spacing w:after="0" w:line="225" w:lineRule="exact"/>
        <w:rPr>
          <w:sz w:val="20"/>
          <w:szCs w:val="20"/>
          <w:color w:val="auto"/>
        </w:rPr>
      </w:pPr>
    </w:p>
    <w:p>
      <w:pPr>
        <w:ind w:right="320" w:firstLine="89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Performing</w:t>
      </w:r>
      <w:r>
        <w:rPr>
          <w:rFonts w:ascii="Arial" w:cs="Arial" w:eastAsia="Arial" w:hAnsi="Arial"/>
          <w:sz w:val="16"/>
          <w:szCs w:val="16"/>
          <w:color w:val="auto"/>
        </w:rPr>
        <w:t>” means (a) with respect to any Portfolio Investment that is debt (or any other debt), the issuer of such Portfolio Investment (or other debt) is not in default of any payment obligations of principal or interest in respect thereof after the expiration of any applicable grace period and</w:t>
      </w:r>
    </w:p>
    <w:p>
      <w:pPr>
        <w:ind w:right="40" w:firstLine="8"/>
        <w:spacing w:after="0" w:line="260" w:lineRule="auto"/>
        <w:tabs>
          <w:tab w:leader="none" w:pos="25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with respect to any Portfolio Investment that is Preferred Stock, the issuer of such Portfolio Investment has not failed to meet any scheduled redemption obligations or to pay its latest declared cash dividend, after the expiration of any applicable grace period.</w:t>
      </w:r>
    </w:p>
    <w:p>
      <w:pPr>
        <w:spacing w:after="0" w:line="185" w:lineRule="exact"/>
        <w:rPr>
          <w:sz w:val="20"/>
          <w:szCs w:val="20"/>
          <w:color w:val="auto"/>
        </w:rPr>
      </w:pPr>
    </w:p>
    <w:p>
      <w:pPr>
        <w:ind w:right="60" w:firstLine="89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Performing Cash Pay High Yield Securities</w:t>
      </w:r>
      <w:r>
        <w:rPr>
          <w:rFonts w:ascii="Arial" w:cs="Arial" w:eastAsia="Arial" w:hAnsi="Arial"/>
          <w:sz w:val="18"/>
          <w:szCs w:val="18"/>
          <w:color w:val="auto"/>
        </w:rPr>
        <w:t>” means High Yield Securities (a) as to which, at the time of determination, not less than 2/3rds of the interest (including accretions and “pay-in-kind” interest) for the current monthly, quarterly, semiannual or annual period (as applicable) is payable in cash and (b) which are Performing.</w:t>
      </w:r>
    </w:p>
    <w:p>
      <w:pPr>
        <w:spacing w:after="0" w:line="184" w:lineRule="exact"/>
        <w:rPr>
          <w:sz w:val="20"/>
          <w:szCs w:val="20"/>
          <w:color w:val="auto"/>
        </w:rPr>
      </w:pPr>
    </w:p>
    <w:p>
      <w:pPr>
        <w:ind w:right="320" w:firstLine="89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Performing Cash Pay Mezzanine Investments</w:t>
      </w:r>
      <w:r>
        <w:rPr>
          <w:rFonts w:ascii="Arial" w:cs="Arial" w:eastAsia="Arial" w:hAnsi="Arial"/>
          <w:sz w:val="18"/>
          <w:szCs w:val="18"/>
          <w:color w:val="auto"/>
        </w:rPr>
        <w:t>” means Mezzanine Investments (a) as to which, at the time of determination, not less than 2/3rds of the interest (including accretions and “pay-in-kind” interest) for the current monthly, quarterly, semi-annual or annual period (as applicable) is payable in cash and (b) which are Performing.</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Performing Common Equity</w:t>
      </w:r>
      <w:r>
        <w:rPr>
          <w:rFonts w:ascii="Arial" w:cs="Arial" w:eastAsia="Arial" w:hAnsi="Arial"/>
          <w:sz w:val="17"/>
          <w:szCs w:val="17"/>
          <w:color w:val="auto"/>
        </w:rPr>
        <w:t>” means Capital Stock (other than Preferred Stock) and warrants of an issuer all of whose outstanding debt 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Performing.</w:t>
      </w:r>
    </w:p>
    <w:p>
      <w:pPr>
        <w:spacing w:after="0" w:line="21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Performing First Lien Bank Loans</w:t>
      </w:r>
      <w:r>
        <w:rPr>
          <w:rFonts w:ascii="Arial" w:cs="Arial" w:eastAsia="Arial" w:hAnsi="Arial"/>
          <w:sz w:val="18"/>
          <w:szCs w:val="18"/>
          <w:color w:val="auto"/>
        </w:rPr>
        <w:t>” means First Lien Bank Loans which are Performing.</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Performing Non-Cash Pay High Yield Securities</w:t>
      </w:r>
      <w:r>
        <w:rPr>
          <w:rFonts w:ascii="Arial" w:cs="Arial" w:eastAsia="Arial" w:hAnsi="Arial"/>
          <w:sz w:val="17"/>
          <w:szCs w:val="17"/>
          <w:color w:val="auto"/>
        </w:rPr>
        <w:t>” means Performing High Yield Securities other than Performing Cash Pay High Yield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Securities.</w:t>
      </w:r>
    </w:p>
    <w:p>
      <w:pPr>
        <w:spacing w:after="0" w:line="211" w:lineRule="exact"/>
        <w:rPr>
          <w:sz w:val="20"/>
          <w:szCs w:val="20"/>
          <w:color w:val="auto"/>
        </w:rPr>
      </w:pPr>
    </w:p>
    <w:p>
      <w:pPr>
        <w:ind w:right="220"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Performing Non-Cash Pay Mezzanine Investments</w:t>
      </w:r>
      <w:r>
        <w:rPr>
          <w:rFonts w:ascii="Arial" w:cs="Arial" w:eastAsia="Arial" w:hAnsi="Arial"/>
          <w:sz w:val="18"/>
          <w:szCs w:val="18"/>
          <w:color w:val="auto"/>
        </w:rPr>
        <w:t>” means Performing Mezzanine Investments other than Performing Cash Pay Mezzanine Investments.</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Performing Second Lien Bank Loans</w:t>
      </w:r>
      <w:r>
        <w:rPr>
          <w:rFonts w:ascii="Arial" w:cs="Arial" w:eastAsia="Arial" w:hAnsi="Arial"/>
          <w:sz w:val="18"/>
          <w:szCs w:val="18"/>
          <w:color w:val="auto"/>
        </w:rPr>
        <w:t>” means Second Lien Bank Loans which are Performing.</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Performing Unitranche Loans</w:t>
      </w:r>
      <w:r>
        <w:rPr>
          <w:rFonts w:ascii="Arial" w:cs="Arial" w:eastAsia="Arial" w:hAnsi="Arial"/>
          <w:sz w:val="18"/>
          <w:szCs w:val="18"/>
          <w:color w:val="auto"/>
        </w:rPr>
        <w:t>” means Unitranche Loans which are Performing.</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274" w:right="339" w:bottom="1440" w:gutter="0" w:footer="0" w:header="0"/>
        </w:sectPr>
      </w:pPr>
    </w:p>
    <w:bookmarkStart w:id="99" w:name="page100"/>
    <w:bookmarkEnd w:id="99"/>
    <w:p>
      <w:pPr>
        <w:ind w:right="180" w:firstLine="89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Preferred Stock</w:t>
      </w:r>
      <w:r>
        <w:rPr>
          <w:rFonts w:ascii="Arial" w:cs="Arial" w:eastAsia="Arial" w:hAnsi="Arial"/>
          <w:sz w:val="18"/>
          <w:szCs w:val="18"/>
          <w:color w:val="auto"/>
        </w:rPr>
        <w:t>,” as applied to the Capital Stock of any Person, means Capital Stock of such Person of any class or classes (however designated) that ranks prior, as to the payment of dividends or as to the distribution of assets upon any voluntary or involuntary liquidation, dissolution or winding up of such Person, to any shares (or other interests) of other Capital Stock of such Person, and shall include, without limitation, cumulative preferred, non-cumulative preferred, participating preferred and convertible preferred Capital Stock.</w:t>
      </w:r>
    </w:p>
    <w:p>
      <w:pPr>
        <w:spacing w:after="0" w:line="187" w:lineRule="exact"/>
        <w:rPr>
          <w:sz w:val="20"/>
          <w:szCs w:val="20"/>
          <w:color w:val="auto"/>
        </w:rPr>
      </w:pPr>
    </w:p>
    <w:p>
      <w:pPr>
        <w:ind w:right="380" w:firstLine="89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Second Lien Bank Loan</w:t>
      </w:r>
      <w:r>
        <w:rPr>
          <w:rFonts w:ascii="Arial" w:cs="Arial" w:eastAsia="Arial" w:hAnsi="Arial"/>
          <w:sz w:val="16"/>
          <w:szCs w:val="16"/>
          <w:color w:val="auto"/>
        </w:rPr>
        <w:t>” means a Bank Loan that is entitled to the benefit of a second lien and second priority perfected security interest (subject to customary encumbrances) on a substantial portion of the assets of the respective Borrower and guarantors obligated in respect thereof.</w:t>
      </w:r>
    </w:p>
    <w:p>
      <w:pPr>
        <w:spacing w:after="0" w:line="124" w:lineRule="exact"/>
        <w:rPr>
          <w:sz w:val="20"/>
          <w:szCs w:val="20"/>
          <w:color w:val="auto"/>
        </w:rPr>
      </w:pPr>
    </w:p>
    <w:p>
      <w:pPr>
        <w:ind w:right="20" w:firstLine="89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w:t>
      </w:r>
      <w:r>
        <w:rPr>
          <w:rFonts w:ascii="Arial" w:cs="Arial" w:eastAsia="Arial" w:hAnsi="Arial"/>
          <w:sz w:val="18"/>
          <w:szCs w:val="18"/>
          <w:color w:val="auto"/>
        </w:rPr>
        <w:t>” means common and preferred stock, units and participations, membership interests in limited liability companies, partnership interests in partnerships, notes, bonds, debentures, trust receipts and other obligations, instruments or evidences of indebtedness, including debt instruments of public and private issuers and tax-exempt securities (including warrants, rights, put and call options and other options relating thereto, representing rights, or any combination thereof) and other property or interests commonly regarded as securities or any form of interest or participation therein, but not including Bank Loans.</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United States Securities Act of 1933, as amended.</w:t>
      </w:r>
    </w:p>
    <w:p>
      <w:pPr>
        <w:spacing w:after="0" w:line="225" w:lineRule="exact"/>
        <w:rPr>
          <w:sz w:val="20"/>
          <w:szCs w:val="20"/>
          <w:color w:val="auto"/>
        </w:rPr>
      </w:pPr>
    </w:p>
    <w:p>
      <w:pPr>
        <w:ind w:right="1080"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Short-Term U.S. Government Securities</w:t>
      </w:r>
      <w:r>
        <w:rPr>
          <w:rFonts w:ascii="Arial" w:cs="Arial" w:eastAsia="Arial" w:hAnsi="Arial"/>
          <w:sz w:val="18"/>
          <w:szCs w:val="18"/>
          <w:color w:val="auto"/>
        </w:rPr>
        <w:t>” means U.S. Government Securities maturing within one year of the applicable date of determination.</w:t>
      </w:r>
    </w:p>
    <w:p>
      <w:pPr>
        <w:spacing w:after="0" w:line="170" w:lineRule="exact"/>
        <w:rPr>
          <w:sz w:val="20"/>
          <w:szCs w:val="20"/>
          <w:color w:val="auto"/>
        </w:rPr>
      </w:pPr>
    </w:p>
    <w:p>
      <w:pPr>
        <w:ind w:right="280" w:firstLine="89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Structured Finance Obligation</w:t>
      </w:r>
      <w:r>
        <w:rPr>
          <w:rFonts w:ascii="Arial" w:cs="Arial" w:eastAsia="Arial" w:hAnsi="Arial"/>
          <w:sz w:val="18"/>
          <w:szCs w:val="18"/>
          <w:color w:val="auto"/>
        </w:rPr>
        <w:t>” means any obligation issued by a special purpose vehicle and secured directly by, referenced to, or representing ownership of, a pool of receivables or other financial assets of any obligor, including collateralized debt obligations and mortgaged-backed securities. For the avoidance of doubt, if an obligation satisfies the definition of “Structured Finance Obligation”, such obligation shall not (a) qualify as any other category of Portfolio Investment and (b) be included in the Borrowing Base.</w:t>
      </w:r>
    </w:p>
    <w:p>
      <w:pPr>
        <w:spacing w:after="0" w:line="18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Government Securities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225" w:lineRule="exact"/>
        <w:rPr>
          <w:sz w:val="20"/>
          <w:szCs w:val="20"/>
          <w:color w:val="auto"/>
        </w:rPr>
      </w:pPr>
    </w:p>
    <w:p>
      <w:pPr>
        <w:ind w:firstLine="89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Unitranche Loan</w:t>
      </w:r>
      <w:r>
        <w:rPr>
          <w:rFonts w:ascii="Arial" w:cs="Arial" w:eastAsia="Arial" w:hAnsi="Arial"/>
          <w:sz w:val="18"/>
          <w:szCs w:val="18"/>
          <w:color w:val="auto"/>
        </w:rPr>
        <w:t>” shall refer to the “second-out” portion of a First Lien Bank Loan, a portion of which is, in effect, subject to superpriority rights (the “first-out” portion) of other lenders with respect to such lenders’ right to receive distributions of collateral proceeds following an event of default (such portion, a “second-out” or “last-out” portion). An Obligor’s investment in the second-out portion shall be treated as a Unitranche Loan for purposes of determining the applicable Advance Rate for such portion of such Portfolio Investment.</w:t>
      </w:r>
    </w:p>
    <w:p>
      <w:pPr>
        <w:spacing w:after="0" w:line="18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Value</w:t>
      </w:r>
      <w:r>
        <w:rPr>
          <w:rFonts w:ascii="Arial" w:cs="Arial" w:eastAsia="Arial" w:hAnsi="Arial"/>
          <w:sz w:val="18"/>
          <w:szCs w:val="18"/>
          <w:color w:val="auto"/>
        </w:rPr>
        <w:t>” means, with respect to any Portfolio Investment, the lower of:</w:t>
      </w:r>
    </w:p>
    <w:p>
      <w:pPr>
        <w:spacing w:after="0" w:line="117" w:lineRule="exact"/>
        <w:rPr>
          <w:sz w:val="20"/>
          <w:szCs w:val="20"/>
          <w:color w:val="auto"/>
        </w:rPr>
      </w:pPr>
    </w:p>
    <w:p>
      <w:pPr>
        <w:ind w:left="1100" w:hanging="212"/>
        <w:spacing w:after="0"/>
        <w:tabs>
          <w:tab w:leader="none" w:pos="11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the most recent internal market value as determined pursuant to </w:t>
      </w:r>
      <w:r>
        <w:rPr>
          <w:rFonts w:ascii="Arial" w:cs="Arial" w:eastAsia="Arial" w:hAnsi="Arial"/>
          <w:sz w:val="18"/>
          <w:szCs w:val="18"/>
          <w:u w:val="single" w:color="auto"/>
          <w:color w:val="auto"/>
        </w:rPr>
        <w:t>Section 5.12(b)(ii)(C)</w:t>
      </w:r>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ind w:left="1160" w:hanging="272"/>
        <w:spacing w:after="0"/>
        <w:tabs>
          <w:tab w:leader="none" w:pos="11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the most recent external market value as determined pursuant to </w:t>
      </w:r>
      <w:r>
        <w:rPr>
          <w:rFonts w:ascii="Arial" w:cs="Arial" w:eastAsia="Arial" w:hAnsi="Arial"/>
          <w:sz w:val="18"/>
          <w:szCs w:val="18"/>
          <w:u w:val="single" w:color="auto"/>
          <w:color w:val="auto"/>
        </w:rPr>
        <w:t>Section 5.12(b)(ii)(A)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274" w:right="3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NEGATIVE COVENANTS</w:t>
      </w:r>
    </w:p>
    <w:p>
      <w:pPr>
        <w:spacing w:after="0" w:line="225" w:lineRule="exact"/>
        <w:rPr>
          <w:sz w:val="20"/>
          <w:szCs w:val="20"/>
          <w:color w:val="auto"/>
        </w:rPr>
      </w:pPr>
    </w:p>
    <w:p>
      <w:pPr>
        <w:ind w:right="320" w:firstLine="898"/>
        <w:spacing w:after="0" w:line="263" w:lineRule="auto"/>
        <w:rPr>
          <w:sz w:val="20"/>
          <w:szCs w:val="20"/>
          <w:color w:val="auto"/>
        </w:rPr>
      </w:pPr>
      <w:r>
        <w:rPr>
          <w:rFonts w:ascii="Arial" w:cs="Arial" w:eastAsia="Arial" w:hAnsi="Arial"/>
          <w:sz w:val="18"/>
          <w:szCs w:val="18"/>
          <w:color w:val="auto"/>
        </w:rPr>
        <w:t>Until the Commitments have expired or terminated and the principal of and interest on each Loan and all fees payable hereunder have been paid in full and all Letters of Credit have expired, been terminated, Cash Collateralized or backstopped and all LC Disbursements shall have been reimbursed, the Borrower covenants and agrees with the Lenders that:</w:t>
      </w:r>
    </w:p>
    <w:p>
      <w:pPr>
        <w:spacing w:after="0" w:line="184" w:lineRule="exact"/>
        <w:rPr>
          <w:sz w:val="20"/>
          <w:szCs w:val="20"/>
          <w:color w:val="auto"/>
        </w:rPr>
      </w:pPr>
    </w:p>
    <w:p>
      <w:pPr>
        <w:ind w:right="140" w:firstLine="898"/>
        <w:spacing w:after="0" w:line="277"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Indebtedness</w:t>
      </w:r>
      <w:r>
        <w:rPr>
          <w:rFonts w:ascii="Arial" w:cs="Arial" w:eastAsia="Arial" w:hAnsi="Arial"/>
          <w:sz w:val="18"/>
          <w:szCs w:val="18"/>
          <w:color w:val="auto"/>
        </w:rPr>
        <w:t xml:space="preserve">. Subject to the last sentence of this </w:t>
      </w:r>
      <w:r>
        <w:rPr>
          <w:rFonts w:ascii="Arial" w:cs="Arial" w:eastAsia="Arial" w:hAnsi="Arial"/>
          <w:sz w:val="18"/>
          <w:szCs w:val="18"/>
          <w:u w:val="single" w:color="auto"/>
          <w:color w:val="auto"/>
        </w:rPr>
        <w:t>Section 6.01</w:t>
      </w:r>
      <w:r>
        <w:rPr>
          <w:rFonts w:ascii="Arial" w:cs="Arial" w:eastAsia="Arial" w:hAnsi="Arial"/>
          <w:sz w:val="18"/>
          <w:szCs w:val="18"/>
          <w:color w:val="auto"/>
        </w:rPr>
        <w:t>, the Borrower will not nor will it permit any of its Subsidiaries to, create, incur, assume or permit to exist any Indebtedness, except:</w:t>
      </w:r>
    </w:p>
    <w:p>
      <w:pPr>
        <w:spacing w:after="0" w:line="170" w:lineRule="exact"/>
        <w:rPr>
          <w:sz w:val="20"/>
          <w:szCs w:val="20"/>
          <w:color w:val="auto"/>
        </w:rPr>
      </w:pPr>
    </w:p>
    <w:p>
      <w:pPr>
        <w:ind w:left="1160" w:hanging="254"/>
        <w:spacing w:after="0"/>
        <w:tabs>
          <w:tab w:leader="none" w:pos="116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Indebtedness created hereunder;</w:t>
      </w:r>
    </w:p>
    <w:p>
      <w:pPr>
        <w:spacing w:after="0" w:line="225" w:lineRule="exact"/>
        <w:rPr>
          <w:rFonts w:ascii="Arial" w:cs="Arial" w:eastAsia="Arial" w:hAnsi="Arial"/>
          <w:sz w:val="18"/>
          <w:szCs w:val="18"/>
          <w:color w:val="auto"/>
        </w:rPr>
      </w:pPr>
    </w:p>
    <w:p>
      <w:pPr>
        <w:ind w:right="100" w:firstLine="906"/>
        <w:spacing w:after="0" w:line="291" w:lineRule="auto"/>
        <w:tabs>
          <w:tab w:leader="none" w:pos="1153" w:val="left"/>
        </w:tabs>
        <w:numPr>
          <w:ilvl w:val="1"/>
          <w:numId w:val="126"/>
        </w:numPr>
        <w:rPr>
          <w:rFonts w:ascii="Arial" w:cs="Arial" w:eastAsia="Arial" w:hAnsi="Arial"/>
          <w:sz w:val="16"/>
          <w:szCs w:val="16"/>
          <w:color w:val="auto"/>
        </w:rPr>
      </w:pPr>
      <w:r>
        <w:rPr>
          <w:rFonts w:ascii="Arial" w:cs="Arial" w:eastAsia="Arial" w:hAnsi="Arial"/>
          <w:sz w:val="16"/>
          <w:szCs w:val="16"/>
          <w:color w:val="auto"/>
        </w:rPr>
        <w:t xml:space="preserve">Secured Longer-Term Indebtedness and Unsecured Longer-Term Indebtedness so long as (i) no Default or Event of Default exists at the time of the incurrence thereof, (ii) at the time of incurrence thereof, the aggregate amount of such Secured Longer-Term Indebtedness and Unsecured Longer-Term Indebtedness, taken together with other then-outstanding Indebtedness that constitutes senior securities, does not exceed the amount required to comply with the provisions of </w:t>
      </w:r>
      <w:r>
        <w:rPr>
          <w:rFonts w:ascii="Arial" w:cs="Arial" w:eastAsia="Arial" w:hAnsi="Arial"/>
          <w:sz w:val="16"/>
          <w:szCs w:val="16"/>
          <w:u w:val="single" w:color="auto"/>
          <w:color w:val="auto"/>
        </w:rPr>
        <w:t>Section 6.07(b)</w:t>
      </w:r>
      <w:r>
        <w:rPr>
          <w:rFonts w:ascii="Arial" w:cs="Arial" w:eastAsia="Arial" w:hAnsi="Arial"/>
          <w:sz w:val="16"/>
          <w:szCs w:val="16"/>
          <w:color w:val="auto"/>
        </w:rPr>
        <w:t>, and (iii) prior to and immediately after giving effect to the incurrence of any Secured Longer-Term Indebtedness, the Covered Debt Amount does not or would not exceed the Borrowing Base then in effect (for clarity, with respect to revolving loan facilities or staged advance loan facilities, “incurrence” shall be deemed to take place only at the time of each borrowing thereunder and not at any time such facility is entered into, the aggregate commitments thereunder are increased or the facility is otherwise modified);</w:t>
      </w:r>
    </w:p>
    <w:p>
      <w:pPr>
        <w:spacing w:after="0" w:line="166" w:lineRule="exact"/>
        <w:rPr>
          <w:rFonts w:ascii="Arial" w:cs="Arial" w:eastAsia="Arial" w:hAnsi="Arial"/>
          <w:sz w:val="16"/>
          <w:szCs w:val="16"/>
          <w:color w:val="auto"/>
        </w:rPr>
      </w:pPr>
    </w:p>
    <w:p>
      <w:pPr>
        <w:ind w:left="1160" w:hanging="254"/>
        <w:spacing w:after="0"/>
        <w:tabs>
          <w:tab w:leader="none" w:pos="116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Other Permitted Indebtedness;</w:t>
      </w:r>
    </w:p>
    <w:p>
      <w:pPr>
        <w:spacing w:after="0" w:line="225" w:lineRule="exact"/>
        <w:rPr>
          <w:rFonts w:ascii="Arial" w:cs="Arial" w:eastAsia="Arial" w:hAnsi="Arial"/>
          <w:sz w:val="18"/>
          <w:szCs w:val="18"/>
          <w:color w:val="auto"/>
        </w:rPr>
      </w:pPr>
    </w:p>
    <w:p>
      <w:pPr>
        <w:ind w:left="1160" w:hanging="254"/>
        <w:spacing w:after="0"/>
        <w:tabs>
          <w:tab w:leader="none" w:pos="116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Indebtedness of Financing Subsidiaries;</w:t>
      </w:r>
    </w:p>
    <w:p>
      <w:pPr>
        <w:spacing w:after="0" w:line="225" w:lineRule="exact"/>
        <w:rPr>
          <w:rFonts w:ascii="Arial" w:cs="Arial" w:eastAsia="Arial" w:hAnsi="Arial"/>
          <w:sz w:val="18"/>
          <w:szCs w:val="18"/>
          <w:color w:val="auto"/>
        </w:rPr>
      </w:pPr>
    </w:p>
    <w:p>
      <w:pPr>
        <w:ind w:left="1160" w:hanging="254"/>
        <w:spacing w:after="0"/>
        <w:tabs>
          <w:tab w:leader="none" w:pos="116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repurchase obligations arising in the ordinary course of business with respect to U.S. Government Securities;</w:t>
      </w:r>
    </w:p>
    <w:p>
      <w:pPr>
        <w:spacing w:after="0" w:line="225" w:lineRule="exact"/>
        <w:rPr>
          <w:rFonts w:ascii="Arial" w:cs="Arial" w:eastAsia="Arial" w:hAnsi="Arial"/>
          <w:sz w:val="18"/>
          <w:szCs w:val="18"/>
          <w:color w:val="auto"/>
        </w:rPr>
      </w:pPr>
    </w:p>
    <w:p>
      <w:pPr>
        <w:ind w:left="1140" w:hanging="234"/>
        <w:spacing w:after="0"/>
        <w:tabs>
          <w:tab w:leader="none" w:pos="1140" w:val="left"/>
        </w:tabs>
        <w:numPr>
          <w:ilvl w:val="1"/>
          <w:numId w:val="126"/>
        </w:numPr>
        <w:rPr>
          <w:rFonts w:ascii="Arial" w:cs="Arial" w:eastAsia="Arial" w:hAnsi="Arial"/>
          <w:sz w:val="16"/>
          <w:szCs w:val="16"/>
          <w:color w:val="auto"/>
        </w:rPr>
      </w:pPr>
      <w:r>
        <w:rPr>
          <w:rFonts w:ascii="Arial" w:cs="Arial" w:eastAsia="Arial" w:hAnsi="Arial"/>
          <w:sz w:val="16"/>
          <w:szCs w:val="16"/>
          <w:color w:val="auto"/>
        </w:rPr>
        <w:t>obligations payable to clearing agencies, brokers or dealers in connection with the purchase or sale of securities in the ordinary course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210" w:lineRule="exact"/>
        <w:rPr>
          <w:rFonts w:ascii="Arial" w:cs="Arial" w:eastAsia="Arial" w:hAnsi="Arial"/>
          <w:sz w:val="16"/>
          <w:szCs w:val="16"/>
          <w:color w:val="auto"/>
        </w:rPr>
      </w:pPr>
    </w:p>
    <w:p>
      <w:pPr>
        <w:jc w:val="both"/>
        <w:ind w:right="180" w:firstLine="906"/>
        <w:spacing w:after="0" w:line="291" w:lineRule="auto"/>
        <w:tabs>
          <w:tab w:leader="none" w:pos="1153" w:val="left"/>
        </w:tabs>
        <w:numPr>
          <w:ilvl w:val="1"/>
          <w:numId w:val="126"/>
        </w:numPr>
        <w:rPr>
          <w:rFonts w:ascii="Arial" w:cs="Arial" w:eastAsia="Arial" w:hAnsi="Arial"/>
          <w:sz w:val="16"/>
          <w:szCs w:val="16"/>
          <w:color w:val="auto"/>
        </w:rPr>
      </w:pPr>
      <w:r>
        <w:rPr>
          <w:rFonts w:ascii="Arial" w:cs="Arial" w:eastAsia="Arial" w:hAnsi="Arial"/>
          <w:sz w:val="16"/>
          <w:szCs w:val="16"/>
          <w:color w:val="auto"/>
        </w:rPr>
        <w:t>Secured Shorter-Term Indebtedness and Unsecured Shorter-Term Indebtedness (other than Permitted Indebtedness and Special Permitted Indebtedness constituting Unsecured Shorter-Term Indebtedness) so long as (i) no Default or Event of Default exists at the time of the incurrence thereof,</w:t>
      </w:r>
    </w:p>
    <w:p>
      <w:pPr>
        <w:ind w:right="220" w:firstLine="8"/>
        <w:spacing w:after="0" w:line="255" w:lineRule="auto"/>
        <w:tabs>
          <w:tab w:leader="none" w:pos="26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at the time of incurrence thereof, the aggregate amount (determined at the time of the incurrence of such Indebtedness) of such Indebtedness does not exceed 5% of Shareholders’ Equity, (iii) the aggregate amount of such Indebtedness, taken together with other then-outstanding Indebtedness that constitutes senior securities, does not exceed the</w:t>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274" w:right="339" w:bottom="1440" w:gutter="0" w:footer="0" w:header="0"/>
        </w:sectPr>
      </w:pPr>
    </w:p>
    <w:bookmarkStart w:id="101" w:name="page102"/>
    <w:bookmarkEnd w:id="101"/>
    <w:p>
      <w:pPr>
        <w:ind w:right="32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amount required to comply with the provisions of </w:t>
      </w:r>
      <w:r>
        <w:rPr>
          <w:rFonts w:ascii="Arial" w:cs="Arial" w:eastAsia="Arial" w:hAnsi="Arial"/>
          <w:sz w:val="16"/>
          <w:szCs w:val="16"/>
          <w:u w:val="single" w:color="auto"/>
          <w:color w:val="auto"/>
        </w:rPr>
        <w:t>Section 6.07(b)</w:t>
      </w:r>
      <w:r>
        <w:rPr>
          <w:rFonts w:ascii="Arial" w:cs="Arial" w:eastAsia="Arial" w:hAnsi="Arial"/>
          <w:sz w:val="16"/>
          <w:szCs w:val="16"/>
          <w:color w:val="auto"/>
        </w:rPr>
        <w:t>, and (iv) prior to and immediately after giving effect to the incurrence of any such Indebtedness, the Covered Debt Amount does not or would not exceed the Borrowing Base then in effect (for clarity, with respect to revolving loan facilities or staged advance loan facilities, “incurrence” shall be deemed to take place only at the time of each borrowing thereunder and not at any time such facility is entered into, the aggregate commitments thereunder are increased or the facility is otherwise modified);</w:t>
      </w:r>
    </w:p>
    <w:p>
      <w:pPr>
        <w:spacing w:after="0" w:line="157" w:lineRule="exact"/>
        <w:rPr>
          <w:sz w:val="20"/>
          <w:szCs w:val="20"/>
          <w:color w:val="auto"/>
        </w:rPr>
      </w:pPr>
    </w:p>
    <w:p>
      <w:pPr>
        <w:ind w:left="1160" w:hanging="254"/>
        <w:spacing w:after="0"/>
        <w:tabs>
          <w:tab w:leader="none" w:pos="116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obligations (including Guarantees) in respect of Standard Securitization Undertakings;</w:t>
      </w:r>
    </w:p>
    <w:p>
      <w:pPr>
        <w:spacing w:after="0" w:line="225" w:lineRule="exact"/>
        <w:rPr>
          <w:rFonts w:ascii="Arial" w:cs="Arial" w:eastAsia="Arial" w:hAnsi="Arial"/>
          <w:sz w:val="18"/>
          <w:szCs w:val="18"/>
          <w:color w:val="auto"/>
        </w:rPr>
      </w:pPr>
    </w:p>
    <w:p>
      <w:pPr>
        <w:ind w:left="1120" w:hanging="214"/>
        <w:spacing w:after="0"/>
        <w:tabs>
          <w:tab w:leader="none" w:pos="112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Permitted SBIC Guarantees and any SBIC Equity Commitment or analogous commitment;</w:t>
      </w:r>
    </w:p>
    <w:p>
      <w:pPr>
        <w:spacing w:after="0" w:line="225" w:lineRule="exact"/>
        <w:rPr>
          <w:rFonts w:ascii="Arial" w:cs="Arial" w:eastAsia="Arial" w:hAnsi="Arial"/>
          <w:sz w:val="18"/>
          <w:szCs w:val="18"/>
          <w:color w:val="auto"/>
        </w:rPr>
      </w:pPr>
    </w:p>
    <w:p>
      <w:pPr>
        <w:ind w:right="80" w:firstLine="906"/>
        <w:spacing w:after="0" w:line="286" w:lineRule="auto"/>
        <w:tabs>
          <w:tab w:leader="none" w:pos="1113" w:val="left"/>
        </w:tabs>
        <w:numPr>
          <w:ilvl w:val="1"/>
          <w:numId w:val="128"/>
        </w:numPr>
        <w:rPr>
          <w:rFonts w:ascii="Arial" w:cs="Arial" w:eastAsia="Arial" w:hAnsi="Arial"/>
          <w:sz w:val="16"/>
          <w:szCs w:val="16"/>
          <w:color w:val="auto"/>
        </w:rPr>
      </w:pPr>
      <w:r>
        <w:rPr>
          <w:rFonts w:ascii="Arial" w:cs="Arial" w:eastAsia="Arial" w:hAnsi="Arial"/>
          <w:sz w:val="16"/>
          <w:szCs w:val="16"/>
          <w:color w:val="auto"/>
        </w:rPr>
        <w:t xml:space="preserve">Permitted Indebtedness (other than Special Permitted Indebtedness) constituting Unsecured Shorter-Term Indebtedness so long as (i) no Default exists at the time of the incurrence thereof, (ii) the aggregate amount (determined at the time of the incurrence of such Indebtedness) of such Indebtedness does not exceed $150,000,000, (iii) at the time of incurrence thereof, the aggregate amount of such Indebtedness, taken together with other then-outstanding Indebtedness that constitutes senior securities, does not exceed the amount required to comply with the provisions of </w:t>
      </w:r>
      <w:r>
        <w:rPr>
          <w:rFonts w:ascii="Arial" w:cs="Arial" w:eastAsia="Arial" w:hAnsi="Arial"/>
          <w:sz w:val="16"/>
          <w:szCs w:val="16"/>
          <w:u w:val="single" w:color="auto"/>
          <w:color w:val="auto"/>
        </w:rPr>
        <w:t>Section 6.07(b)</w:t>
      </w:r>
      <w:r>
        <w:rPr>
          <w:rFonts w:ascii="Arial" w:cs="Arial" w:eastAsia="Arial" w:hAnsi="Arial"/>
          <w:sz w:val="16"/>
          <w:szCs w:val="16"/>
          <w:color w:val="auto"/>
        </w:rPr>
        <w:t>, and</w:t>
      </w:r>
    </w:p>
    <w:p>
      <w:pPr>
        <w:spacing w:after="0" w:line="1" w:lineRule="exact"/>
        <w:rPr>
          <w:rFonts w:ascii="Arial" w:cs="Arial" w:eastAsia="Arial" w:hAnsi="Arial"/>
          <w:sz w:val="16"/>
          <w:szCs w:val="16"/>
          <w:color w:val="auto"/>
        </w:rPr>
      </w:pPr>
    </w:p>
    <w:p>
      <w:pPr>
        <w:jc w:val="both"/>
        <w:ind w:right="20" w:firstLine="8"/>
        <w:spacing w:after="0" w:line="253" w:lineRule="auto"/>
        <w:tabs>
          <w:tab w:leader="none" w:pos="30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prior to and immediately after giving effect to the incurrence of any such Indebtedness, the Covered Debt Amount does not or would not exceed the Borrowing Base then in effect (for clarity, with respect to revolving loan facilities or staged advance loan facilities, “incurrence” shall be deemed to take place only at the time of each borrowing thereunder and not at any time such facility is entered into, the aggregate commitments thereunder are increased or the facility is otherwise modified);</w:t>
      </w:r>
    </w:p>
    <w:p>
      <w:pPr>
        <w:spacing w:after="0" w:line="192" w:lineRule="exact"/>
        <w:rPr>
          <w:rFonts w:ascii="Arial" w:cs="Arial" w:eastAsia="Arial" w:hAnsi="Arial"/>
          <w:sz w:val="18"/>
          <w:szCs w:val="18"/>
          <w:color w:val="auto"/>
        </w:rPr>
      </w:pPr>
    </w:p>
    <w:p>
      <w:pPr>
        <w:ind w:right="180" w:firstLine="906"/>
        <w:spacing w:after="0" w:line="254" w:lineRule="auto"/>
        <w:tabs>
          <w:tab w:leader="none" w:pos="1153" w:val="left"/>
        </w:tabs>
        <w:numPr>
          <w:ilvl w:val="1"/>
          <w:numId w:val="129"/>
        </w:numPr>
        <w:rPr>
          <w:rFonts w:ascii="Arial" w:cs="Arial" w:eastAsia="Arial" w:hAnsi="Arial"/>
          <w:sz w:val="18"/>
          <w:szCs w:val="18"/>
          <w:color w:val="auto"/>
        </w:rPr>
      </w:pPr>
      <w:r>
        <w:rPr>
          <w:rFonts w:ascii="Arial" w:cs="Arial" w:eastAsia="Arial" w:hAnsi="Arial"/>
          <w:sz w:val="18"/>
          <w:szCs w:val="18"/>
          <w:color w:val="auto"/>
        </w:rPr>
        <w:t xml:space="preserve">Special Permitted Indebtedness constituting Unsecured Shorter-Term Indebtedness so long as (i) no Default exists at the time of the incurrence thereof, (ii) the aggregate amount (determined at the time of the incurrence of such Indebtedness) of such Indebtedness does not exceed $300,000,000, (iii) at the time of incurrence thereof, the aggregate amount of such Indebtedness, taken together with other then-outstanding Indebtedness that constitutes senior securities, does not exceed the amount required to comply with the provisions of </w:t>
      </w:r>
      <w:r>
        <w:rPr>
          <w:rFonts w:ascii="Arial" w:cs="Arial" w:eastAsia="Arial" w:hAnsi="Arial"/>
          <w:sz w:val="18"/>
          <w:szCs w:val="18"/>
          <w:u w:val="single" w:color="auto"/>
          <w:color w:val="auto"/>
        </w:rPr>
        <w:t>Section 6.07(b)</w:t>
      </w:r>
      <w:r>
        <w:rPr>
          <w:rFonts w:ascii="Arial" w:cs="Arial" w:eastAsia="Arial" w:hAnsi="Arial"/>
          <w:sz w:val="18"/>
          <w:szCs w:val="18"/>
          <w:color w:val="auto"/>
        </w:rPr>
        <w:t>, and (iv) prior to and immediately after giving effect to the incurrence of any such Indebtedness, the Covered Debt Amount does not or would not exceed the Borrowing Base then in effect (for clarity, with respect to revolving loan facilities or staged advance loan facilities, “incurrence” shall be deemed to take place only at the time of each borrowing thereunder and not at any time such facility is entered into, the aggregate commitments thereunder are increased or the facility is otherwise modified);</w:t>
      </w:r>
    </w:p>
    <w:p>
      <w:pPr>
        <w:spacing w:after="0" w:line="191" w:lineRule="exact"/>
        <w:rPr>
          <w:rFonts w:ascii="Arial" w:cs="Arial" w:eastAsia="Arial" w:hAnsi="Arial"/>
          <w:sz w:val="18"/>
          <w:szCs w:val="18"/>
          <w:color w:val="auto"/>
        </w:rPr>
      </w:pPr>
    </w:p>
    <w:p>
      <w:pPr>
        <w:ind w:left="1120" w:hanging="214"/>
        <w:spacing w:after="0"/>
        <w:tabs>
          <w:tab w:leader="none" w:pos="112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other Indebtedness not to exceed $1,500,000 at any time; and</w:t>
      </w:r>
    </w:p>
    <w:p>
      <w:pPr>
        <w:spacing w:after="0" w:line="225" w:lineRule="exact"/>
        <w:rPr>
          <w:rFonts w:ascii="Arial" w:cs="Arial" w:eastAsia="Arial" w:hAnsi="Arial"/>
          <w:sz w:val="18"/>
          <w:szCs w:val="18"/>
          <w:color w:val="auto"/>
        </w:rPr>
      </w:pPr>
    </w:p>
    <w:p>
      <w:pPr>
        <w:ind w:left="1220" w:hanging="314"/>
        <w:spacing w:after="0"/>
        <w:tabs>
          <w:tab w:leader="none" w:pos="122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guarantees of other Indebtedness otherwise permitted hereunder.</w:t>
      </w:r>
    </w:p>
    <w:p>
      <w:pPr>
        <w:spacing w:after="0" w:line="225" w:lineRule="exact"/>
        <w:rPr>
          <w:sz w:val="20"/>
          <w:szCs w:val="20"/>
          <w:color w:val="auto"/>
        </w:rPr>
      </w:pPr>
    </w:p>
    <w:p>
      <w:pPr>
        <w:ind w:right="60" w:firstLine="898"/>
        <w:spacing w:after="0" w:line="263" w:lineRule="auto"/>
        <w:rPr>
          <w:sz w:val="20"/>
          <w:szCs w:val="20"/>
          <w:color w:val="auto"/>
        </w:rPr>
      </w:pPr>
      <w:r>
        <w:rPr>
          <w:rFonts w:ascii="Arial" w:cs="Arial" w:eastAsia="Arial" w:hAnsi="Arial"/>
          <w:sz w:val="18"/>
          <w:szCs w:val="18"/>
          <w:color w:val="auto"/>
        </w:rPr>
        <w:t xml:space="preserve">Notwithstanding the foregoing provisions of this Section, the Borrower will not nor will it permit any of its Subsidiaries to, create, incur, assume or permit to exist any additional Indebtedness (other than Indebtedness permitted under </w:t>
      </w:r>
      <w:r>
        <w:rPr>
          <w:rFonts w:ascii="Arial" w:cs="Arial" w:eastAsia="Arial" w:hAnsi="Arial"/>
          <w:sz w:val="18"/>
          <w:szCs w:val="18"/>
          <w:u w:val="single" w:color="auto"/>
          <w:color w:val="auto"/>
        </w:rPr>
        <w:t>clauses (c)</w:t>
      </w:r>
      <w:r>
        <w:rPr>
          <w:rFonts w:ascii="Arial" w:cs="Arial" w:eastAsia="Arial" w:hAnsi="Arial"/>
          <w:sz w:val="18"/>
          <w:szCs w:val="18"/>
          <w:color w:val="auto"/>
        </w:rPr>
        <w:t xml:space="preserve">, </w:t>
      </w:r>
      <w:r>
        <w:rPr>
          <w:rFonts w:ascii="Arial" w:cs="Arial" w:eastAsia="Arial" w:hAnsi="Arial"/>
          <w:sz w:val="18"/>
          <w:szCs w:val="18"/>
          <w:u w:val="single" w:color="auto"/>
          <w:color w:val="auto"/>
        </w:rPr>
        <w:t>(e)</w:t>
      </w:r>
      <w:r>
        <w:rPr>
          <w:rFonts w:ascii="Arial" w:cs="Arial" w:eastAsia="Arial" w:hAnsi="Arial"/>
          <w:sz w:val="18"/>
          <w:szCs w:val="18"/>
          <w:color w:val="auto"/>
        </w:rPr>
        <w:t xml:space="preserve">, </w:t>
      </w:r>
      <w:r>
        <w:rPr>
          <w:rFonts w:ascii="Arial" w:cs="Arial" w:eastAsia="Arial" w:hAnsi="Arial"/>
          <w:sz w:val="18"/>
          <w:szCs w:val="18"/>
          <w:u w:val="single" w:color="auto"/>
          <w:color w:val="auto"/>
        </w:rPr>
        <w:t>(f)</w:t>
      </w:r>
      <w:r>
        <w:rPr>
          <w:rFonts w:ascii="Arial" w:cs="Arial" w:eastAsia="Arial" w:hAnsi="Arial"/>
          <w:sz w:val="18"/>
          <w:szCs w:val="18"/>
          <w:color w:val="auto"/>
        </w:rPr>
        <w:t xml:space="preserve">, </w:t>
      </w:r>
      <w:r>
        <w:rPr>
          <w:rFonts w:ascii="Arial" w:cs="Arial" w:eastAsia="Arial" w:hAnsi="Arial"/>
          <w:sz w:val="18"/>
          <w:szCs w:val="18"/>
          <w:u w:val="single" w:color="auto"/>
          <w:color w:val="auto"/>
        </w:rPr>
        <w:t>(h)</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w:t>
      </w:r>
      <w:r>
        <w:rPr>
          <w:rFonts w:ascii="Arial" w:cs="Arial" w:eastAsia="Arial" w:hAnsi="Arial"/>
          <w:sz w:val="18"/>
          <w:szCs w:val="18"/>
          <w:color w:val="auto"/>
        </w:rPr>
        <w:t xml:space="preserve">) unless, after giving effect to such Indebtedness, (x) Shareholders’ Equity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Secured Longer-Term Indebtedness </w:t>
      </w:r>
      <w:r>
        <w:rPr>
          <w:rFonts w:ascii="Arial" w:cs="Arial" w:eastAsia="Arial" w:hAnsi="Arial"/>
          <w:sz w:val="18"/>
          <w:szCs w:val="18"/>
          <w:u w:val="single" w:color="auto"/>
          <w:color w:val="auto"/>
        </w:rPr>
        <w:t>plus</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274" w:right="339" w:bottom="1440" w:gutter="0" w:footer="0" w:header="0"/>
        </w:sectPr>
      </w:pPr>
    </w:p>
    <w:bookmarkStart w:id="102" w:name="page103"/>
    <w:bookmarkEnd w:id="102"/>
    <w:p>
      <w:pPr>
        <w:ind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Unsecured Longer-Term Indebtedness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aggregate undrawn commitments with terms in excess of sixth months exceeds (y) the Value of the Portfolio Investments that cannot be converted to Cash in fewer than 10 Business Days without more than a 5% change in price.</w:t>
      </w:r>
    </w:p>
    <w:p>
      <w:pPr>
        <w:spacing w:after="0" w:line="170" w:lineRule="exact"/>
        <w:rPr>
          <w:sz w:val="20"/>
          <w:szCs w:val="20"/>
          <w:color w:val="auto"/>
        </w:rPr>
      </w:pPr>
    </w:p>
    <w:p>
      <w:pPr>
        <w:jc w:val="both"/>
        <w:ind w:right="60" w:firstLine="898"/>
        <w:spacing w:after="0" w:line="263"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Liens</w:t>
      </w:r>
      <w:r>
        <w:rPr>
          <w:rFonts w:ascii="Arial" w:cs="Arial" w:eastAsia="Arial" w:hAnsi="Arial"/>
          <w:sz w:val="18"/>
          <w:szCs w:val="18"/>
          <w:color w:val="auto"/>
        </w:rPr>
        <w:t>. The Borrower will not, nor will it permit any of its Subsidiaries to, create, incur, assume or permit to exist any Lien on any property or asset now owned or hereafter acquired by it, or assign or sell any income or revenues (including accounts receivable) or rights in respect of any thereof except:</w:t>
      </w:r>
    </w:p>
    <w:p>
      <w:pPr>
        <w:spacing w:after="0" w:line="184" w:lineRule="exact"/>
        <w:rPr>
          <w:sz w:val="20"/>
          <w:szCs w:val="20"/>
          <w:color w:val="auto"/>
        </w:rPr>
      </w:pPr>
    </w:p>
    <w:p>
      <w:pPr>
        <w:ind w:right="160" w:firstLine="906"/>
        <w:spacing w:after="0" w:line="311" w:lineRule="auto"/>
        <w:tabs>
          <w:tab w:leader="none" w:pos="1143" w:val="left"/>
        </w:tabs>
        <w:numPr>
          <w:ilvl w:val="0"/>
          <w:numId w:val="130"/>
        </w:numPr>
        <w:rPr>
          <w:rFonts w:ascii="Arial" w:cs="Arial" w:eastAsia="Arial" w:hAnsi="Arial"/>
          <w:sz w:val="16"/>
          <w:szCs w:val="16"/>
          <w:color w:val="auto"/>
        </w:rPr>
      </w:pPr>
      <w:r>
        <w:rPr>
          <w:rFonts w:ascii="Arial" w:cs="Arial" w:eastAsia="Arial" w:hAnsi="Arial"/>
          <w:sz w:val="16"/>
          <w:szCs w:val="16"/>
          <w:color w:val="auto"/>
        </w:rPr>
        <w:t xml:space="preserve">any Lien on any property or asset of the Borrower existing on the date hereof and set forth in </w:t>
      </w:r>
      <w:r>
        <w:rPr>
          <w:rFonts w:ascii="Arial" w:cs="Arial" w:eastAsia="Arial" w:hAnsi="Arial"/>
          <w:sz w:val="16"/>
          <w:szCs w:val="16"/>
          <w:u w:val="single" w:color="auto"/>
          <w:color w:val="auto"/>
        </w:rPr>
        <w:t>Part B</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Schedule 3.11</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no such Lien shall extend to any other property or asset of the Borrower or any of its Subsidiaries, and (ii) any such Lien shall secure only those obligations which it secures on the date hereof and extensions, renewals and replacements thereof that do not increase the outstanding principal amount thereof;</w:t>
      </w:r>
    </w:p>
    <w:p>
      <w:pPr>
        <w:spacing w:after="0" w:line="148" w:lineRule="exact"/>
        <w:rPr>
          <w:rFonts w:ascii="Arial" w:cs="Arial" w:eastAsia="Arial" w:hAnsi="Arial"/>
          <w:sz w:val="16"/>
          <w:szCs w:val="16"/>
          <w:color w:val="auto"/>
        </w:rPr>
      </w:pPr>
    </w:p>
    <w:p>
      <w:pPr>
        <w:ind w:right="560" w:firstLine="906"/>
        <w:spacing w:after="0" w:line="277" w:lineRule="auto"/>
        <w:tabs>
          <w:tab w:leader="none" w:pos="1153"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Liens created pursuant to this Agreement (including </w:t>
      </w:r>
      <w:r>
        <w:rPr>
          <w:rFonts w:ascii="Arial" w:cs="Arial" w:eastAsia="Arial" w:hAnsi="Arial"/>
          <w:sz w:val="18"/>
          <w:szCs w:val="18"/>
          <w:u w:val="single" w:color="auto"/>
          <w:color w:val="auto"/>
        </w:rPr>
        <w:t>Section 2.19</w:t>
      </w:r>
      <w:r>
        <w:rPr>
          <w:rFonts w:ascii="Arial" w:cs="Arial" w:eastAsia="Arial" w:hAnsi="Arial"/>
          <w:sz w:val="18"/>
          <w:szCs w:val="18"/>
          <w:color w:val="auto"/>
        </w:rPr>
        <w:t>) or any of the Security Documents (including Liens in favor of the Designated Indebtedness Holders (as defined in the Guarantee and Security Agreement));</w:t>
      </w:r>
    </w:p>
    <w:p>
      <w:pPr>
        <w:spacing w:after="0" w:line="170" w:lineRule="exact"/>
        <w:rPr>
          <w:rFonts w:ascii="Arial" w:cs="Arial" w:eastAsia="Arial" w:hAnsi="Arial"/>
          <w:sz w:val="18"/>
          <w:szCs w:val="18"/>
          <w:color w:val="auto"/>
        </w:rPr>
      </w:pPr>
    </w:p>
    <w:p>
      <w:pPr>
        <w:ind w:left="1160" w:hanging="254"/>
        <w:spacing w:after="0"/>
        <w:tabs>
          <w:tab w:leader="none" w:pos="11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Liens on the assets of a Financing Subsidiary securing obligations of such Financing Subsidiary;</w:t>
      </w:r>
    </w:p>
    <w:p>
      <w:pPr>
        <w:spacing w:after="0" w:line="225" w:lineRule="exact"/>
        <w:rPr>
          <w:rFonts w:ascii="Arial" w:cs="Arial" w:eastAsia="Arial" w:hAnsi="Arial"/>
          <w:sz w:val="18"/>
          <w:szCs w:val="18"/>
          <w:color w:val="auto"/>
        </w:rPr>
      </w:pPr>
    </w:p>
    <w:p>
      <w:pPr>
        <w:ind w:right="260" w:firstLine="906"/>
        <w:spacing w:after="0" w:line="277" w:lineRule="auto"/>
        <w:tabs>
          <w:tab w:leader="none" w:pos="1153" w:val="left"/>
        </w:tabs>
        <w:numPr>
          <w:ilvl w:val="0"/>
          <w:numId w:val="130"/>
        </w:numPr>
        <w:rPr>
          <w:rFonts w:ascii="Arial" w:cs="Arial" w:eastAsia="Arial" w:hAnsi="Arial"/>
          <w:sz w:val="18"/>
          <w:szCs w:val="18"/>
          <w:color w:val="auto"/>
        </w:rPr>
      </w:pPr>
      <w:r>
        <w:rPr>
          <w:rFonts w:ascii="Arial" w:cs="Arial" w:eastAsia="Arial" w:hAnsi="Arial"/>
          <w:sz w:val="18"/>
          <w:szCs w:val="18"/>
          <w:color w:val="auto"/>
        </w:rPr>
        <w:t>Liens on Special Equity Interests included in the Portfolio Investments of the Borrower but only to the extent securing obligations in the manner provided in the definition of “</w:t>
      </w:r>
      <w:r>
        <w:rPr>
          <w:rFonts w:ascii="Arial" w:cs="Arial" w:eastAsia="Arial" w:hAnsi="Arial"/>
          <w:sz w:val="18"/>
          <w:szCs w:val="18"/>
          <w:u w:val="single" w:color="auto"/>
          <w:color w:val="auto"/>
        </w:rPr>
        <w:t>Special Equity Interests</w:t>
      </w:r>
      <w:r>
        <w:rPr>
          <w:rFonts w:ascii="Arial" w:cs="Arial" w:eastAsia="Arial" w:hAnsi="Arial"/>
          <w:sz w:val="18"/>
          <w:szCs w:val="18"/>
          <w:color w:val="auto"/>
        </w:rPr>
        <w:t xml:space="preserve">”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80" w:firstLine="906"/>
        <w:spacing w:after="0" w:line="257" w:lineRule="auto"/>
        <w:tabs>
          <w:tab w:leader="none" w:pos="1143"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Liens securing Indebtedness or other obligations in an aggregate principal amount not exceeding $12,500,000 at any one time outstanding (which may cover Portfolio Investments, but only to the extent released from the Lien in favor of the Collateral Agent in accordance with the requirements of Section 10.03 of the Guarantee and Security Agreement), so long as at the time of incurrence of such Indebtedness or other obligations, the aggregate amount of Indebtedness permitted under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(g)</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does not exceed the lesser of (i) the Borrowing Base and (ii) the amount required to comply with the provisions of </w:t>
      </w:r>
      <w:r>
        <w:rPr>
          <w:rFonts w:ascii="Arial" w:cs="Arial" w:eastAsia="Arial" w:hAnsi="Arial"/>
          <w:sz w:val="18"/>
          <w:szCs w:val="18"/>
          <w:u w:val="single" w:color="auto"/>
          <w:color w:val="auto"/>
        </w:rPr>
        <w:t>Section 6.07(b)</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ind w:left="1140" w:hanging="234"/>
        <w:spacing w:after="0"/>
        <w:tabs>
          <w:tab w:leader="none" w:pos="11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Permitted Liens; and</w:t>
      </w:r>
    </w:p>
    <w:p>
      <w:pPr>
        <w:spacing w:after="0" w:line="225" w:lineRule="exact"/>
        <w:rPr>
          <w:rFonts w:ascii="Arial" w:cs="Arial" w:eastAsia="Arial" w:hAnsi="Arial"/>
          <w:sz w:val="18"/>
          <w:szCs w:val="18"/>
          <w:color w:val="auto"/>
        </w:rPr>
      </w:pPr>
    </w:p>
    <w:p>
      <w:pPr>
        <w:ind w:left="1160" w:hanging="254"/>
        <w:spacing w:after="0"/>
        <w:tabs>
          <w:tab w:leader="none" w:pos="11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Liens on Equity Interests in any SBIC Subsidiary created in favor of the SBA.</w:t>
      </w:r>
    </w:p>
    <w:p>
      <w:pPr>
        <w:spacing w:after="0" w:line="225" w:lineRule="exact"/>
        <w:rPr>
          <w:sz w:val="20"/>
          <w:szCs w:val="20"/>
          <w:color w:val="auto"/>
        </w:rPr>
      </w:pPr>
    </w:p>
    <w:p>
      <w:pPr>
        <w:ind w:right="60" w:firstLine="898"/>
        <w:spacing w:after="0" w:line="255" w:lineRule="auto"/>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Fundamental Changes</w:t>
      </w:r>
      <w:r>
        <w:rPr>
          <w:rFonts w:ascii="Arial" w:cs="Arial" w:eastAsia="Arial" w:hAnsi="Arial"/>
          <w:sz w:val="18"/>
          <w:szCs w:val="18"/>
          <w:color w:val="auto"/>
        </w:rPr>
        <w:t>. The Borrower will not, nor will it permit any of its Subsidiaries (other than Financing Subsidiaries or Immaterial Subsidiaries) to, enter into any transaction of merger or consolidation or amalgamation, or liquidate, wind up or dissolve itself (or suffer any liquidation or dissolution). The Borrower will not, nor will it permit any of its Subsidiaries (other than Financing Subsidiaries) to, acquire any business or property from, or capital stock of, or be a party to any acquisition of, any Person, except for purchases or acquisitions of Portfolio Investments and other assets in the normal course of the day-to-day business activities of the Borrower and its Subsidiaries and not in violation of the terms and conditions of this Agreement</w:t>
      </w:r>
    </w:p>
    <w:p>
      <w:pPr>
        <w:spacing w:after="0" w:line="12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320" w:top="274" w:right="339" w:bottom="1440" w:gutter="0" w:footer="0" w:header="0"/>
        </w:sectPr>
      </w:pPr>
    </w:p>
    <w:bookmarkStart w:id="103" w:name="page104"/>
    <w:bookmarkEnd w:id="103"/>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or any other Loan Document. The Borrower will not, nor will it permit any of its Subsidiaries (other than Financing Subsidiaries or Immaterial Subsidiaries) to, convey, sell, lease, transfer or otherwise dispose of, in one transaction or a series of transactions, any part of its assets, whether now owned or hereafter acquired, but excluding (x) assets (other than Portfolio Investments) sold or disposed of in the ordinary course of business (including to make expenditures of cash in the normal course of the day-to-day business activities of the Borrower and its Subsidiaries) and (y) subject to the provisions of </w:t>
      </w:r>
      <w:r>
        <w:rPr>
          <w:rFonts w:ascii="Arial" w:cs="Arial" w:eastAsia="Arial" w:hAnsi="Arial"/>
          <w:sz w:val="18"/>
          <w:szCs w:val="18"/>
          <w:u w:val="single" w:color="auto"/>
          <w:color w:val="auto"/>
        </w:rPr>
        <w:t>clauses (d)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w:t>
      </w:r>
      <w:r>
        <w:rPr>
          <w:rFonts w:ascii="Arial" w:cs="Arial" w:eastAsia="Arial" w:hAnsi="Arial"/>
          <w:sz w:val="18"/>
          <w:szCs w:val="18"/>
          <w:color w:val="auto"/>
        </w:rPr>
        <w:t xml:space="preserve"> below, Portfolio Investments.</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Notwithstanding the foregoing provisions of this Section:</w:t>
      </w:r>
    </w:p>
    <w:p>
      <w:pPr>
        <w:spacing w:after="0" w:line="225" w:lineRule="exact"/>
        <w:rPr>
          <w:sz w:val="20"/>
          <w:szCs w:val="20"/>
          <w:color w:val="auto"/>
        </w:rPr>
      </w:pPr>
    </w:p>
    <w:p>
      <w:pPr>
        <w:ind w:right="300" w:firstLine="906"/>
        <w:spacing w:after="0" w:line="263" w:lineRule="auto"/>
        <w:tabs>
          <w:tab w:leader="none" w:pos="1143"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xml:space="preserve">any Subsidiary Guarantor of the Borrower may be merged or consolidated with or into the Borrower or any other Subsidiary Guarantor;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such transaction shall be between a Subsidiary Guarantor and a wholly owned Subsidiary Guarantor, the wholly owned Subsidiary Guarantor shall be the continuing or surviving corporation;</w:t>
      </w:r>
    </w:p>
    <w:p>
      <w:pPr>
        <w:spacing w:after="0" w:line="183" w:lineRule="exact"/>
        <w:rPr>
          <w:rFonts w:ascii="Arial" w:cs="Arial" w:eastAsia="Arial" w:hAnsi="Arial"/>
          <w:sz w:val="18"/>
          <w:szCs w:val="18"/>
          <w:color w:val="auto"/>
        </w:rPr>
      </w:pPr>
    </w:p>
    <w:p>
      <w:pPr>
        <w:ind w:right="540" w:firstLine="906"/>
        <w:spacing w:after="0" w:line="277" w:lineRule="auto"/>
        <w:tabs>
          <w:tab w:leader="none" w:pos="1153"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any Subsidiary of the Borrower may sell, lease, transfer or otherwise dispose of any or all of its assets (upon voluntary liquidation or otherwise) to the Borrower or any wholly owned Subsidiary Guarantor of the Borrower;</w:t>
      </w:r>
    </w:p>
    <w:p>
      <w:pPr>
        <w:spacing w:after="0" w:line="170" w:lineRule="exact"/>
        <w:rPr>
          <w:rFonts w:ascii="Arial" w:cs="Arial" w:eastAsia="Arial" w:hAnsi="Arial"/>
          <w:sz w:val="18"/>
          <w:szCs w:val="18"/>
          <w:color w:val="auto"/>
        </w:rPr>
      </w:pPr>
    </w:p>
    <w:p>
      <w:pPr>
        <w:ind w:right="60" w:firstLine="906"/>
        <w:spacing w:after="0" w:line="277" w:lineRule="auto"/>
        <w:tabs>
          <w:tab w:leader="none" w:pos="1143"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capital stock of any Subsidiary of the Borrower may be sold, transferred or otherwise disposed of to the Borrower or any wholly owned Subsidiary Guarantor of the Borrower;</w:t>
      </w:r>
    </w:p>
    <w:p>
      <w:pPr>
        <w:spacing w:after="0" w:line="170" w:lineRule="exact"/>
        <w:rPr>
          <w:rFonts w:ascii="Arial" w:cs="Arial" w:eastAsia="Arial" w:hAnsi="Arial"/>
          <w:sz w:val="18"/>
          <w:szCs w:val="18"/>
          <w:color w:val="auto"/>
        </w:rPr>
      </w:pPr>
    </w:p>
    <w:p>
      <w:pPr>
        <w:ind w:right="40" w:firstLine="906"/>
        <w:spacing w:after="0" w:line="259" w:lineRule="auto"/>
        <w:tabs>
          <w:tab w:leader="none" w:pos="1153"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Obligors may sell, transfer or otherwise dispose of Portfolio Investments (other than to a Financing Subsidiary) so long as after giving effect to such sale, transfer or other disposition (and any concurrent acquisitions of Portfolio Investments or payment of outstanding Loans or Other Covered Indebtedness) either (x) the Covered Debt Amount does not exceed the Borrowing Base or (y) if the Administrative Agent consents in writing, the amount by which the Covered Debt Amount exceeds the Borrowing Base is reduced thereby;</w:t>
      </w:r>
    </w:p>
    <w:p>
      <w:pPr>
        <w:spacing w:after="0" w:line="186" w:lineRule="exact"/>
        <w:rPr>
          <w:rFonts w:ascii="Arial" w:cs="Arial" w:eastAsia="Arial" w:hAnsi="Arial"/>
          <w:sz w:val="18"/>
          <w:szCs w:val="18"/>
          <w:color w:val="auto"/>
        </w:rPr>
      </w:pPr>
    </w:p>
    <w:p>
      <w:pPr>
        <w:ind w:right="200" w:firstLine="906"/>
        <w:spacing w:after="0" w:line="255" w:lineRule="auto"/>
        <w:tabs>
          <w:tab w:leader="none" w:pos="1143"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Obligors may sell, transfer or otherwise dispose of Portfolio Investments to a Financing Subsidiary so long as (i) after giving effect to such sale, transfer or other disposition (and any concurrent acquisitions of Portfolio Investments or payment of outstanding Loans or Other Covered Indebtedness) the Covered Debt Amount does not exceed the Borrowing Base and the Borrower delivers to the Administrative Agent a certificate of a Financial Officer to such effect and (ii) either (x) the amount by which the Borrowing Base exceeds the Covered Debt Amount immediately prior to such release is not diminished as a result of such release or (y) the Borrowing Base immediately after giving effect to such release is at least 110% of the Covered Debt Amount;</w:t>
      </w:r>
    </w:p>
    <w:p>
      <w:pPr>
        <w:spacing w:after="0" w:line="192" w:lineRule="exact"/>
        <w:rPr>
          <w:rFonts w:ascii="Arial" w:cs="Arial" w:eastAsia="Arial" w:hAnsi="Arial"/>
          <w:sz w:val="18"/>
          <w:szCs w:val="18"/>
          <w:color w:val="auto"/>
        </w:rPr>
      </w:pPr>
    </w:p>
    <w:p>
      <w:pPr>
        <w:ind w:right="480" w:firstLine="906"/>
        <w:spacing w:after="0" w:line="277" w:lineRule="auto"/>
        <w:tabs>
          <w:tab w:leader="none" w:pos="1123"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Borrower may merge or consolidate with any other Person so long as (i) the Borrower is the continuing or surviving entity in such transaction and (ii) at the time thereof and after giving effect thereto, no Default shall have occurred or be continuing;</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320" w:top="274" w:right="339" w:bottom="1440" w:gutter="0" w:footer="0" w:header="0"/>
        </w:sectPr>
      </w:pPr>
    </w:p>
    <w:bookmarkStart w:id="104" w:name="page105"/>
    <w:bookmarkEnd w:id="104"/>
    <w:p>
      <w:pPr>
        <w:jc w:val="both"/>
        <w:ind w:right="140" w:firstLine="906"/>
        <w:spacing w:after="0" w:line="263" w:lineRule="auto"/>
        <w:tabs>
          <w:tab w:leader="none" w:pos="1153" w:val="left"/>
        </w:tabs>
        <w:numPr>
          <w:ilvl w:val="0"/>
          <w:numId w:val="1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Borrower and its Subsidiaries may sell, lease, transfer or otherwise dispose of equipment or other property or assets that do not consist of Portfolio Investments so long as the aggregate amount of all such sales, leases, transfer and dispositions does not exceed $7,500,000 in any fiscal year; and</w:t>
      </w:r>
    </w:p>
    <w:p>
      <w:pPr>
        <w:spacing w:after="0" w:line="183" w:lineRule="exact"/>
        <w:rPr>
          <w:rFonts w:ascii="Arial" w:cs="Arial" w:eastAsia="Arial" w:hAnsi="Arial"/>
          <w:sz w:val="18"/>
          <w:szCs w:val="18"/>
          <w:color w:val="auto"/>
        </w:rPr>
      </w:pPr>
    </w:p>
    <w:p>
      <w:pPr>
        <w:ind w:firstLine="906"/>
        <w:spacing w:after="0" w:line="275" w:lineRule="auto"/>
        <w:tabs>
          <w:tab w:leader="none" w:pos="1153"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 Obligors may transfer assets to a Financing Subsidiary for the sole purpose of facilitating the transfer of assets from one Financing Subsidiary (or a Subsidiary that was a Financing Subsidiary immediately prior to such disposition) to another Financing Subsidiary, directly or indirectly through such Obligor (such assets, the “</w:t>
      </w:r>
      <w:r>
        <w:rPr>
          <w:rFonts w:ascii="Arial" w:cs="Arial" w:eastAsia="Arial" w:hAnsi="Arial"/>
          <w:sz w:val="17"/>
          <w:szCs w:val="17"/>
          <w:u w:val="single" w:color="auto"/>
          <w:color w:val="auto"/>
        </w:rPr>
        <w:t>Transferred Assets</w:t>
      </w:r>
      <w:r>
        <w:rPr>
          <w:rFonts w:ascii="Arial" w:cs="Arial" w:eastAsia="Arial" w:hAnsi="Arial"/>
          <w:sz w:val="17"/>
          <w:szCs w:val="17"/>
          <w:color w:val="auto"/>
        </w:rPr>
        <w:t>”), provided that (i) no Default exists or is continuing at such time, (ii) the Covered Debt Amount shall not exceed the Borrowing Base at such time and (iii) the Transferred Assets were transferred to such Obligor by the transferor Financing Subsidiary on the same Business Day that such assets are transferred by such Obligor to the transferee Financing Subsidiary.</w:t>
      </w:r>
    </w:p>
    <w:p>
      <w:pPr>
        <w:spacing w:after="0" w:line="176" w:lineRule="exact"/>
        <w:rPr>
          <w:sz w:val="20"/>
          <w:szCs w:val="20"/>
          <w:color w:val="auto"/>
        </w:rPr>
      </w:pPr>
    </w:p>
    <w:p>
      <w:pPr>
        <w:ind w:left="900"/>
        <w:spacing w:after="0"/>
        <w:rPr>
          <w:sz w:val="20"/>
          <w:szCs w:val="20"/>
          <w:color w:val="auto"/>
        </w:rPr>
      </w:pPr>
      <w:r>
        <w:rPr>
          <w:rFonts w:ascii="Arial" w:cs="Arial" w:eastAsia="Arial" w:hAnsi="Arial"/>
          <w:sz w:val="17"/>
          <w:szCs w:val="17"/>
          <w:color w:val="auto"/>
        </w:rPr>
        <w:t xml:space="preserve">SECTION 6.04. </w:t>
      </w:r>
      <w:r>
        <w:rPr>
          <w:rFonts w:ascii="Arial" w:cs="Arial" w:eastAsia="Arial" w:hAnsi="Arial"/>
          <w:sz w:val="17"/>
          <w:szCs w:val="17"/>
          <w:u w:val="single" w:color="auto"/>
          <w:color w:val="auto"/>
        </w:rPr>
        <w:t>Investments</w:t>
      </w:r>
      <w:r>
        <w:rPr>
          <w:rFonts w:ascii="Arial" w:cs="Arial" w:eastAsia="Arial" w:hAnsi="Arial"/>
          <w:sz w:val="17"/>
          <w:szCs w:val="17"/>
          <w:color w:val="auto"/>
        </w:rPr>
        <w:t>. The Borrower will not, nor will it permit any of its Subsidiaries to, acquire, make or enter into, or hold, any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Investments except:</w:t>
      </w:r>
    </w:p>
    <w:p>
      <w:pPr>
        <w:spacing w:after="0" w:line="211" w:lineRule="exact"/>
        <w:rPr>
          <w:sz w:val="20"/>
          <w:szCs w:val="20"/>
          <w:color w:val="auto"/>
        </w:rPr>
      </w:pPr>
    </w:p>
    <w:p>
      <w:pPr>
        <w:ind w:left="1160" w:hanging="254"/>
        <w:spacing w:after="0"/>
        <w:tabs>
          <w:tab w:leader="none" w:pos="116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operating deposit accounts with banks;</w:t>
      </w:r>
    </w:p>
    <w:p>
      <w:pPr>
        <w:spacing w:after="0" w:line="225" w:lineRule="exact"/>
        <w:rPr>
          <w:rFonts w:ascii="Arial" w:cs="Arial" w:eastAsia="Arial" w:hAnsi="Arial"/>
          <w:sz w:val="18"/>
          <w:szCs w:val="18"/>
          <w:color w:val="auto"/>
        </w:rPr>
      </w:pPr>
    </w:p>
    <w:p>
      <w:pPr>
        <w:ind w:left="1160" w:hanging="254"/>
        <w:spacing w:after="0"/>
        <w:tabs>
          <w:tab w:leader="none" w:pos="116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Investments by the Borrower and the Subsidiary Guarantors in the Borrower and the Subsidiary Guarantors;</w:t>
      </w:r>
    </w:p>
    <w:p>
      <w:pPr>
        <w:spacing w:after="0" w:line="225" w:lineRule="exact"/>
        <w:rPr>
          <w:rFonts w:ascii="Arial" w:cs="Arial" w:eastAsia="Arial" w:hAnsi="Arial"/>
          <w:sz w:val="18"/>
          <w:szCs w:val="18"/>
          <w:color w:val="auto"/>
        </w:rPr>
      </w:pPr>
    </w:p>
    <w:p>
      <w:pPr>
        <w:ind w:left="1160" w:hanging="254"/>
        <w:spacing w:after="0"/>
        <w:tabs>
          <w:tab w:leader="none" w:pos="116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Hedging Agreements entered into in the ordinary course of the Borrower’s financial planning and not for speculative purposes;</w:t>
      </w:r>
    </w:p>
    <w:p>
      <w:pPr>
        <w:spacing w:after="0" w:line="225" w:lineRule="exact"/>
        <w:rPr>
          <w:rFonts w:ascii="Arial" w:cs="Arial" w:eastAsia="Arial" w:hAnsi="Arial"/>
          <w:sz w:val="18"/>
          <w:szCs w:val="18"/>
          <w:color w:val="auto"/>
        </w:rPr>
      </w:pPr>
    </w:p>
    <w:p>
      <w:pPr>
        <w:ind w:right="20" w:firstLine="906"/>
        <w:spacing w:after="0" w:line="263" w:lineRule="auto"/>
        <w:tabs>
          <w:tab w:leader="none" w:pos="1153" w:val="left"/>
        </w:tabs>
        <w:numPr>
          <w:ilvl w:val="1"/>
          <w:numId w:val="133"/>
        </w:numPr>
        <w:rPr>
          <w:rFonts w:ascii="Arial" w:cs="Arial" w:eastAsia="Arial" w:hAnsi="Arial"/>
          <w:sz w:val="18"/>
          <w:szCs w:val="18"/>
          <w:color w:val="auto"/>
        </w:rPr>
      </w:pPr>
      <w:r>
        <w:rPr>
          <w:rFonts w:ascii="Arial" w:cs="Arial" w:eastAsia="Arial" w:hAnsi="Arial"/>
          <w:sz w:val="18"/>
          <w:szCs w:val="18"/>
          <w:color w:val="auto"/>
        </w:rPr>
        <w:t>Portfolio Investments by the Borrower and its Subsidiaries to the extent such Portfolio Investments are permitted under the Investment Company Act (if applicable) and in compliance in all material respects with the Borrower’s Investment Policies, in each case as in effect as of the date such Investments are acquired;</w:t>
      </w:r>
    </w:p>
    <w:p>
      <w:pPr>
        <w:spacing w:after="0" w:line="183" w:lineRule="exact"/>
        <w:rPr>
          <w:rFonts w:ascii="Arial" w:cs="Arial" w:eastAsia="Arial" w:hAnsi="Arial"/>
          <w:sz w:val="18"/>
          <w:szCs w:val="18"/>
          <w:color w:val="auto"/>
        </w:rPr>
      </w:pPr>
    </w:p>
    <w:p>
      <w:pPr>
        <w:ind w:right="140" w:firstLine="906"/>
        <w:spacing w:after="0" w:line="286" w:lineRule="auto"/>
        <w:tabs>
          <w:tab w:leader="none" w:pos="1143" w:val="left"/>
        </w:tabs>
        <w:numPr>
          <w:ilvl w:val="1"/>
          <w:numId w:val="133"/>
        </w:numPr>
        <w:rPr>
          <w:rFonts w:ascii="Arial" w:cs="Arial" w:eastAsia="Arial" w:hAnsi="Arial"/>
          <w:sz w:val="17"/>
          <w:szCs w:val="17"/>
          <w:color w:val="auto"/>
        </w:rPr>
      </w:pPr>
      <w:r>
        <w:rPr>
          <w:rFonts w:ascii="Arial" w:cs="Arial" w:eastAsia="Arial" w:hAnsi="Arial"/>
          <w:sz w:val="17"/>
          <w:szCs w:val="17"/>
          <w:color w:val="auto"/>
        </w:rPr>
        <w:t xml:space="preserve">Investments in Financing Subsidiaries so long as, (i) after giving effect to such Investment, the Covered Debt Amount does not exceed the Borrowing Base and (ii) the sum of (x) all Investments under this </w:t>
      </w:r>
      <w:r>
        <w:rPr>
          <w:rFonts w:ascii="Arial" w:cs="Arial" w:eastAsia="Arial" w:hAnsi="Arial"/>
          <w:sz w:val="17"/>
          <w:szCs w:val="17"/>
          <w:u w:val="single" w:color="auto"/>
          <w:color w:val="auto"/>
        </w:rPr>
        <w:t>clause (e)</w:t>
      </w:r>
      <w:r>
        <w:rPr>
          <w:rFonts w:ascii="Arial" w:cs="Arial" w:eastAsia="Arial" w:hAnsi="Arial"/>
          <w:sz w:val="17"/>
          <w:szCs w:val="17"/>
          <w:color w:val="auto"/>
        </w:rPr>
        <w:t xml:space="preserve"> that occur after the Commitment Termination Date and (y) all Investments under </w:t>
      </w:r>
      <w:r>
        <w:rPr>
          <w:rFonts w:ascii="Arial" w:cs="Arial" w:eastAsia="Arial" w:hAnsi="Arial"/>
          <w:sz w:val="17"/>
          <w:szCs w:val="17"/>
          <w:u w:val="single" w:color="auto"/>
          <w:color w:val="auto"/>
        </w:rPr>
        <w:t>clause (f)</w:t>
      </w:r>
      <w:r>
        <w:rPr>
          <w:rFonts w:ascii="Arial" w:cs="Arial" w:eastAsia="Arial" w:hAnsi="Arial"/>
          <w:sz w:val="17"/>
          <w:szCs w:val="17"/>
          <w:color w:val="auto"/>
        </w:rPr>
        <w:t xml:space="preserve"> below that occur after the Commitment Termination Date, shall not exceed $7,500,000 in the aggregate;</w:t>
      </w:r>
    </w:p>
    <w:p>
      <w:pPr>
        <w:spacing w:after="0" w:line="165" w:lineRule="exact"/>
        <w:rPr>
          <w:rFonts w:ascii="Arial" w:cs="Arial" w:eastAsia="Arial" w:hAnsi="Arial"/>
          <w:sz w:val="17"/>
          <w:szCs w:val="17"/>
          <w:color w:val="auto"/>
        </w:rPr>
      </w:pPr>
    </w:p>
    <w:p>
      <w:pPr>
        <w:ind w:left="1140" w:hanging="234"/>
        <w:spacing w:after="0"/>
        <w:tabs>
          <w:tab w:leader="none" w:pos="1140" w:val="left"/>
        </w:tabs>
        <w:numPr>
          <w:ilvl w:val="1"/>
          <w:numId w:val="133"/>
        </w:numPr>
        <w:rPr>
          <w:rFonts w:ascii="Arial" w:cs="Arial" w:eastAsia="Arial" w:hAnsi="Arial"/>
          <w:sz w:val="16"/>
          <w:szCs w:val="16"/>
          <w:color w:val="auto"/>
        </w:rPr>
      </w:pPr>
      <w:r>
        <w:rPr>
          <w:rFonts w:ascii="Arial" w:cs="Arial" w:eastAsia="Arial" w:hAnsi="Arial"/>
          <w:sz w:val="16"/>
          <w:szCs w:val="16"/>
          <w:color w:val="auto"/>
        </w:rPr>
        <w:t xml:space="preserve">additional Investments up to but not exceeding $75,000,000 in the aggregate;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sum of (x) all Investments under this </w:t>
      </w:r>
      <w:r>
        <w:rPr>
          <w:rFonts w:ascii="Arial" w:cs="Arial" w:eastAsia="Arial" w:hAnsi="Arial"/>
          <w:sz w:val="16"/>
          <w:szCs w:val="16"/>
          <w:u w:val="single" w:color="auto"/>
          <w:color w:val="auto"/>
        </w:rPr>
        <w:t>clause</w:t>
      </w:r>
    </w:p>
    <w:p>
      <w:pPr>
        <w:spacing w:after="0" w:line="46" w:lineRule="exact"/>
        <w:rPr>
          <w:rFonts w:ascii="Arial" w:cs="Arial" w:eastAsia="Arial" w:hAnsi="Arial"/>
          <w:sz w:val="16"/>
          <w:szCs w:val="16"/>
          <w:color w:val="auto"/>
        </w:rPr>
      </w:pPr>
    </w:p>
    <w:p>
      <w:pPr>
        <w:ind w:right="240" w:firstLine="8"/>
        <w:spacing w:after="0" w:line="260" w:lineRule="auto"/>
        <w:tabs>
          <w:tab w:leader="none" w:pos="225" w:val="left"/>
        </w:tabs>
        <w:numPr>
          <w:ilvl w:val="0"/>
          <w:numId w:val="134"/>
        </w:numPr>
        <w:rPr>
          <w:rFonts w:ascii="Arial" w:cs="Arial" w:eastAsia="Arial" w:hAnsi="Arial"/>
          <w:sz w:val="18"/>
          <w:szCs w:val="18"/>
          <w:u w:val="single" w:color="auto"/>
          <w:color w:val="auto"/>
        </w:rPr>
      </w:pPr>
      <w:r>
        <w:rPr>
          <w:rFonts w:ascii="Arial" w:cs="Arial" w:eastAsia="Arial" w:hAnsi="Arial"/>
          <w:sz w:val="18"/>
          <w:szCs w:val="18"/>
          <w:color w:val="auto"/>
        </w:rPr>
        <w:t xml:space="preserve">that occur after the Commitment Termination Date and (y) all Investments under </w:t>
      </w:r>
      <w:r>
        <w:rPr>
          <w:rFonts w:ascii="Arial" w:cs="Arial" w:eastAsia="Arial" w:hAnsi="Arial"/>
          <w:sz w:val="18"/>
          <w:szCs w:val="18"/>
          <w:u w:val="single" w:color="auto"/>
          <w:color w:val="auto"/>
        </w:rPr>
        <w:t>clause (e)</w:t>
      </w:r>
      <w:r>
        <w:rPr>
          <w:rFonts w:ascii="Arial" w:cs="Arial" w:eastAsia="Arial" w:hAnsi="Arial"/>
          <w:sz w:val="18"/>
          <w:szCs w:val="18"/>
          <w:color w:val="auto"/>
        </w:rPr>
        <w:t xml:space="preserve"> above that occur after the Commitment Termination Date, shall not exceed $7,500,000 in the aggregate;</w:t>
      </w:r>
    </w:p>
    <w:p>
      <w:pPr>
        <w:spacing w:after="0" w:line="185" w:lineRule="exact"/>
        <w:rPr>
          <w:rFonts w:ascii="Arial" w:cs="Arial" w:eastAsia="Arial" w:hAnsi="Arial"/>
          <w:sz w:val="18"/>
          <w:szCs w:val="18"/>
          <w:u w:val="single" w:color="auto"/>
          <w:color w:val="auto"/>
        </w:rPr>
      </w:pPr>
    </w:p>
    <w:p>
      <w:pPr>
        <w:ind w:left="1160" w:hanging="254"/>
        <w:spacing w:after="0"/>
        <w:tabs>
          <w:tab w:leader="none" w:pos="116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Investments in Cash and Cash Equivalents;</w:t>
      </w:r>
    </w:p>
    <w:p>
      <w:pPr>
        <w:spacing w:after="0" w:line="225" w:lineRule="exact"/>
        <w:rPr>
          <w:rFonts w:ascii="Arial" w:cs="Arial" w:eastAsia="Arial" w:hAnsi="Arial"/>
          <w:sz w:val="18"/>
          <w:szCs w:val="18"/>
          <w:color w:val="auto"/>
        </w:rPr>
      </w:pPr>
    </w:p>
    <w:p>
      <w:pPr>
        <w:ind w:left="1160" w:hanging="254"/>
        <w:spacing w:after="0"/>
        <w:tabs>
          <w:tab w:leader="none" w:pos="116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 xml:space="preserve">Investments described on </w:t>
      </w:r>
      <w:r>
        <w:rPr>
          <w:rFonts w:ascii="Arial" w:cs="Arial" w:eastAsia="Arial" w:hAnsi="Arial"/>
          <w:sz w:val="18"/>
          <w:szCs w:val="18"/>
          <w:u w:val="single" w:color="auto"/>
          <w:color w:val="auto"/>
        </w:rPr>
        <w:t>Schedule 3.12(b)</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20" w:hanging="214"/>
        <w:spacing w:after="0"/>
        <w:tabs>
          <w:tab w:leader="none" w:pos="112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Investments by a Financing Subsidiary; and</w:t>
      </w:r>
    </w:p>
    <w:p>
      <w:pPr>
        <w:spacing w:after="0" w:line="225" w:lineRule="exact"/>
        <w:rPr>
          <w:rFonts w:ascii="Arial" w:cs="Arial" w:eastAsia="Arial" w:hAnsi="Arial"/>
          <w:sz w:val="18"/>
          <w:szCs w:val="18"/>
          <w:color w:val="auto"/>
        </w:rPr>
      </w:pPr>
    </w:p>
    <w:p>
      <w:pPr>
        <w:ind w:left="1120" w:hanging="214"/>
        <w:spacing w:after="0"/>
        <w:tabs>
          <w:tab w:leader="none" w:pos="112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 xml:space="preserve">Investments in the form of Guarantees permitted pursuant to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320" w:top="274" w:right="339" w:bottom="1440" w:gutter="0" w:footer="0" w:header="0"/>
        </w:sectPr>
      </w:pPr>
    </w:p>
    <w:bookmarkStart w:id="105" w:name="page106"/>
    <w:bookmarkEnd w:id="105"/>
    <w:p>
      <w:pPr>
        <w:ind w:right="20" w:firstLine="898"/>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For purposes of </w:t>
      </w:r>
      <w:r>
        <w:rPr>
          <w:rFonts w:ascii="Arial" w:cs="Arial" w:eastAsia="Arial" w:hAnsi="Arial"/>
          <w:sz w:val="17"/>
          <w:szCs w:val="17"/>
          <w:u w:val="single" w:color="auto"/>
          <w:color w:val="auto"/>
        </w:rPr>
        <w:t>clauses (e) and (f)</w:t>
      </w:r>
      <w:r>
        <w:rPr>
          <w:rFonts w:ascii="Arial" w:cs="Arial" w:eastAsia="Arial" w:hAnsi="Arial"/>
          <w:sz w:val="17"/>
          <w:szCs w:val="17"/>
          <w:color w:val="auto"/>
        </w:rPr>
        <w:t xml:space="preserve"> of this Section, the aggregate amount of an Investment at any time shall be deemed to be equal to (A) the aggregate amount of cash, together with the aggregate fair market value of property, loaned, advanced, contributed, transferred or otherwise invested that gives rise to such Investment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(B) the aggregate amount of Return of Capital and dividends, distributions or other payments received in cash in respect of such Investment and the values (valued in accordance with Section 5.12(b) of other Investments received in respect of such Investment;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shall the aggregate amount of such Investment be deemed to be less than zero; the amount of an Investment shall not in any event be reduced by reason of any write-off of such Investment nor increased by any increase in the amount of earnings retained in the Person in which such Investment is made that have not been dividended, distributed or otherwise paid out.</w:t>
      </w:r>
    </w:p>
    <w:p>
      <w:pPr>
        <w:spacing w:after="0" w:line="177" w:lineRule="exact"/>
        <w:rPr>
          <w:sz w:val="20"/>
          <w:szCs w:val="20"/>
          <w:color w:val="auto"/>
        </w:rPr>
      </w:pPr>
    </w:p>
    <w:p>
      <w:pPr>
        <w:ind w:right="180" w:firstLine="898"/>
        <w:spacing w:after="0" w:line="308" w:lineRule="auto"/>
        <w:rPr>
          <w:sz w:val="20"/>
          <w:szCs w:val="20"/>
          <w:color w:val="auto"/>
        </w:rPr>
      </w:pPr>
      <w:r>
        <w:rPr>
          <w:rFonts w:ascii="Arial" w:cs="Arial" w:eastAsia="Arial" w:hAnsi="Arial"/>
          <w:sz w:val="17"/>
          <w:szCs w:val="17"/>
          <w:color w:val="auto"/>
        </w:rPr>
        <w:t xml:space="preserve">SECTION 6.05. </w:t>
      </w:r>
      <w:r>
        <w:rPr>
          <w:rFonts w:ascii="Arial" w:cs="Arial" w:eastAsia="Arial" w:hAnsi="Arial"/>
          <w:sz w:val="17"/>
          <w:szCs w:val="17"/>
          <w:u w:val="single" w:color="auto"/>
          <w:color w:val="auto"/>
        </w:rPr>
        <w:t>Restricted Payments</w:t>
      </w:r>
      <w:r>
        <w:rPr>
          <w:rFonts w:ascii="Arial" w:cs="Arial" w:eastAsia="Arial" w:hAnsi="Arial"/>
          <w:sz w:val="17"/>
          <w:szCs w:val="17"/>
          <w:color w:val="auto"/>
        </w:rPr>
        <w:t>. The Borrower will not, nor will it permit any of its Subsidiaries (other than Financing Subsidiaries) to, declare or make, or agree to pay or make, directly or indirectly, any Restricted Payment, except that the Borrower may declare and pay:</w:t>
      </w:r>
    </w:p>
    <w:p>
      <w:pPr>
        <w:spacing w:after="0" w:line="146" w:lineRule="exact"/>
        <w:rPr>
          <w:sz w:val="20"/>
          <w:szCs w:val="20"/>
          <w:color w:val="auto"/>
        </w:rPr>
      </w:pPr>
    </w:p>
    <w:p>
      <w:pPr>
        <w:ind w:left="1160" w:hanging="254"/>
        <w:spacing w:after="0"/>
        <w:tabs>
          <w:tab w:leader="none" w:pos="116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dividends with respect to the capital stock of the Borrower payable solely in additional shares of the Borrower’s common stock;</w:t>
      </w:r>
    </w:p>
    <w:p>
      <w:pPr>
        <w:spacing w:after="0" w:line="225" w:lineRule="exact"/>
        <w:rPr>
          <w:rFonts w:ascii="Arial" w:cs="Arial" w:eastAsia="Arial" w:hAnsi="Arial"/>
          <w:sz w:val="18"/>
          <w:szCs w:val="18"/>
          <w:color w:val="auto"/>
        </w:rPr>
      </w:pPr>
    </w:p>
    <w:p>
      <w:pPr>
        <w:ind w:right="200" w:firstLine="906"/>
        <w:spacing w:after="0" w:line="257" w:lineRule="auto"/>
        <w:tabs>
          <w:tab w:leader="none" w:pos="1153" w:val="left"/>
        </w:tabs>
        <w:numPr>
          <w:ilvl w:val="1"/>
          <w:numId w:val="135"/>
        </w:numPr>
        <w:rPr>
          <w:rFonts w:ascii="Arial" w:cs="Arial" w:eastAsia="Arial" w:hAnsi="Arial"/>
          <w:sz w:val="18"/>
          <w:szCs w:val="18"/>
          <w:color w:val="auto"/>
        </w:rPr>
      </w:pPr>
      <w:r>
        <w:rPr>
          <w:rFonts w:ascii="Arial" w:cs="Arial" w:eastAsia="Arial" w:hAnsi="Arial"/>
          <w:sz w:val="18"/>
          <w:szCs w:val="18"/>
          <w:color w:val="auto"/>
        </w:rPr>
        <w:t>dividends and distributions in either case in cash or other property (excluding for this purpose the Borrower’s common stock) in any taxable year of the Borrower in amounts not to exceed the amount that is estimated in good faith by the Borrower to be required to (i) reduce to zero for such taxable year or for the previous taxable year, its investment company taxable income (within the meaning of Section 852(b)(2) of the Code) and reduce to zero the tax imposed by Section 852(b)(3) of the Code, and (ii) avoid federal excise taxes for such taxable year imposed by Section 4982 of the Code;</w:t>
      </w:r>
    </w:p>
    <w:p>
      <w:pPr>
        <w:spacing w:after="0" w:line="187" w:lineRule="exact"/>
        <w:rPr>
          <w:rFonts w:ascii="Arial" w:cs="Arial" w:eastAsia="Arial" w:hAnsi="Arial"/>
          <w:sz w:val="18"/>
          <w:szCs w:val="18"/>
          <w:color w:val="auto"/>
        </w:rPr>
      </w:pPr>
    </w:p>
    <w:p>
      <w:pPr>
        <w:jc w:val="both"/>
        <w:ind w:right="140" w:firstLine="906"/>
        <w:spacing w:after="0" w:line="263" w:lineRule="auto"/>
        <w:tabs>
          <w:tab w:leader="none" w:pos="1143" w:val="left"/>
        </w:tabs>
        <w:numPr>
          <w:ilvl w:val="1"/>
          <w:numId w:val="135"/>
        </w:numPr>
        <w:rPr>
          <w:rFonts w:ascii="Arial" w:cs="Arial" w:eastAsia="Arial" w:hAnsi="Arial"/>
          <w:sz w:val="18"/>
          <w:szCs w:val="18"/>
          <w:color w:val="auto"/>
        </w:rPr>
      </w:pPr>
      <w:r>
        <w:rPr>
          <w:rFonts w:ascii="Arial" w:cs="Arial" w:eastAsia="Arial" w:hAnsi="Arial"/>
          <w:sz w:val="18"/>
          <w:szCs w:val="18"/>
          <w:color w:val="auto"/>
        </w:rPr>
        <w:t xml:space="preserve">dividends and distributions in each case in cash or other property (excluding for this purpose the Borrower’s common stock) in addition to the dividends and distributions permitted under the foregoing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so long as on the date of such Restricted Payment and after giving effect thereto:</w:t>
      </w:r>
    </w:p>
    <w:p>
      <w:pPr>
        <w:spacing w:after="0" w:line="75" w:lineRule="exact"/>
        <w:rPr>
          <w:rFonts w:ascii="Arial" w:cs="Arial" w:eastAsia="Arial" w:hAnsi="Arial"/>
          <w:sz w:val="18"/>
          <w:szCs w:val="18"/>
          <w:color w:val="auto"/>
        </w:rPr>
      </w:pPr>
    </w:p>
    <w:p>
      <w:pPr>
        <w:ind w:left="1100" w:hanging="212"/>
        <w:spacing w:after="0"/>
        <w:tabs>
          <w:tab w:leader="none" w:pos="11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no Default shall have occurred and be continuing; and</w:t>
      </w:r>
    </w:p>
    <w:p>
      <w:pPr>
        <w:spacing w:after="0" w:line="117" w:lineRule="exact"/>
        <w:rPr>
          <w:rFonts w:ascii="Arial" w:cs="Arial" w:eastAsia="Arial" w:hAnsi="Arial"/>
          <w:sz w:val="18"/>
          <w:szCs w:val="18"/>
          <w:color w:val="auto"/>
        </w:rPr>
      </w:pPr>
    </w:p>
    <w:p>
      <w:pPr>
        <w:ind w:left="460" w:right="20" w:firstLine="428"/>
        <w:spacing w:after="0" w:line="255" w:lineRule="auto"/>
        <w:tabs>
          <w:tab w:leader="none" w:pos="1156" w:val="left"/>
        </w:tabs>
        <w:numPr>
          <w:ilvl w:val="0"/>
          <w:numId w:val="136"/>
        </w:numPr>
        <w:rPr>
          <w:rFonts w:ascii="Arial" w:cs="Arial" w:eastAsia="Arial" w:hAnsi="Arial"/>
          <w:sz w:val="18"/>
          <w:szCs w:val="18"/>
          <w:color w:val="auto"/>
        </w:rPr>
      </w:pPr>
      <w:r>
        <w:rPr>
          <w:rFonts w:ascii="Arial" w:cs="Arial" w:eastAsia="Arial" w:hAnsi="Arial"/>
          <w:sz w:val="18"/>
          <w:szCs w:val="18"/>
          <w:color w:val="auto"/>
        </w:rPr>
        <w:t xml:space="preserve">the aggregate amount of Restricted Payments made during any taxable year of the Borrower after the date hereof under this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shall not exceed the sum of (x) an amount equal to 15% of the taxable income of the Borrower for such taxable year determined under section 852(b)(2) of the Code, but without regard to </w:t>
      </w:r>
      <w:r>
        <w:rPr>
          <w:rFonts w:ascii="Arial" w:cs="Arial" w:eastAsia="Arial" w:hAnsi="Arial"/>
          <w:sz w:val="18"/>
          <w:szCs w:val="18"/>
          <w:u w:val="single" w:color="auto"/>
          <w:color w:val="auto"/>
        </w:rPr>
        <w:t>subparagraphs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w:t>
      </w:r>
      <w:r>
        <w:rPr>
          <w:rFonts w:ascii="Arial" w:cs="Arial" w:eastAsia="Arial" w:hAnsi="Arial"/>
          <w:sz w:val="18"/>
          <w:szCs w:val="18"/>
          <w:color w:val="auto"/>
        </w:rPr>
        <w:t xml:space="preserve"> thereof,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(y) the amount, if any, by which dividends and distributions made during such taxable year pursuant to the foregoing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(whether in respect of such taxable year or the previous taxable year) based upon the Borrower’s estimate of taxable income exceeded the actual amounts specified in </w:t>
      </w:r>
      <w:r>
        <w:rPr>
          <w:rFonts w:ascii="Arial" w:cs="Arial" w:eastAsia="Arial" w:hAnsi="Arial"/>
          <w:sz w:val="18"/>
          <w:szCs w:val="18"/>
          <w:u w:val="single" w:color="auto"/>
          <w:color w:val="auto"/>
        </w:rPr>
        <w:t>subclauses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of such foregoing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for such taxable year.</w:t>
      </w:r>
    </w:p>
    <w:p>
      <w:pPr>
        <w:spacing w:after="0" w:line="192" w:lineRule="exact"/>
        <w:rPr>
          <w:rFonts w:ascii="Arial" w:cs="Arial" w:eastAsia="Arial" w:hAnsi="Arial"/>
          <w:sz w:val="18"/>
          <w:szCs w:val="18"/>
          <w:color w:val="auto"/>
        </w:rPr>
      </w:pPr>
    </w:p>
    <w:p>
      <w:pPr>
        <w:ind w:right="200" w:firstLine="906"/>
        <w:spacing w:after="0" w:line="277" w:lineRule="auto"/>
        <w:tabs>
          <w:tab w:leader="none" w:pos="1153" w:val="left"/>
        </w:tabs>
        <w:numPr>
          <w:ilvl w:val="1"/>
          <w:numId w:val="136"/>
        </w:numPr>
        <w:rPr>
          <w:rFonts w:ascii="Arial" w:cs="Arial" w:eastAsia="Arial" w:hAnsi="Arial"/>
          <w:sz w:val="18"/>
          <w:szCs w:val="18"/>
          <w:color w:val="auto"/>
        </w:rPr>
      </w:pPr>
      <w:r>
        <w:rPr>
          <w:rFonts w:ascii="Arial" w:cs="Arial" w:eastAsia="Arial" w:hAnsi="Arial"/>
          <w:sz w:val="18"/>
          <w:szCs w:val="18"/>
          <w:color w:val="auto"/>
        </w:rPr>
        <w:t>other Restricted Payments so long as (i) on the date of such other Restricted Payment and after giving effect thereto (x) the Covered Debt Amount does not exceed 90% of the Borrowing Base and (y) no Default shall have occurred and be continuing</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320" w:top="274" w:right="339" w:bottom="1440" w:gutter="0" w:footer="0" w:header="0"/>
        </w:sectPr>
      </w:pPr>
    </w:p>
    <w:bookmarkStart w:id="106" w:name="page107"/>
    <w:bookmarkEnd w:id="106"/>
    <w:p>
      <w:pPr>
        <w:ind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and (ii) on the date of such other Restricted Payment the Borrower delivers to the Administrative Agent and each Lender a Borrowing Base Certificate as at such date demonstrating compliance with </w:t>
      </w:r>
      <w:r>
        <w:rPr>
          <w:rFonts w:ascii="Arial" w:cs="Arial" w:eastAsia="Arial" w:hAnsi="Arial"/>
          <w:sz w:val="16"/>
          <w:szCs w:val="16"/>
          <w:u w:val="single" w:color="auto"/>
          <w:color w:val="auto"/>
        </w:rPr>
        <w:t>subclause (x)</w:t>
      </w:r>
      <w:r>
        <w:rPr>
          <w:rFonts w:ascii="Arial" w:cs="Arial" w:eastAsia="Arial" w:hAnsi="Arial"/>
          <w:sz w:val="16"/>
          <w:szCs w:val="16"/>
          <w:color w:val="auto"/>
        </w:rPr>
        <w:t xml:space="preserve"> after giving effect to such Restricted Payment. For purposes of preparing such Borrowing Base Certificate, (A) the Value of any Quoted Investment shall be the most recent quotation available for such Portfolio Investment and (B) the Value of any Unquoted Investment shall be the Value set forth in the Borrowing Base Certificate most recently delivered by the Borrower to the Administrative Agent and the Lenders pursuant to </w:t>
      </w:r>
      <w:r>
        <w:rPr>
          <w:rFonts w:ascii="Arial" w:cs="Arial" w:eastAsia="Arial" w:hAnsi="Arial"/>
          <w:sz w:val="16"/>
          <w:szCs w:val="16"/>
          <w:u w:val="single" w:color="auto"/>
          <w:color w:val="auto"/>
        </w:rPr>
        <w:t>Section 5.01(d)</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reduce the Value of any Portfolio Investment referred to in this </w:t>
      </w:r>
      <w:r>
        <w:rPr>
          <w:rFonts w:ascii="Arial" w:cs="Arial" w:eastAsia="Arial" w:hAnsi="Arial"/>
          <w:sz w:val="16"/>
          <w:szCs w:val="16"/>
          <w:u w:val="single" w:color="auto"/>
          <w:color w:val="auto"/>
        </w:rPr>
        <w:t>sub-clause</w:t>
      </w:r>
    </w:p>
    <w:p>
      <w:pPr>
        <w:spacing w:after="0" w:line="2" w:lineRule="exact"/>
        <w:rPr>
          <w:sz w:val="20"/>
          <w:szCs w:val="20"/>
          <w:color w:val="auto"/>
        </w:rPr>
      </w:pPr>
    </w:p>
    <w:p>
      <w:pPr>
        <w:ind w:right="800" w:firstLine="8"/>
        <w:spacing w:after="0" w:line="260" w:lineRule="auto"/>
        <w:tabs>
          <w:tab w:leader="none" w:pos="285" w:val="left"/>
        </w:tabs>
        <w:numPr>
          <w:ilvl w:val="0"/>
          <w:numId w:val="137"/>
        </w:numPr>
        <w:rPr>
          <w:rFonts w:ascii="Arial" w:cs="Arial" w:eastAsia="Arial" w:hAnsi="Arial"/>
          <w:sz w:val="18"/>
          <w:szCs w:val="18"/>
          <w:u w:val="single" w:color="auto"/>
          <w:color w:val="auto"/>
        </w:rPr>
      </w:pPr>
      <w:r>
        <w:rPr>
          <w:rFonts w:ascii="Arial" w:cs="Arial" w:eastAsia="Arial" w:hAnsi="Arial"/>
          <w:sz w:val="18"/>
          <w:szCs w:val="18"/>
          <w:color w:val="auto"/>
        </w:rPr>
        <w:t>to the extent necessary to take into account any events of which the Borrower has knowledge that adversely affect the value of such Portfolio Investment.</w:t>
      </w:r>
    </w:p>
    <w:p>
      <w:pPr>
        <w:spacing w:after="0" w:line="185" w:lineRule="exact"/>
        <w:rPr>
          <w:sz w:val="20"/>
          <w:szCs w:val="20"/>
          <w:color w:val="auto"/>
        </w:rPr>
      </w:pPr>
    </w:p>
    <w:p>
      <w:pPr>
        <w:ind w:right="200" w:firstLine="898"/>
        <w:spacing w:after="0" w:line="277" w:lineRule="auto"/>
        <w:rPr>
          <w:sz w:val="20"/>
          <w:szCs w:val="20"/>
          <w:color w:val="auto"/>
        </w:rPr>
      </w:pPr>
      <w:r>
        <w:rPr>
          <w:rFonts w:ascii="Arial" w:cs="Arial" w:eastAsia="Arial" w:hAnsi="Arial"/>
          <w:sz w:val="18"/>
          <w:szCs w:val="18"/>
          <w:color w:val="auto"/>
        </w:rPr>
        <w:t>Nothing herein shall be deemed to prohibit the payment of Restricted Payments by any Subsidiary of the Borrower to the Borrower or to any other Subsidiary Guarantor.</w:t>
      </w:r>
    </w:p>
    <w:p>
      <w:pPr>
        <w:spacing w:after="0" w:line="170" w:lineRule="exact"/>
        <w:rPr>
          <w:sz w:val="20"/>
          <w:szCs w:val="20"/>
          <w:color w:val="auto"/>
        </w:rPr>
      </w:pPr>
    </w:p>
    <w:p>
      <w:pPr>
        <w:ind w:right="60" w:firstLine="898"/>
        <w:spacing w:after="0" w:line="270" w:lineRule="auto"/>
        <w:rPr>
          <w:sz w:val="20"/>
          <w:szCs w:val="20"/>
          <w:color w:val="auto"/>
        </w:rPr>
      </w:pPr>
      <w:r>
        <w:rPr>
          <w:rFonts w:ascii="Arial" w:cs="Arial" w:eastAsia="Arial" w:hAnsi="Arial"/>
          <w:sz w:val="17"/>
          <w:szCs w:val="17"/>
          <w:color w:val="auto"/>
        </w:rPr>
        <w:t xml:space="preserve">SECTION 6.06. </w:t>
      </w:r>
      <w:r>
        <w:rPr>
          <w:rFonts w:ascii="Arial" w:cs="Arial" w:eastAsia="Arial" w:hAnsi="Arial"/>
          <w:sz w:val="17"/>
          <w:szCs w:val="17"/>
          <w:u w:val="single" w:color="auto"/>
          <w:color w:val="auto"/>
        </w:rPr>
        <w:t>Certain Restrictions on Subsidiaries</w:t>
      </w:r>
      <w:r>
        <w:rPr>
          <w:rFonts w:ascii="Arial" w:cs="Arial" w:eastAsia="Arial" w:hAnsi="Arial"/>
          <w:sz w:val="17"/>
          <w:szCs w:val="17"/>
          <w:color w:val="auto"/>
        </w:rPr>
        <w:t xml:space="preserve">. The Borrower will not permit any of its Subsidiaries (other than Financing Subsidiaries) to enter into or suffer to exist any indenture, agreement, instrument or other arrangement that prohibits or restrains, in each case in any material respect, or imposes materially adverse conditions upon, the incurrence or payment of Indebtedness, the granting of Liens, the declaration or payment of dividends, the making of loans, advances, guarantees or Investments or the sale, assignment, transfer or other disposition of property except for any prohibitions or restraints contained in (i) any Indebtedness permitted under </w:t>
      </w:r>
      <w:r>
        <w:rPr>
          <w:rFonts w:ascii="Arial" w:cs="Arial" w:eastAsia="Arial" w:hAnsi="Arial"/>
          <w:sz w:val="17"/>
          <w:szCs w:val="17"/>
          <w:u w:val="single" w:color="auto"/>
          <w:color w:val="auto"/>
        </w:rPr>
        <w:t>Section 6.01(b)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(g)</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prohibition or reservation set forth therein does not prohibit the performance by the Borrower or its Subsidiaries of their obligations under this Agreement, (ii) any Indebtedness permitted under </w:t>
      </w:r>
      <w:r>
        <w:rPr>
          <w:rFonts w:ascii="Arial" w:cs="Arial" w:eastAsia="Arial" w:hAnsi="Arial"/>
          <w:sz w:val="17"/>
          <w:szCs w:val="17"/>
          <w:u w:val="single" w:color="auto"/>
          <w:color w:val="auto"/>
        </w:rPr>
        <w:t>Section 6.01(c)</w:t>
      </w:r>
      <w:r>
        <w:rPr>
          <w:rFonts w:ascii="Arial" w:cs="Arial" w:eastAsia="Arial" w:hAnsi="Arial"/>
          <w:sz w:val="17"/>
          <w:szCs w:val="17"/>
          <w:color w:val="auto"/>
        </w:rPr>
        <w:t xml:space="preserve"> secured by a Lien permitted under </w:t>
      </w:r>
      <w:r>
        <w:rPr>
          <w:rFonts w:ascii="Arial" w:cs="Arial" w:eastAsia="Arial" w:hAnsi="Arial"/>
          <w:sz w:val="17"/>
          <w:szCs w:val="17"/>
          <w:u w:val="single" w:color="auto"/>
          <w:color w:val="auto"/>
        </w:rPr>
        <w:t>Section 6.02</w:t>
      </w:r>
      <w:r>
        <w:rPr>
          <w:rFonts w:ascii="Arial" w:cs="Arial" w:eastAsia="Arial" w:hAnsi="Arial"/>
          <w:sz w:val="17"/>
          <w:szCs w:val="17"/>
          <w:color w:val="auto"/>
        </w:rPr>
        <w:t xml:space="preserve"> provided that such prohibitions and restraints are applicable by their terms only to the assets that are subject to such Lien and (iii) any Indebtedness permitted under </w:t>
      </w:r>
      <w:r>
        <w:rPr>
          <w:rFonts w:ascii="Arial" w:cs="Arial" w:eastAsia="Arial" w:hAnsi="Arial"/>
          <w:sz w:val="17"/>
          <w:szCs w:val="17"/>
          <w:u w:val="single" w:color="auto"/>
          <w:color w:val="auto"/>
        </w:rPr>
        <w:t>Section 6.01(e)</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(f)</w:t>
      </w:r>
      <w:r>
        <w:rPr>
          <w:rFonts w:ascii="Arial" w:cs="Arial" w:eastAsia="Arial" w:hAnsi="Arial"/>
          <w:sz w:val="17"/>
          <w:szCs w:val="17"/>
          <w:color w:val="auto"/>
        </w:rPr>
        <w:t xml:space="preserve"> secured by a Permitted Lien provided that such prohibitions and restraints are applicable by their terms only to the assets that are subject to such Lien.</w:t>
      </w:r>
    </w:p>
    <w:p>
      <w:pPr>
        <w:spacing w:after="0" w:line="18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u w:val="single" w:color="auto"/>
          <w:color w:val="auto"/>
        </w:rPr>
        <w:t>Certain Financial Covenants</w:t>
      </w:r>
      <w:r>
        <w:rPr>
          <w:rFonts w:ascii="Arial" w:cs="Arial" w:eastAsia="Arial" w:hAnsi="Arial"/>
          <w:sz w:val="18"/>
          <w:szCs w:val="18"/>
          <w:color w:val="auto"/>
        </w:rPr>
        <w:t>.</w:t>
      </w:r>
    </w:p>
    <w:p>
      <w:pPr>
        <w:spacing w:after="0" w:line="225" w:lineRule="exact"/>
        <w:rPr>
          <w:sz w:val="20"/>
          <w:szCs w:val="20"/>
          <w:color w:val="auto"/>
        </w:rPr>
      </w:pPr>
    </w:p>
    <w:p>
      <w:pPr>
        <w:ind w:right="100" w:firstLine="906"/>
        <w:spacing w:after="0" w:line="263" w:lineRule="auto"/>
        <w:tabs>
          <w:tab w:leader="none" w:pos="1143"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Minimum Shareholders’ Equity</w:t>
      </w:r>
      <w:r>
        <w:rPr>
          <w:rFonts w:ascii="Arial" w:cs="Arial" w:eastAsia="Arial" w:hAnsi="Arial"/>
          <w:sz w:val="18"/>
          <w:szCs w:val="18"/>
          <w:color w:val="auto"/>
        </w:rPr>
        <w:t xml:space="preserve">. The Borrower will not permit Shareholders’ Equity at the last day of any fiscal quarter of the Borrower to be less than $245,237,653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25% of the net proceeds of the sale of Equity Interests by the Borrower and its Subsidiaries after the Effective Date (other than proceeds of sales of Equity Interests by and among the Borrower and its Subsidiaries).</w:t>
      </w:r>
    </w:p>
    <w:p>
      <w:pPr>
        <w:spacing w:after="0" w:line="183" w:lineRule="exact"/>
        <w:rPr>
          <w:rFonts w:ascii="Arial" w:cs="Arial" w:eastAsia="Arial" w:hAnsi="Arial"/>
          <w:sz w:val="18"/>
          <w:szCs w:val="18"/>
          <w:color w:val="auto"/>
        </w:rPr>
      </w:pPr>
    </w:p>
    <w:p>
      <w:pPr>
        <w:ind w:left="1160" w:hanging="254"/>
        <w:spacing w:after="0"/>
        <w:tabs>
          <w:tab w:leader="none" w:pos="1160"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Asset Coverage Ratio</w:t>
      </w:r>
      <w:r>
        <w:rPr>
          <w:rFonts w:ascii="Arial" w:cs="Arial" w:eastAsia="Arial" w:hAnsi="Arial"/>
          <w:sz w:val="18"/>
          <w:szCs w:val="18"/>
          <w:color w:val="auto"/>
        </w:rPr>
        <w:t>. The Borrower will not permit the Asset Coverage Ratio to be less than 2.00 to 1 at any time.</w:t>
      </w:r>
    </w:p>
    <w:p>
      <w:pPr>
        <w:spacing w:after="0" w:line="225" w:lineRule="exact"/>
        <w:rPr>
          <w:rFonts w:ascii="Arial" w:cs="Arial" w:eastAsia="Arial" w:hAnsi="Arial"/>
          <w:sz w:val="18"/>
          <w:szCs w:val="18"/>
          <w:color w:val="auto"/>
        </w:rPr>
      </w:pPr>
    </w:p>
    <w:p>
      <w:pPr>
        <w:ind w:right="60" w:firstLine="906"/>
        <w:spacing w:after="0" w:line="259" w:lineRule="auto"/>
        <w:tabs>
          <w:tab w:leader="none" w:pos="1143"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Liquidity Test</w:t>
      </w:r>
      <w:r>
        <w:rPr>
          <w:rFonts w:ascii="Arial" w:cs="Arial" w:eastAsia="Arial" w:hAnsi="Arial"/>
          <w:sz w:val="18"/>
          <w:szCs w:val="18"/>
          <w:color w:val="auto"/>
        </w:rPr>
        <w:t>. The Borrower will not permit the aggregate Value of the Portfolio Investments that are Cash (excluding Cash Collateral for outstanding Letters of Credit) or that can be converted to Cash in fewer than 10 Business Days without more than a 5% change in price to be less than 10% of the Covered Debt Amount for more than 30 Business Days during any period when the Adjusted Covered Debt Balance is greater than 90% of the Adjusted Borrowing Base.</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320" w:top="274" w:right="339" w:bottom="1440" w:gutter="0" w:footer="0" w:header="0"/>
        </w:sectPr>
      </w:pPr>
    </w:p>
    <w:bookmarkStart w:id="107" w:name="page108"/>
    <w:bookmarkEnd w:id="107"/>
    <w:p>
      <w:pPr>
        <w:ind w:firstLine="898"/>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6.08. </w:t>
      </w: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 xml:space="preserve">. The Borrower will not, and will not permit any of its Subsidiaries to enter into any transactions with any of its Affiliates, even if otherwise permitted under this Agreement, except (a) transactions in the ordinary course of business at prices and on terms and conditions not less favorable to the Borrower or such Subsidiary (other than a SBIC Subsidiary) than could be obtained on an arm’s-length basis from unrelated third parties, (b) transactions between or among the Borrower and its Subsidiaries not involving any other Affiliate, (c) Restricted Payments permitted by </w:t>
      </w:r>
      <w:r>
        <w:rPr>
          <w:rFonts w:ascii="Arial" w:cs="Arial" w:eastAsia="Arial" w:hAnsi="Arial"/>
          <w:sz w:val="18"/>
          <w:szCs w:val="18"/>
          <w:u w:val="single" w:color="auto"/>
          <w:color w:val="auto"/>
        </w:rPr>
        <w:t>Section 6.05</w:t>
      </w:r>
      <w:r>
        <w:rPr>
          <w:rFonts w:ascii="Arial" w:cs="Arial" w:eastAsia="Arial" w:hAnsi="Arial"/>
          <w:sz w:val="18"/>
          <w:szCs w:val="18"/>
          <w:color w:val="auto"/>
        </w:rPr>
        <w:t xml:space="preserve">, (d) the transactions provided in the Affiliate Agreements, (e) transactions described on </w:t>
      </w:r>
      <w:r>
        <w:rPr>
          <w:rFonts w:ascii="Arial" w:cs="Arial" w:eastAsia="Arial" w:hAnsi="Arial"/>
          <w:sz w:val="18"/>
          <w:szCs w:val="18"/>
          <w:u w:val="single" w:color="auto"/>
          <w:color w:val="auto"/>
        </w:rPr>
        <w:t>Schedule 6.08</w:t>
      </w:r>
      <w:r>
        <w:rPr>
          <w:rFonts w:ascii="Arial" w:cs="Arial" w:eastAsia="Arial" w:hAnsi="Arial"/>
          <w:sz w:val="18"/>
          <w:szCs w:val="18"/>
          <w:color w:val="auto"/>
        </w:rPr>
        <w:t>, (f) any Investment that results in the creation of an Affiliate or (g) transactions between or among the Obligors and any SBIC Subsidiary or any “downstream affiliate” (as such term is used under the rules promulgated under the Investment Company Act) company of an Obligor at prices and on terms and conditions, taken as a whole, not materially less favorable to the Obligors than in good faith is believed could be obtained at the time on an arm’s-length basis from unrelated third parties.</w:t>
      </w:r>
    </w:p>
    <w:p>
      <w:pPr>
        <w:spacing w:after="0" w:line="196" w:lineRule="exact"/>
        <w:rPr>
          <w:sz w:val="20"/>
          <w:szCs w:val="20"/>
          <w:color w:val="auto"/>
        </w:rPr>
      </w:pPr>
    </w:p>
    <w:p>
      <w:pPr>
        <w:jc w:val="both"/>
        <w:ind w:right="300" w:firstLine="898"/>
        <w:spacing w:after="0" w:line="263" w:lineRule="auto"/>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u w:val="single" w:color="auto"/>
          <w:color w:val="auto"/>
        </w:rPr>
        <w:t>Lines of Business</w:t>
      </w:r>
      <w:r>
        <w:rPr>
          <w:rFonts w:ascii="Arial" w:cs="Arial" w:eastAsia="Arial" w:hAnsi="Arial"/>
          <w:sz w:val="18"/>
          <w:szCs w:val="18"/>
          <w:color w:val="auto"/>
        </w:rPr>
        <w:t>. The Borrower will not, nor will it permit any of its Subsidiaries (other than Immaterial Subsidiaries) to, engage to any material extent in any business other than in accordance with its Investment Policies. The Borrower will not, nor will it permit any of its Subsidiaries to amend or modify the Investment Policies (other than a Permitted Policy Amendment).</w:t>
      </w:r>
    </w:p>
    <w:p>
      <w:pPr>
        <w:spacing w:after="0" w:line="184" w:lineRule="exact"/>
        <w:rPr>
          <w:sz w:val="20"/>
          <w:szCs w:val="20"/>
          <w:color w:val="auto"/>
        </w:rPr>
      </w:pPr>
    </w:p>
    <w:p>
      <w:pPr>
        <w:jc w:val="both"/>
        <w:ind w:right="100" w:firstLine="898"/>
        <w:spacing w:after="0" w:line="286" w:lineRule="auto"/>
        <w:rPr>
          <w:sz w:val="20"/>
          <w:szCs w:val="20"/>
          <w:color w:val="auto"/>
        </w:rPr>
      </w:pPr>
      <w:r>
        <w:rPr>
          <w:rFonts w:ascii="Arial" w:cs="Arial" w:eastAsia="Arial" w:hAnsi="Arial"/>
          <w:sz w:val="16"/>
          <w:szCs w:val="16"/>
          <w:color w:val="auto"/>
        </w:rPr>
        <w:t xml:space="preserve">SECTION 6.10. </w:t>
      </w:r>
      <w:r>
        <w:rPr>
          <w:rFonts w:ascii="Arial" w:cs="Arial" w:eastAsia="Arial" w:hAnsi="Arial"/>
          <w:sz w:val="16"/>
          <w:szCs w:val="16"/>
          <w:u w:val="single" w:color="auto"/>
          <w:color w:val="auto"/>
        </w:rPr>
        <w:t>No Further Negative Pledge</w:t>
      </w:r>
      <w:r>
        <w:rPr>
          <w:rFonts w:ascii="Arial" w:cs="Arial" w:eastAsia="Arial" w:hAnsi="Arial"/>
          <w:sz w:val="16"/>
          <w:szCs w:val="16"/>
          <w:color w:val="auto"/>
        </w:rPr>
        <w:t>. The Borrower will not, and will not permit any of its Subsidiaries to, enter into any agreement, instrument, deed or lease which prohibits or limits the ability of any Obligor to create, incur, assume or suffer to exist any Lien upon any of its properties, assets or revenues, whether now owned or hereafter acquired, or which requires the grant of any security for an obligation if security is granted for another obligation, except the following: (a) this Agreement, the other Loan Documents and documents with respect to Indebtedness permitted under</w:t>
      </w:r>
    </w:p>
    <w:p>
      <w:pPr>
        <w:spacing w:after="0" w:line="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u w:val="single" w:color="auto"/>
          <w:color w:val="auto"/>
        </w:rPr>
        <w:t>Section 6.01(b)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(g)</w:t>
      </w:r>
      <w:r>
        <w:rPr>
          <w:rFonts w:ascii="Arial" w:cs="Arial" w:eastAsia="Arial" w:hAnsi="Arial"/>
          <w:sz w:val="16"/>
          <w:szCs w:val="16"/>
          <w:color w:val="auto"/>
        </w:rPr>
        <w:t xml:space="preserve">; (b) covenants in documents creating Liens permitted by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(including covenants with respect to the Designated Indebtedness Obligations or Designated Indebtedness Holders under (and, in each case, as defined in) the Security Documents) prohibiting further Liens on the assets encumbered thereby; (c) customary restrictions contained in leases not subject to a waiver; and (d) any other agreement that does not restrict in any manner (directly or indirectly) Liens created pursuant to the Loan Documents on any Collateral securing the “Secured Obligations” under and as defined in the Guarantee and Security Agreement and does not require the direct or indirect granting of any Lien securing any Indebtedness or other obligation by virtue of the granting of Liens on or pledge of property of any Obligor to secure the Loans or any Hedging Agreement.</w:t>
      </w:r>
    </w:p>
    <w:p>
      <w:pPr>
        <w:spacing w:after="0" w:line="164" w:lineRule="exact"/>
        <w:rPr>
          <w:sz w:val="20"/>
          <w:szCs w:val="20"/>
          <w:color w:val="auto"/>
        </w:rPr>
      </w:pPr>
    </w:p>
    <w:p>
      <w:pPr>
        <w:ind w:left="900"/>
        <w:spacing w:after="0"/>
        <w:rPr>
          <w:sz w:val="20"/>
          <w:szCs w:val="20"/>
          <w:color w:val="auto"/>
        </w:rPr>
      </w:pPr>
      <w:r>
        <w:rPr>
          <w:rFonts w:ascii="Arial" w:cs="Arial" w:eastAsia="Arial" w:hAnsi="Arial"/>
          <w:sz w:val="16"/>
          <w:szCs w:val="16"/>
          <w:color w:val="auto"/>
        </w:rPr>
        <w:t xml:space="preserve">SECTION 6.11. </w:t>
      </w:r>
      <w:r>
        <w:rPr>
          <w:rFonts w:ascii="Arial" w:cs="Arial" w:eastAsia="Arial" w:hAnsi="Arial"/>
          <w:sz w:val="16"/>
          <w:szCs w:val="16"/>
          <w:u w:val="single" w:color="auto"/>
          <w:color w:val="auto"/>
        </w:rPr>
        <w:t>Modifications of Longer-Term Indebtedness Documents</w:t>
      </w:r>
      <w:r>
        <w:rPr>
          <w:rFonts w:ascii="Arial" w:cs="Arial" w:eastAsia="Arial" w:hAnsi="Arial"/>
          <w:sz w:val="16"/>
          <w:szCs w:val="16"/>
          <w:color w:val="auto"/>
        </w:rPr>
        <w:t>. The Borrower will not consent to any modification, supplement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waiver of:</w:t>
      </w:r>
    </w:p>
    <w:p>
      <w:pPr>
        <w:spacing w:after="0" w:line="211" w:lineRule="exact"/>
        <w:rPr>
          <w:sz w:val="20"/>
          <w:szCs w:val="20"/>
          <w:color w:val="auto"/>
        </w:rPr>
      </w:pPr>
    </w:p>
    <w:p>
      <w:pPr>
        <w:ind w:right="40" w:firstLine="906"/>
        <w:spacing w:after="0" w:line="257" w:lineRule="auto"/>
        <w:tabs>
          <w:tab w:leader="none" w:pos="1143"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any of the provisions of any agreement, instrument or other document evidencing or relating to any Secured Longer-Term Indebtedness or Unsecured Longer-Term Indebtedness that would result in such Indebtedness not meeting the requirements of the definition of “Secured Longer-Term Secured Indebtedness” and “Unsecured Longer-Term Indebtedness”, as applicable,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this Agreement, unless (i) in the case of Secured Longer-Term Indebtedness, such Indebtedness would have been permitted to be incurred as Secured Shorter-Term Indebtedness at the time of such modification, supplement or waiver and the</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320" w:top="274" w:right="339" w:bottom="1440" w:gutter="0" w:footer="0" w:header="0"/>
        </w:sectPr>
      </w:pPr>
    </w:p>
    <w:bookmarkStart w:id="108" w:name="page109"/>
    <w:bookmarkEnd w:id="108"/>
    <w:p>
      <w:pPr>
        <w:ind w:right="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Borrower so designates such Indebtedness as “Secured Shorter-Term Indebtedness” (whereupon such Indebtedness shall be deemed to constitute “Secured Shorter-Term Indebtedness” for all purposes of this Agreement) and (ii) in the case of Unsecured Longer-Term Indebtedness, such Indebtedness would have been permitted to be incurred as Unsecured Shorter-Term Indebtedness at the time of such modification, supplement or waiver and the Borrower so designates such Indebtedness as “Unsecured Shorter-Term Indebtedness” (whereupon such Indebtedness shall be deemed to constitute “Unsecured Shorter-Term Indebtedness” for all purposes of this Agreement); or</w:t>
      </w:r>
    </w:p>
    <w:p>
      <w:pPr>
        <w:spacing w:after="0" w:line="176" w:lineRule="exact"/>
        <w:rPr>
          <w:sz w:val="20"/>
          <w:szCs w:val="20"/>
          <w:color w:val="auto"/>
        </w:rPr>
      </w:pPr>
    </w:p>
    <w:p>
      <w:pPr>
        <w:ind w:right="20" w:firstLine="906"/>
        <w:spacing w:after="0" w:line="263" w:lineRule="auto"/>
        <w:tabs>
          <w:tab w:leader="none" w:pos="1153"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any of the Affiliate Agreements, unless such modification, supplement or waiver is not materially less favorable to the Borrower than could be obtained on an arm’s-length basis from unrelated third parties, in each case, without the prior consent of the Administrative Agent (with the approval of the Required Lenders).</w:t>
      </w:r>
    </w:p>
    <w:p>
      <w:pPr>
        <w:spacing w:after="0" w:line="184" w:lineRule="exact"/>
        <w:rPr>
          <w:sz w:val="20"/>
          <w:szCs w:val="20"/>
          <w:color w:val="auto"/>
        </w:rPr>
      </w:pPr>
    </w:p>
    <w:p>
      <w:pPr>
        <w:ind w:firstLine="898"/>
        <w:spacing w:after="0" w:line="268" w:lineRule="auto"/>
        <w:rPr>
          <w:sz w:val="20"/>
          <w:szCs w:val="20"/>
          <w:color w:val="auto"/>
        </w:rPr>
      </w:pPr>
      <w:r>
        <w:rPr>
          <w:rFonts w:ascii="Arial" w:cs="Arial" w:eastAsia="Arial" w:hAnsi="Arial"/>
          <w:sz w:val="17"/>
          <w:szCs w:val="17"/>
          <w:color w:val="auto"/>
        </w:rPr>
        <w:t xml:space="preserve">SECTION 6.12. </w:t>
      </w:r>
      <w:r>
        <w:rPr>
          <w:rFonts w:ascii="Arial" w:cs="Arial" w:eastAsia="Arial" w:hAnsi="Arial"/>
          <w:sz w:val="17"/>
          <w:szCs w:val="17"/>
          <w:u w:val="single" w:color="auto"/>
          <w:color w:val="auto"/>
        </w:rPr>
        <w:t>Payments of Longer-Term Indebtedness</w:t>
      </w:r>
      <w:r>
        <w:rPr>
          <w:rFonts w:ascii="Arial" w:cs="Arial" w:eastAsia="Arial" w:hAnsi="Arial"/>
          <w:sz w:val="17"/>
          <w:szCs w:val="17"/>
          <w:color w:val="auto"/>
        </w:rPr>
        <w:t xml:space="preserve">. The Borrower will not, nor will it permit any of its Subsidiaries (other than Financing Subsidiaries) to, purchase, redeem, retire or otherwise acquire for value, or set apart any money for a sinking, defeasance or other analogous fund for the purchase, redemption, retirement or other acquisition of or make any voluntary payment or prepayment of the principal of or interest on, or any other amount owing in respect of, any Secured Longer-Term Indebtedness, Unsecured Longer-Term Indebtedness or Permitted Indebtedness (other than the refinancing of Secured Longer-Term Indebtedness, Unsecured Longer-Term Indebtedness or Permitted Indebtedness with Indebtedness permitted under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except for (a) regularly scheduled payments, prepayments or redemptions of principal and interest in respect thereof required pursuant to the instruments evidencing such Indebtedness and the payment when due of the types of fees and expenses that are customarily paid in connection with such Indebtedness (it being understood that: (w) the conversion features into Permitted Equity Interests under Permitted Convertible Indebtedness; (x) the triggering of such conversion and/or settlement thereof solely with Permitted Equity Interests; and (y) any cash payment on account of interest or expenses on such Permitted Convertible Indebtedness made by the Borrower or any of its Subsidiaries in respect of such triggering and/or settlement thereof shall be permitted under this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(b) voluntary payments or prepayments of Secured Longer-Term Indebtedness and/or Permitted Indebtedness, so long as both before and after giving effect to such voluntary payment or prepayment (i) the Borrower is in pro forma compliance with the financial covenants set forth in </w:t>
      </w:r>
      <w:r>
        <w:rPr>
          <w:rFonts w:ascii="Arial" w:cs="Arial" w:eastAsia="Arial" w:hAnsi="Arial"/>
          <w:sz w:val="17"/>
          <w:szCs w:val="17"/>
          <w:u w:val="single" w:color="auto"/>
          <w:color w:val="auto"/>
        </w:rPr>
        <w:t>Section 6.07</w:t>
      </w:r>
      <w:r>
        <w:rPr>
          <w:rFonts w:ascii="Arial" w:cs="Arial" w:eastAsia="Arial" w:hAnsi="Arial"/>
          <w:sz w:val="17"/>
          <w:szCs w:val="17"/>
          <w:color w:val="auto"/>
        </w:rPr>
        <w:t xml:space="preserve"> and (ii) no Default or Event of Default shall exist or be continuing or (c) so long as no Default shall exist or be continuing, any payment that, if treated as a Restricted Payment for purposes of </w:t>
      </w:r>
      <w:r>
        <w:rPr>
          <w:rFonts w:ascii="Arial" w:cs="Arial" w:eastAsia="Arial" w:hAnsi="Arial"/>
          <w:sz w:val="17"/>
          <w:szCs w:val="17"/>
          <w:u w:val="single" w:color="auto"/>
          <w:color w:val="auto"/>
        </w:rPr>
        <w:t>Section 6.05(d)</w:t>
      </w:r>
      <w:r>
        <w:rPr>
          <w:rFonts w:ascii="Arial" w:cs="Arial" w:eastAsia="Arial" w:hAnsi="Arial"/>
          <w:sz w:val="17"/>
          <w:szCs w:val="17"/>
          <w:color w:val="auto"/>
        </w:rPr>
        <w:t xml:space="preserve">, would be permitted to be made pursuant to the provisions set forth in </w:t>
      </w:r>
      <w:r>
        <w:rPr>
          <w:rFonts w:ascii="Arial" w:cs="Arial" w:eastAsia="Arial" w:hAnsi="Arial"/>
          <w:sz w:val="17"/>
          <w:szCs w:val="17"/>
          <w:u w:val="single" w:color="auto"/>
          <w:color w:val="auto"/>
        </w:rPr>
        <w:t>Section 6.05(d)</w:t>
      </w:r>
      <w:r>
        <w:rPr>
          <w:rFonts w:ascii="Arial" w:cs="Arial" w:eastAsia="Arial" w:hAnsi="Arial"/>
          <w:sz w:val="17"/>
          <w:szCs w:val="17"/>
          <w:color w:val="auto"/>
        </w:rPr>
        <w:t>.</w:t>
      </w:r>
    </w:p>
    <w:p>
      <w:pPr>
        <w:spacing w:after="0" w:line="182" w:lineRule="exact"/>
        <w:rPr>
          <w:sz w:val="20"/>
          <w:szCs w:val="20"/>
          <w:color w:val="auto"/>
        </w:rPr>
      </w:pPr>
    </w:p>
    <w:p>
      <w:pPr>
        <w:ind w:right="180" w:firstLine="898"/>
        <w:spacing w:after="0" w:line="263" w:lineRule="auto"/>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u w:val="single" w:color="auto"/>
          <w:color w:val="auto"/>
        </w:rPr>
        <w:t>Accounting Changes</w:t>
      </w:r>
      <w:r>
        <w:rPr>
          <w:rFonts w:ascii="Arial" w:cs="Arial" w:eastAsia="Arial" w:hAnsi="Arial"/>
          <w:sz w:val="18"/>
          <w:szCs w:val="18"/>
          <w:color w:val="auto"/>
        </w:rPr>
        <w:t>. The Borrower will not, nor will it permit any of its Subsidiaries to, make any change in (a) accounting policies or reporting practices, except as permitted under GAAP or required by law or rule or regulation of any Governmental Authority, or (b) its fiscal year.</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320" w:top="274" w:right="339" w:bottom="1440" w:gutter="0" w:footer="0" w:header="0"/>
        </w:sectPr>
      </w:pPr>
    </w:p>
    <w:bookmarkStart w:id="109" w:name="page110"/>
    <w:bookmarkEnd w:id="109"/>
    <w:p>
      <w:pPr>
        <w:ind w:right="300" w:firstLine="898"/>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6.14. </w:t>
      </w:r>
      <w:r>
        <w:rPr>
          <w:rFonts w:ascii="Arial" w:cs="Arial" w:eastAsia="Arial" w:hAnsi="Arial"/>
          <w:sz w:val="18"/>
          <w:szCs w:val="18"/>
          <w:u w:val="single" w:color="auto"/>
          <w:color w:val="auto"/>
        </w:rPr>
        <w:t>SBIC Guarantee</w:t>
      </w:r>
      <w:r>
        <w:rPr>
          <w:rFonts w:ascii="Arial" w:cs="Arial" w:eastAsia="Arial" w:hAnsi="Arial"/>
          <w:sz w:val="18"/>
          <w:szCs w:val="18"/>
          <w:color w:val="auto"/>
        </w:rPr>
        <w:t>. The Borrower will not, nor will it permit any of its Subsidiaries to, cause or permit the occurrence of any event or condition that would result in any recourse to any Obligor under any Permitted SBIC Guarantee.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EVENTS OF DEFAULT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If any of the following events (“</w:t>
      </w:r>
      <w:r>
        <w:rPr>
          <w:rFonts w:ascii="Arial" w:cs="Arial" w:eastAsia="Arial" w:hAnsi="Arial"/>
          <w:sz w:val="18"/>
          <w:szCs w:val="18"/>
          <w:u w:val="single" w:color="auto"/>
          <w:color w:val="auto"/>
        </w:rPr>
        <w:t>Events of Default</w:t>
      </w:r>
      <w:r>
        <w:rPr>
          <w:rFonts w:ascii="Arial" w:cs="Arial" w:eastAsia="Arial" w:hAnsi="Arial"/>
          <w:sz w:val="18"/>
          <w:szCs w:val="18"/>
          <w:color w:val="auto"/>
        </w:rPr>
        <w:t>”) shall occur and be continuing:</w:t>
      </w:r>
    </w:p>
    <w:p>
      <w:pPr>
        <w:spacing w:after="0" w:line="225" w:lineRule="exact"/>
        <w:rPr>
          <w:sz w:val="20"/>
          <w:szCs w:val="20"/>
          <w:color w:val="auto"/>
        </w:rPr>
      </w:pPr>
    </w:p>
    <w:p>
      <w:pPr>
        <w:jc w:val="both"/>
        <w:ind w:right="160" w:firstLine="906"/>
        <w:spacing w:after="0" w:line="286" w:lineRule="auto"/>
        <w:tabs>
          <w:tab w:leader="none" w:pos="1143" w:val="left"/>
        </w:tabs>
        <w:numPr>
          <w:ilvl w:val="0"/>
          <w:numId w:val="141"/>
        </w:numPr>
        <w:rPr>
          <w:rFonts w:ascii="Arial" w:cs="Arial" w:eastAsia="Arial" w:hAnsi="Arial"/>
          <w:sz w:val="17"/>
          <w:szCs w:val="17"/>
          <w:color w:val="auto"/>
        </w:rPr>
      </w:pPr>
      <w:r>
        <w:rPr>
          <w:rFonts w:ascii="Arial" w:cs="Arial" w:eastAsia="Arial" w:hAnsi="Arial"/>
          <w:sz w:val="17"/>
          <w:szCs w:val="17"/>
          <w:color w:val="auto"/>
        </w:rPr>
        <w:t xml:space="preserve">the Borrower shall (i) fail to pay any principal of any Loan or any reimbursement obligation in respect of any LC Disbursement when and as the same shall become due and payable, whether at the due date thereof or at a date fixed for prepayment thereof or otherwise or (ii) fail to deposit any amount into the Letter of Credit Collateral Account as required by </w:t>
      </w:r>
      <w:r>
        <w:rPr>
          <w:rFonts w:ascii="Arial" w:cs="Arial" w:eastAsia="Arial" w:hAnsi="Arial"/>
          <w:sz w:val="17"/>
          <w:szCs w:val="17"/>
          <w:u w:val="single" w:color="auto"/>
          <w:color w:val="auto"/>
        </w:rPr>
        <w:t>Section 2.09(a)</w:t>
      </w:r>
      <w:r>
        <w:rPr>
          <w:rFonts w:ascii="Arial" w:cs="Arial" w:eastAsia="Arial" w:hAnsi="Arial"/>
          <w:sz w:val="17"/>
          <w:szCs w:val="17"/>
          <w:color w:val="auto"/>
        </w:rPr>
        <w:t xml:space="preserve"> on the Commitment Termination Date;</w:t>
      </w:r>
    </w:p>
    <w:p>
      <w:pPr>
        <w:spacing w:after="0" w:line="165" w:lineRule="exact"/>
        <w:rPr>
          <w:rFonts w:ascii="Arial" w:cs="Arial" w:eastAsia="Arial" w:hAnsi="Arial"/>
          <w:sz w:val="17"/>
          <w:szCs w:val="17"/>
          <w:color w:val="auto"/>
        </w:rPr>
      </w:pPr>
    </w:p>
    <w:p>
      <w:pPr>
        <w:ind w:right="20" w:firstLine="906"/>
        <w:spacing w:after="0" w:line="263" w:lineRule="auto"/>
        <w:tabs>
          <w:tab w:leader="none" w:pos="1153" w:val="left"/>
        </w:tabs>
        <w:numPr>
          <w:ilvl w:val="0"/>
          <w:numId w:val="141"/>
        </w:numPr>
        <w:rPr>
          <w:rFonts w:ascii="Arial" w:cs="Arial" w:eastAsia="Arial" w:hAnsi="Arial"/>
          <w:sz w:val="18"/>
          <w:szCs w:val="18"/>
          <w:color w:val="auto"/>
        </w:rPr>
      </w:pPr>
      <w:r>
        <w:rPr>
          <w:rFonts w:ascii="Arial" w:cs="Arial" w:eastAsia="Arial" w:hAnsi="Arial"/>
          <w:sz w:val="18"/>
          <w:szCs w:val="18"/>
          <w:color w:val="auto"/>
        </w:rPr>
        <w:t xml:space="preserve">the Borrower shall fail to pay any interest on any Loan or any fee or any other amount (other than an amount referred to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of this Article) payable under this Agreement or under any other Loan Document, when and as the same shall become due and payable, and such failure shall continue unremedied for a period of five or more Business Days;</w:t>
      </w:r>
    </w:p>
    <w:p>
      <w:pPr>
        <w:spacing w:after="0" w:line="183" w:lineRule="exact"/>
        <w:rPr>
          <w:rFonts w:ascii="Arial" w:cs="Arial" w:eastAsia="Arial" w:hAnsi="Arial"/>
          <w:sz w:val="18"/>
          <w:szCs w:val="18"/>
          <w:color w:val="auto"/>
        </w:rPr>
      </w:pPr>
    </w:p>
    <w:p>
      <w:pPr>
        <w:ind w:right="140" w:firstLine="906"/>
        <w:spacing w:after="0" w:line="279" w:lineRule="auto"/>
        <w:tabs>
          <w:tab w:leader="none" w:pos="1143" w:val="left"/>
        </w:tabs>
        <w:numPr>
          <w:ilvl w:val="0"/>
          <w:numId w:val="141"/>
        </w:numPr>
        <w:rPr>
          <w:rFonts w:ascii="Arial" w:cs="Arial" w:eastAsia="Arial" w:hAnsi="Arial"/>
          <w:sz w:val="17"/>
          <w:szCs w:val="17"/>
          <w:color w:val="auto"/>
        </w:rPr>
      </w:pPr>
      <w:r>
        <w:rPr>
          <w:rFonts w:ascii="Arial" w:cs="Arial" w:eastAsia="Arial" w:hAnsi="Arial"/>
          <w:sz w:val="17"/>
          <w:szCs w:val="17"/>
          <w:color w:val="auto"/>
        </w:rPr>
        <w:t>any representation or warranty made or deemed made by or on behalf of the Borrower or any of its Subsidiaries in or in connection with this Agreement or any other Loan Document or any amendment or modification hereof or thereof, or in any report, certificate, financial statement or other document furnished pursuant to or in connection with this Agreement or any other Loan Document or any amendment or modification hereof or thereof, shall prove to have been incorrect when made or deemed made in any material respect;</w:t>
      </w:r>
    </w:p>
    <w:p>
      <w:pPr>
        <w:spacing w:after="0" w:line="171" w:lineRule="exact"/>
        <w:rPr>
          <w:rFonts w:ascii="Arial" w:cs="Arial" w:eastAsia="Arial" w:hAnsi="Arial"/>
          <w:sz w:val="17"/>
          <w:szCs w:val="17"/>
          <w:color w:val="auto"/>
        </w:rPr>
      </w:pPr>
    </w:p>
    <w:p>
      <w:pPr>
        <w:ind w:right="40" w:firstLine="906"/>
        <w:spacing w:after="0" w:line="279" w:lineRule="auto"/>
        <w:tabs>
          <w:tab w:leader="none" w:pos="1153" w:val="left"/>
        </w:tabs>
        <w:numPr>
          <w:ilvl w:val="0"/>
          <w:numId w:val="141"/>
        </w:numPr>
        <w:rPr>
          <w:rFonts w:ascii="Arial" w:cs="Arial" w:eastAsia="Arial" w:hAnsi="Arial"/>
          <w:sz w:val="17"/>
          <w:szCs w:val="17"/>
          <w:color w:val="auto"/>
        </w:rPr>
      </w:pPr>
      <w:r>
        <w:rPr>
          <w:rFonts w:ascii="Arial" w:cs="Arial" w:eastAsia="Arial" w:hAnsi="Arial"/>
          <w:sz w:val="17"/>
          <w:szCs w:val="17"/>
          <w:color w:val="auto"/>
        </w:rPr>
        <w:t xml:space="preserve">the Borrower shall fail to observe or perform any covenant, condition or agreement contained in (i) </w:t>
      </w:r>
      <w:r>
        <w:rPr>
          <w:rFonts w:ascii="Arial" w:cs="Arial" w:eastAsia="Arial" w:hAnsi="Arial"/>
          <w:sz w:val="17"/>
          <w:szCs w:val="17"/>
          <w:u w:val="single" w:color="auto"/>
          <w:color w:val="auto"/>
        </w:rPr>
        <w:t>Section 5.03</w:t>
      </w:r>
      <w:r>
        <w:rPr>
          <w:rFonts w:ascii="Arial" w:cs="Arial" w:eastAsia="Arial" w:hAnsi="Arial"/>
          <w:sz w:val="17"/>
          <w:szCs w:val="17"/>
          <w:color w:val="auto"/>
        </w:rPr>
        <w:t xml:space="preserve"> (with respect to the Borrower’s existence) or </w:t>
      </w:r>
      <w:r>
        <w:rPr>
          <w:rFonts w:ascii="Arial" w:cs="Arial" w:eastAsia="Arial" w:hAnsi="Arial"/>
          <w:sz w:val="17"/>
          <w:szCs w:val="17"/>
          <w:u w:val="single" w:color="auto"/>
          <w:color w:val="auto"/>
        </w:rPr>
        <w:t>Sections 5.08(a)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or in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or any Obligor shall default in the performance of any of its obligations contained in Section 7 of the Guarantee and Security Agreement or (ii) </w:t>
      </w:r>
      <w:r>
        <w:rPr>
          <w:rFonts w:ascii="Arial" w:cs="Arial" w:eastAsia="Arial" w:hAnsi="Arial"/>
          <w:sz w:val="17"/>
          <w:szCs w:val="17"/>
          <w:u w:val="single" w:color="auto"/>
          <w:color w:val="auto"/>
        </w:rPr>
        <w:t>Sections 5.01(e)</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(f)</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5.02</w:t>
      </w:r>
      <w:r>
        <w:rPr>
          <w:rFonts w:ascii="Arial" w:cs="Arial" w:eastAsia="Arial" w:hAnsi="Arial"/>
          <w:sz w:val="17"/>
          <w:szCs w:val="17"/>
          <w:color w:val="auto"/>
        </w:rPr>
        <w:t xml:space="preserve"> and such failure shall continue unremedied for a period of five or more days after notice thereof by the Administrative Agent (given at the request of any Lender) to the Borrower;</w:t>
      </w:r>
    </w:p>
    <w:p>
      <w:pPr>
        <w:spacing w:after="0" w:line="171" w:lineRule="exact"/>
        <w:rPr>
          <w:rFonts w:ascii="Arial" w:cs="Arial" w:eastAsia="Arial" w:hAnsi="Arial"/>
          <w:sz w:val="17"/>
          <w:szCs w:val="17"/>
          <w:color w:val="auto"/>
        </w:rPr>
      </w:pPr>
    </w:p>
    <w:p>
      <w:pPr>
        <w:ind w:right="160" w:firstLine="906"/>
        <w:spacing w:after="0" w:line="275" w:lineRule="auto"/>
        <w:tabs>
          <w:tab w:leader="none" w:pos="1143" w:val="left"/>
        </w:tabs>
        <w:numPr>
          <w:ilvl w:val="0"/>
          <w:numId w:val="141"/>
        </w:numPr>
        <w:rPr>
          <w:rFonts w:ascii="Arial" w:cs="Arial" w:eastAsia="Arial" w:hAnsi="Arial"/>
          <w:sz w:val="17"/>
          <w:szCs w:val="17"/>
          <w:color w:val="auto"/>
        </w:rPr>
      </w:pPr>
      <w:r>
        <w:rPr>
          <w:rFonts w:ascii="Arial" w:cs="Arial" w:eastAsia="Arial" w:hAnsi="Arial"/>
          <w:sz w:val="17"/>
          <w:szCs w:val="17"/>
          <w:color w:val="auto"/>
        </w:rPr>
        <w:t xml:space="preserve">a Borrowing Base Deficiency shall occur and continue unremedied for a period of five or more Business Days after delivery of a Borrowing Base Certificate demonstrating such Borrowing Base Deficiency pursuant to </w:t>
      </w:r>
      <w:r>
        <w:rPr>
          <w:rFonts w:ascii="Arial" w:cs="Arial" w:eastAsia="Arial" w:hAnsi="Arial"/>
          <w:sz w:val="17"/>
          <w:szCs w:val="17"/>
          <w:u w:val="single" w:color="auto"/>
          <w:color w:val="auto"/>
        </w:rPr>
        <w:t>Section 5.01(e)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it shall not be an Event of Default hereunder if the Borrower shall present the Administrative Agent with a reasonably feasible plan acceptable to the Administrative Agent in its sole discretion to enable such Borrowing Base Deficiency to be cured within 30 Business Days (which 30-Business Day period shall include the five Business Days permitted for delivery of such plan), so long as such Borrowing Base Deficiency is cured within such 30-Business Day period;</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40"/>
          </w:cols>
          <w:pgMar w:left="320" w:top="274" w:right="339" w:bottom="1440" w:gutter="0" w:footer="0" w:header="0"/>
        </w:sectPr>
      </w:pPr>
    </w:p>
    <w:bookmarkStart w:id="110" w:name="page111"/>
    <w:bookmarkEnd w:id="110"/>
    <w:p>
      <w:pPr>
        <w:ind w:right="560" w:firstLine="906"/>
        <w:spacing w:after="0" w:line="311" w:lineRule="auto"/>
        <w:tabs>
          <w:tab w:leader="none" w:pos="1123" w:val="left"/>
        </w:tabs>
        <w:numPr>
          <w:ilvl w:val="1"/>
          <w:numId w:val="14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Borrower or any Obligor, as applicable, shall fail to observe or perform any covenant, condition or agreement contained in this Agreement (other than those specified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(d)</w:t>
      </w:r>
      <w:r>
        <w:rPr>
          <w:rFonts w:ascii="Arial" w:cs="Arial" w:eastAsia="Arial" w:hAnsi="Arial"/>
          <w:sz w:val="16"/>
          <w:szCs w:val="16"/>
          <w:color w:val="auto"/>
        </w:rPr>
        <w:t xml:space="preserve">, </w:t>
      </w:r>
      <w:r>
        <w:rPr>
          <w:rFonts w:ascii="Arial" w:cs="Arial" w:eastAsia="Arial" w:hAnsi="Arial"/>
          <w:sz w:val="16"/>
          <w:szCs w:val="16"/>
          <w:u w:val="single" w:color="auto"/>
          <w:color w:val="auto"/>
        </w:rPr>
        <w:t>(e)</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(r)</w:t>
      </w:r>
      <w:r>
        <w:rPr>
          <w:rFonts w:ascii="Arial" w:cs="Arial" w:eastAsia="Arial" w:hAnsi="Arial"/>
          <w:sz w:val="16"/>
          <w:szCs w:val="16"/>
          <w:color w:val="auto"/>
        </w:rPr>
        <w:t xml:space="preserve"> of this Article) or any other Loan Document and such failure shall continue unremedied for a period of 30 or more days after notice thereof from the Administrative Agent (given at the request of any Lender) to the Borrower;</w:t>
      </w:r>
    </w:p>
    <w:p>
      <w:pPr>
        <w:spacing w:after="0" w:line="148" w:lineRule="exact"/>
        <w:rPr>
          <w:rFonts w:ascii="Arial" w:cs="Arial" w:eastAsia="Arial" w:hAnsi="Arial"/>
          <w:sz w:val="16"/>
          <w:szCs w:val="16"/>
          <w:color w:val="auto"/>
        </w:rPr>
      </w:pPr>
    </w:p>
    <w:p>
      <w:pPr>
        <w:ind w:right="40" w:firstLine="906"/>
        <w:spacing w:after="0" w:line="308" w:lineRule="auto"/>
        <w:tabs>
          <w:tab w:leader="none" w:pos="1153" w:val="left"/>
        </w:tabs>
        <w:numPr>
          <w:ilvl w:val="1"/>
          <w:numId w:val="142"/>
        </w:numPr>
        <w:rPr>
          <w:rFonts w:ascii="Arial" w:cs="Arial" w:eastAsia="Arial" w:hAnsi="Arial"/>
          <w:sz w:val="17"/>
          <w:szCs w:val="17"/>
          <w:color w:val="auto"/>
        </w:rPr>
      </w:pPr>
      <w:r>
        <w:rPr>
          <w:rFonts w:ascii="Arial" w:cs="Arial" w:eastAsia="Arial" w:hAnsi="Arial"/>
          <w:sz w:val="17"/>
          <w:szCs w:val="17"/>
          <w:color w:val="auto"/>
        </w:rPr>
        <w:t>the Borrower or any of its Subsidiaries shall fail to make any payment (whether of principal or interest and regardless of amount) in respect of any Material Indebtedness, when and as the same shall become due and payable, taking into account any applicable grace period;</w:t>
      </w:r>
    </w:p>
    <w:p>
      <w:pPr>
        <w:spacing w:after="0" w:line="146" w:lineRule="exact"/>
        <w:rPr>
          <w:rFonts w:ascii="Arial" w:cs="Arial" w:eastAsia="Arial" w:hAnsi="Arial"/>
          <w:sz w:val="17"/>
          <w:szCs w:val="17"/>
          <w:color w:val="auto"/>
        </w:rPr>
      </w:pPr>
    </w:p>
    <w:p>
      <w:pPr>
        <w:ind w:right="160" w:firstLine="906"/>
        <w:spacing w:after="0" w:line="286" w:lineRule="auto"/>
        <w:tabs>
          <w:tab w:leader="none" w:pos="1153" w:val="left"/>
        </w:tabs>
        <w:numPr>
          <w:ilvl w:val="1"/>
          <w:numId w:val="142"/>
        </w:numPr>
        <w:rPr>
          <w:rFonts w:ascii="Arial" w:cs="Arial" w:eastAsia="Arial" w:hAnsi="Arial"/>
          <w:sz w:val="16"/>
          <w:szCs w:val="16"/>
          <w:color w:val="auto"/>
        </w:rPr>
      </w:pPr>
      <w:r>
        <w:rPr>
          <w:rFonts w:ascii="Arial" w:cs="Arial" w:eastAsia="Arial" w:hAnsi="Arial"/>
          <w:sz w:val="16"/>
          <w:szCs w:val="16"/>
          <w:color w:val="auto"/>
        </w:rPr>
        <w:t xml:space="preserve">any event or condition occurs that results in any Material Indebtedness becoming due prior to its scheduled maturity or that enables or permits (with or without the giving of notice, the lapse of time or both) the holder or holders of any Material Indebtedness or any trustee or agent on its or their behalf to cause any Material Indebtedness to become due, or to require the prepayment, repurchase, redemption or defeasance thereof, prior to its scheduled maturity (for the avoidance of doubt, after giving effect to any applicable grace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w:t>
      </w:r>
      <w:r>
        <w:rPr>
          <w:rFonts w:ascii="Arial" w:cs="Arial" w:eastAsia="Arial" w:hAnsi="Arial"/>
          <w:sz w:val="16"/>
          <w:szCs w:val="16"/>
          <w:u w:val="single" w:color="auto"/>
          <w:color w:val="auto"/>
        </w:rPr>
        <w:t>clause (h)</w:t>
      </w:r>
      <w:r>
        <w:rPr>
          <w:rFonts w:ascii="Arial" w:cs="Arial" w:eastAsia="Arial" w:hAnsi="Arial"/>
          <w:sz w:val="16"/>
          <w:szCs w:val="16"/>
          <w:color w:val="auto"/>
        </w:rPr>
        <w:t xml:space="preserve"> shall not apply to</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secured Indebtedness that becomes due as a result of the voluntary sale or transfer of the property or assets securing such Indebtedness; or</w:t>
      </w:r>
    </w:p>
    <w:p>
      <w:pPr>
        <w:spacing w:after="0" w:line="20" w:lineRule="exact"/>
        <w:rPr>
          <w:rFonts w:ascii="Arial" w:cs="Arial" w:eastAsia="Arial" w:hAnsi="Arial"/>
          <w:sz w:val="17"/>
          <w:szCs w:val="17"/>
          <w:color w:val="auto"/>
        </w:rPr>
      </w:pPr>
    </w:p>
    <w:p>
      <w:pPr>
        <w:ind w:right="140" w:firstLine="8"/>
        <w:spacing w:after="0" w:line="323" w:lineRule="auto"/>
        <w:tabs>
          <w:tab w:leader="none" w:pos="255" w:val="left"/>
        </w:tabs>
        <w:numPr>
          <w:ilvl w:val="0"/>
          <w:numId w:val="143"/>
        </w:numPr>
        <w:rPr>
          <w:rFonts w:ascii="Arial" w:cs="Arial" w:eastAsia="Arial" w:hAnsi="Arial"/>
          <w:sz w:val="16"/>
          <w:szCs w:val="16"/>
          <w:color w:val="auto"/>
        </w:rPr>
      </w:pPr>
      <w:r>
        <w:rPr>
          <w:rFonts w:ascii="Arial" w:cs="Arial" w:eastAsia="Arial" w:hAnsi="Arial"/>
          <w:sz w:val="16"/>
          <w:szCs w:val="16"/>
          <w:color w:val="auto"/>
        </w:rPr>
        <w:t>convertible debt that becomes due as a result of a conversion or redemption event, other than to the extent it becomes due or is paid in cash (other than interest or expenses) as a result of an “event of default” (as defined in the documents governing such convertible Material Indebtedness);</w:t>
      </w:r>
    </w:p>
    <w:p>
      <w:pPr>
        <w:spacing w:after="0" w:line="138" w:lineRule="exact"/>
        <w:rPr>
          <w:rFonts w:ascii="Arial" w:cs="Arial" w:eastAsia="Arial" w:hAnsi="Arial"/>
          <w:sz w:val="16"/>
          <w:szCs w:val="16"/>
          <w:color w:val="auto"/>
        </w:rPr>
      </w:pPr>
    </w:p>
    <w:p>
      <w:pPr>
        <w:ind w:right="20" w:firstLine="906"/>
        <w:spacing w:after="0" w:line="255" w:lineRule="auto"/>
        <w:tabs>
          <w:tab w:leader="none" w:pos="1113" w:val="left"/>
        </w:tabs>
        <w:numPr>
          <w:ilvl w:val="1"/>
          <w:numId w:val="143"/>
        </w:numPr>
        <w:rPr>
          <w:rFonts w:ascii="Arial" w:cs="Arial" w:eastAsia="Arial" w:hAnsi="Arial"/>
          <w:sz w:val="18"/>
          <w:szCs w:val="18"/>
          <w:color w:val="auto"/>
        </w:rPr>
      </w:pPr>
      <w:r>
        <w:rPr>
          <w:rFonts w:ascii="Arial" w:cs="Arial" w:eastAsia="Arial" w:hAnsi="Arial"/>
          <w:sz w:val="18"/>
          <w:szCs w:val="18"/>
          <w:color w:val="auto"/>
        </w:rPr>
        <w:t>an involuntary proceeding shall be commenced or an involuntary petition shall be filed seeking (i) liquidation, reorganization or other relief in respect of the Borrower or any of its Subsidiaries (other than Immaterial Subsidiaries) or its debts, or of a substantial part of its assets, under any Federal, state or foreign bankruptcy, insolvency, receivership or similar law now or hereafter in effect or (ii) the appointment of a receiver, trustee, custodian, sequestrator, conservator or similar official for the Borrower or any of its Subsidiaries (other than Immaterial Subsidiaries) or for a substantial part of its assets, and, in any such case, such proceeding or petition shall continue undismissed and unstayed for a period of 60 or more days or an order or decree approving or ordering any of the foregoing shall be entered;</w:t>
      </w:r>
    </w:p>
    <w:p>
      <w:pPr>
        <w:spacing w:after="0" w:line="192" w:lineRule="exact"/>
        <w:rPr>
          <w:rFonts w:ascii="Arial" w:cs="Arial" w:eastAsia="Arial" w:hAnsi="Arial"/>
          <w:sz w:val="18"/>
          <w:szCs w:val="18"/>
          <w:color w:val="auto"/>
        </w:rPr>
      </w:pPr>
    </w:p>
    <w:p>
      <w:pPr>
        <w:ind w:firstLine="906"/>
        <w:spacing w:after="0" w:line="254" w:lineRule="auto"/>
        <w:tabs>
          <w:tab w:leader="none" w:pos="1113" w:val="left"/>
        </w:tabs>
        <w:numPr>
          <w:ilvl w:val="1"/>
          <w:numId w:val="143"/>
        </w:numPr>
        <w:rPr>
          <w:rFonts w:ascii="Arial" w:cs="Arial" w:eastAsia="Arial" w:hAnsi="Arial"/>
          <w:sz w:val="18"/>
          <w:szCs w:val="18"/>
          <w:color w:val="auto"/>
        </w:rPr>
      </w:pPr>
      <w:r>
        <w:rPr>
          <w:rFonts w:ascii="Arial" w:cs="Arial" w:eastAsia="Arial" w:hAnsi="Arial"/>
          <w:sz w:val="18"/>
          <w:szCs w:val="18"/>
          <w:color w:val="auto"/>
        </w:rPr>
        <w:t xml:space="preserve">the Borrower or any of its Subsidiaries (other than Immaterial Subsidiaries)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of this Article, (iii) apply for or consent to the appointment of a receiver, trustee, custodian, sequestrator, conservator or similar official for the Borrower or any of its Subsidiaries (other than Immaterial Subsidiaries)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320" w:top="274" w:right="339" w:bottom="1440" w:gutter="0" w:footer="0" w:header="0"/>
        </w:sectPr>
      </w:pPr>
    </w:p>
    <w:bookmarkStart w:id="111" w:name="page112"/>
    <w:bookmarkEnd w:id="111"/>
    <w:p>
      <w:pPr>
        <w:ind w:right="540" w:firstLine="906"/>
        <w:spacing w:after="0" w:line="277" w:lineRule="auto"/>
        <w:tabs>
          <w:tab w:leader="none" w:pos="1153" w:val="left"/>
        </w:tabs>
        <w:numPr>
          <w:ilvl w:val="0"/>
          <w:numId w:val="1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Borrower or any of its Subsidiaries (other than Immaterial Subsidiaries) shall become unable, admit in writing its inability or fail generally to pay its debts as they become due;</w:t>
      </w:r>
    </w:p>
    <w:p>
      <w:pPr>
        <w:spacing w:after="0" w:line="170" w:lineRule="exact"/>
        <w:rPr>
          <w:rFonts w:ascii="Arial" w:cs="Arial" w:eastAsia="Arial" w:hAnsi="Arial"/>
          <w:sz w:val="18"/>
          <w:szCs w:val="18"/>
          <w:color w:val="auto"/>
        </w:rPr>
      </w:pPr>
    </w:p>
    <w:p>
      <w:pPr>
        <w:ind w:right="140" w:firstLine="906"/>
        <w:spacing w:after="0" w:line="279" w:lineRule="auto"/>
        <w:tabs>
          <w:tab w:leader="none" w:pos="1113" w:val="left"/>
        </w:tabs>
        <w:numPr>
          <w:ilvl w:val="0"/>
          <w:numId w:val="144"/>
        </w:numPr>
        <w:rPr>
          <w:rFonts w:ascii="Arial" w:cs="Arial" w:eastAsia="Arial" w:hAnsi="Arial"/>
          <w:sz w:val="17"/>
          <w:szCs w:val="17"/>
          <w:color w:val="auto"/>
        </w:rPr>
      </w:pPr>
      <w:r>
        <w:rPr>
          <w:rFonts w:ascii="Arial" w:cs="Arial" w:eastAsia="Arial" w:hAnsi="Arial"/>
          <w:sz w:val="17"/>
          <w:szCs w:val="17"/>
          <w:color w:val="auto"/>
        </w:rPr>
        <w:t>one or more judgments for the payment of money in an aggregate amount in excess of $15,000,000 shall be rendered against the Borrower or any of its Subsidiaries (other than Immaterial Subsidiaries) or any combination thereof and the same shall remain undischarged for a period of 30 consecutive days during which execution shall not be effectively stayed, or any action shall be legally taken by a judgment creditor to attach or levy upon any assets of the Borrower or any of its Subsidiaries (other than Immaterial Subsidiaries) to enforce any such judgment;</w:t>
      </w:r>
    </w:p>
    <w:p>
      <w:pPr>
        <w:spacing w:after="0" w:line="171" w:lineRule="exact"/>
        <w:rPr>
          <w:rFonts w:ascii="Arial" w:cs="Arial" w:eastAsia="Arial" w:hAnsi="Arial"/>
          <w:sz w:val="17"/>
          <w:szCs w:val="17"/>
          <w:color w:val="auto"/>
        </w:rPr>
      </w:pPr>
    </w:p>
    <w:p>
      <w:pPr>
        <w:ind w:right="220" w:firstLine="906"/>
        <w:spacing w:after="0" w:line="277" w:lineRule="auto"/>
        <w:tabs>
          <w:tab w:leader="none" w:pos="1203"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an ERISA Event shall have occurred that, in the opinion of the Required Lenders, when taken together with all other ERISA Events that have occurred, could reasonably be expected to result in a Material Adverse Effect;</w:t>
      </w:r>
    </w:p>
    <w:p>
      <w:pPr>
        <w:spacing w:after="0" w:line="170" w:lineRule="exact"/>
        <w:rPr>
          <w:rFonts w:ascii="Arial" w:cs="Arial" w:eastAsia="Arial" w:hAnsi="Arial"/>
          <w:sz w:val="18"/>
          <w:szCs w:val="18"/>
          <w:color w:val="auto"/>
        </w:rPr>
      </w:pPr>
    </w:p>
    <w:p>
      <w:pPr>
        <w:ind w:left="1160" w:hanging="254"/>
        <w:spacing w:after="0"/>
        <w:tabs>
          <w:tab w:leader="none" w:pos="11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 Change in Control shall occur;</w:t>
      </w:r>
    </w:p>
    <w:p>
      <w:pPr>
        <w:spacing w:after="0" w:line="225" w:lineRule="exact"/>
        <w:rPr>
          <w:rFonts w:ascii="Arial" w:cs="Arial" w:eastAsia="Arial" w:hAnsi="Arial"/>
          <w:sz w:val="18"/>
          <w:szCs w:val="18"/>
          <w:color w:val="auto"/>
        </w:rPr>
      </w:pPr>
    </w:p>
    <w:p>
      <w:pPr>
        <w:ind w:left="1160" w:hanging="254"/>
        <w:spacing w:after="0"/>
        <w:tabs>
          <w:tab w:leader="none" w:pos="11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PennantPark Investment Advisers, LLC or an Affiliate thereof shall cease to be the investment advisor for the Borrower;</w:t>
      </w:r>
    </w:p>
    <w:p>
      <w:pPr>
        <w:spacing w:after="0" w:line="225" w:lineRule="exact"/>
        <w:rPr>
          <w:rFonts w:ascii="Arial" w:cs="Arial" w:eastAsia="Arial" w:hAnsi="Arial"/>
          <w:sz w:val="18"/>
          <w:szCs w:val="18"/>
          <w:color w:val="auto"/>
        </w:rPr>
      </w:pPr>
    </w:p>
    <w:p>
      <w:pPr>
        <w:ind w:firstLine="906"/>
        <w:spacing w:after="0" w:line="275" w:lineRule="auto"/>
        <w:tabs>
          <w:tab w:leader="none" w:pos="1153" w:val="left"/>
        </w:tabs>
        <w:numPr>
          <w:ilvl w:val="0"/>
          <w:numId w:val="144"/>
        </w:numPr>
        <w:rPr>
          <w:rFonts w:ascii="Arial" w:cs="Arial" w:eastAsia="Arial" w:hAnsi="Arial"/>
          <w:sz w:val="17"/>
          <w:szCs w:val="17"/>
          <w:color w:val="auto"/>
        </w:rPr>
      </w:pPr>
      <w:r>
        <w:rPr>
          <w:rFonts w:ascii="Arial" w:cs="Arial" w:eastAsia="Arial" w:hAnsi="Arial"/>
          <w:sz w:val="17"/>
          <w:szCs w:val="17"/>
          <w:color w:val="auto"/>
        </w:rPr>
        <w:t xml:space="preserve">the Liens created by the Security Documents shall, at any time with respect to Portfolio Investments having an aggregate Value in excess of 5% of the aggregate Value of all Portfolio Investments, not be valid and perfected (to the extent perfection by filing, registration, recordation, possession or control is required herein or therein) in favor of the Administrative Agent, free and clear of all other Liens (other than Liens permitted under </w:t>
      </w:r>
      <w:r>
        <w:rPr>
          <w:rFonts w:ascii="Arial" w:cs="Arial" w:eastAsia="Arial" w:hAnsi="Arial"/>
          <w:sz w:val="17"/>
          <w:szCs w:val="17"/>
          <w:u w:val="single" w:color="auto"/>
          <w:color w:val="auto"/>
        </w:rPr>
        <w:t>Section 6.02</w:t>
      </w:r>
      <w:r>
        <w:rPr>
          <w:rFonts w:ascii="Arial" w:cs="Arial" w:eastAsia="Arial" w:hAnsi="Arial"/>
          <w:sz w:val="17"/>
          <w:szCs w:val="17"/>
          <w:color w:val="auto"/>
        </w:rPr>
        <w:t xml:space="preserve"> or under the respective Security Documents) except to the extent that any such loss of perfection results from the failure of the Collateral Agent to maintain possession of the certificates representing the securities pledged under the Loan Documents;</w:t>
      </w:r>
    </w:p>
    <w:p>
      <w:pPr>
        <w:spacing w:after="0" w:line="176" w:lineRule="exact"/>
        <w:rPr>
          <w:rFonts w:ascii="Arial" w:cs="Arial" w:eastAsia="Arial" w:hAnsi="Arial"/>
          <w:sz w:val="17"/>
          <w:szCs w:val="17"/>
          <w:color w:val="auto"/>
        </w:rPr>
      </w:pPr>
    </w:p>
    <w:p>
      <w:pPr>
        <w:ind w:right="100" w:firstLine="906"/>
        <w:spacing w:after="0" w:line="277" w:lineRule="auto"/>
        <w:tabs>
          <w:tab w:leader="none" w:pos="1153" w:val="left"/>
        </w:tabs>
        <w:numPr>
          <w:ilvl w:val="0"/>
          <w:numId w:val="144"/>
        </w:numPr>
        <w:rPr>
          <w:rFonts w:ascii="Arial" w:cs="Arial" w:eastAsia="Arial" w:hAnsi="Arial"/>
          <w:sz w:val="18"/>
          <w:szCs w:val="18"/>
          <w:color w:val="auto"/>
        </w:rPr>
      </w:pPr>
      <w:r>
        <w:rPr>
          <w:rFonts w:ascii="Arial" w:cs="Arial" w:eastAsia="Arial" w:hAnsi="Arial"/>
          <w:sz w:val="18"/>
          <w:szCs w:val="18"/>
          <w:color w:val="auto"/>
        </w:rPr>
        <w:t>except for expiration in accordance with its terms, any of the Security Documents shall for whatever reason be terminated or cease to be in full force and effect in any material respect, or the enforceability thereof shall be contested by the Borrower;</w:t>
      </w:r>
    </w:p>
    <w:p>
      <w:pPr>
        <w:spacing w:after="0" w:line="170" w:lineRule="exact"/>
        <w:rPr>
          <w:rFonts w:ascii="Arial" w:cs="Arial" w:eastAsia="Arial" w:hAnsi="Arial"/>
          <w:sz w:val="18"/>
          <w:szCs w:val="18"/>
          <w:color w:val="auto"/>
        </w:rPr>
      </w:pPr>
    </w:p>
    <w:p>
      <w:pPr>
        <w:ind w:right="100" w:firstLine="906"/>
        <w:spacing w:after="0" w:line="263" w:lineRule="auto"/>
        <w:tabs>
          <w:tab w:leader="none" w:pos="1123" w:val="left"/>
        </w:tabs>
        <w:numPr>
          <w:ilvl w:val="0"/>
          <w:numId w:val="144"/>
        </w:numPr>
        <w:rPr>
          <w:rFonts w:ascii="Arial" w:cs="Arial" w:eastAsia="Arial" w:hAnsi="Arial"/>
          <w:sz w:val="18"/>
          <w:szCs w:val="18"/>
          <w:color w:val="auto"/>
        </w:rPr>
      </w:pPr>
      <w:r>
        <w:rPr>
          <w:rFonts w:ascii="Arial" w:cs="Arial" w:eastAsia="Arial" w:hAnsi="Arial"/>
          <w:sz w:val="18"/>
          <w:szCs w:val="18"/>
          <w:color w:val="auto"/>
        </w:rPr>
        <w:t xml:space="preserve">the Obligors shall at any time, without the consent of the Required Lenders fail to comply with the covenant contained in </w:t>
      </w:r>
      <w:r>
        <w:rPr>
          <w:rFonts w:ascii="Arial" w:cs="Arial" w:eastAsia="Arial" w:hAnsi="Arial"/>
          <w:sz w:val="18"/>
          <w:szCs w:val="18"/>
          <w:u w:val="single" w:color="auto"/>
          <w:color w:val="auto"/>
        </w:rPr>
        <w:t>Section 5.11</w:t>
      </w:r>
      <w:r>
        <w:rPr>
          <w:rFonts w:ascii="Arial" w:cs="Arial" w:eastAsia="Arial" w:hAnsi="Arial"/>
          <w:sz w:val="18"/>
          <w:szCs w:val="18"/>
          <w:color w:val="auto"/>
        </w:rPr>
        <w:t>, and such failure shall continue unremedied for a period of 30 or more days after the earlier of notice thereof by the Administrative Agent (given at the request of any Lender) to the Borrower or knowledge thereof by a Financial Officer; or</w:t>
      </w:r>
    </w:p>
    <w:p>
      <w:pPr>
        <w:spacing w:after="0" w:line="183" w:lineRule="exact"/>
        <w:rPr>
          <w:rFonts w:ascii="Arial" w:cs="Arial" w:eastAsia="Arial" w:hAnsi="Arial"/>
          <w:sz w:val="18"/>
          <w:szCs w:val="18"/>
          <w:color w:val="auto"/>
        </w:rPr>
      </w:pPr>
    </w:p>
    <w:p>
      <w:pPr>
        <w:ind w:right="240" w:firstLine="906"/>
        <w:spacing w:after="0" w:line="277" w:lineRule="auto"/>
        <w:tabs>
          <w:tab w:leader="none" w:pos="1133"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Borrower or any of its Subsidiaries shall cause or permit the occurrence of any condition or event that would result in any recourse to any Obligor under any Permitted SBIC Guarantee;</w:t>
      </w:r>
    </w:p>
    <w:p>
      <w:pPr>
        <w:spacing w:after="0" w:line="17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 xml:space="preserve">then, and in every such event (other than an event with respect to the Borrower described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(j)</w:t>
      </w:r>
      <w:r>
        <w:rPr>
          <w:rFonts w:ascii="Arial" w:cs="Arial" w:eastAsia="Arial" w:hAnsi="Arial"/>
          <w:sz w:val="18"/>
          <w:szCs w:val="18"/>
          <w:color w:val="auto"/>
        </w:rPr>
        <w:t xml:space="preserve"> of this Article), and at any time thereafter during the continuance of such event, the Administrative Agent may, and at the request of the Required Lenders shall, by notice to the Borrower, take either or both of the following actions, at the same or different times:</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320" w:top="274" w:right="339" w:bottom="1440" w:gutter="0" w:footer="0" w:header="0"/>
        </w:sectPr>
      </w:pPr>
    </w:p>
    <w:bookmarkStart w:id="112" w:name="page113"/>
    <w:bookmarkEnd w:id="112"/>
    <w:p>
      <w:pPr>
        <w:ind w:right="220" w:firstLine="8"/>
        <w:spacing w:after="0" w:line="285" w:lineRule="auto"/>
        <w:tabs>
          <w:tab w:leader="none" w:pos="215" w:val="left"/>
        </w:tabs>
        <w:numPr>
          <w:ilvl w:val="0"/>
          <w:numId w:val="14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terminate the Commitments, and thereupon the Commitments shall terminate immediately, and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and under the other Loan Documents, shall become due and payable immediately, without presentment, demand, protest or other notice of any kind, all of which are hereby waived by the Borrower; and in case of any event with respect to the Borrower described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or</w:t>
      </w:r>
    </w:p>
    <w:p>
      <w:pPr>
        <w:spacing w:after="0" w:line="1" w:lineRule="exact"/>
        <w:rPr>
          <w:rFonts w:ascii="Arial" w:cs="Arial" w:eastAsia="Arial" w:hAnsi="Arial"/>
          <w:sz w:val="16"/>
          <w:szCs w:val="16"/>
          <w:color w:val="auto"/>
        </w:rPr>
      </w:pPr>
    </w:p>
    <w:p>
      <w:pPr>
        <w:jc w:val="both"/>
        <w:ind w:right="260" w:firstLine="8"/>
        <w:spacing w:after="0" w:line="277" w:lineRule="auto"/>
        <w:tabs>
          <w:tab w:leader="none" w:pos="215" w:val="left"/>
        </w:tabs>
        <w:numPr>
          <w:ilvl w:val="0"/>
          <w:numId w:val="145"/>
        </w:numPr>
        <w:rPr>
          <w:rFonts w:ascii="Arial" w:cs="Arial" w:eastAsia="Arial" w:hAnsi="Arial"/>
          <w:sz w:val="17"/>
          <w:szCs w:val="17"/>
          <w:u w:val="single" w:color="auto"/>
          <w:color w:val="auto"/>
        </w:rPr>
      </w:pPr>
      <w:r>
        <w:rPr>
          <w:rFonts w:ascii="Arial" w:cs="Arial" w:eastAsia="Arial" w:hAnsi="Arial"/>
          <w:sz w:val="17"/>
          <w:szCs w:val="17"/>
          <w:color w:val="auto"/>
        </w:rPr>
        <w:t>of this Article, the Commitments shall automatically terminate and the principal of the Loans then outstanding, together with accrued interest thereon and all fees and other obligations of the Borrower accrued hereunder and under the other Loan Documents, shall automatically become due and payable, without presentment, demand, protest or other notice of any kind, all of which are hereby waived by the Borrower.</w:t>
      </w:r>
    </w:p>
    <w:p>
      <w:pPr>
        <w:spacing w:after="0" w:line="173" w:lineRule="exact"/>
        <w:rPr>
          <w:sz w:val="20"/>
          <w:szCs w:val="20"/>
          <w:color w:val="auto"/>
        </w:rPr>
      </w:pPr>
    </w:p>
    <w:p>
      <w:pPr>
        <w:ind w:right="160" w:firstLine="898"/>
        <w:spacing w:after="0" w:line="273" w:lineRule="auto"/>
        <w:rPr>
          <w:sz w:val="20"/>
          <w:szCs w:val="20"/>
          <w:color w:val="auto"/>
        </w:rPr>
      </w:pPr>
      <w:r>
        <w:rPr>
          <w:rFonts w:ascii="Arial" w:cs="Arial" w:eastAsia="Arial" w:hAnsi="Arial"/>
          <w:sz w:val="17"/>
          <w:szCs w:val="17"/>
          <w:color w:val="auto"/>
        </w:rPr>
        <w:t xml:space="preserve">In the event that the Loans shall be declared, or shall become, due and payable pursuant to the immediately preceding paragraph then, upon notice from the Administrative Agent or Lenders with LC Exposure representing more than 50% of the total LC Exposure demanding the deposit of Cash Collateral pursuant to this paragraph, the Borrower shall immediately deposit into the Letter of Credit Collateral Account cash in an amount equal to the LC Exposure as of such date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any accrued and unpaid interest thereon;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obligation to deposit such cash shall become effective immediately, and such deposit shall become immediately due and payable, without demand or other notice of any kind, upon the occurrence of any Event of Default with respect to the Borrower described in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(j)</w:t>
      </w:r>
      <w:r>
        <w:rPr>
          <w:rFonts w:ascii="Arial" w:cs="Arial" w:eastAsia="Arial" w:hAnsi="Arial"/>
          <w:sz w:val="17"/>
          <w:szCs w:val="17"/>
          <w:color w:val="auto"/>
        </w:rPr>
        <w:t xml:space="preserve"> of this Article.</w:t>
      </w:r>
    </w:p>
    <w:p>
      <w:pPr>
        <w:spacing w:after="0" w:line="178" w:lineRule="exact"/>
        <w:rPr>
          <w:sz w:val="20"/>
          <w:szCs w:val="20"/>
          <w:color w:val="auto"/>
        </w:rPr>
      </w:pPr>
    </w:p>
    <w:p>
      <w:pPr>
        <w:ind w:firstLine="898"/>
        <w:spacing w:after="0" w:line="286" w:lineRule="auto"/>
        <w:rPr>
          <w:sz w:val="20"/>
          <w:szCs w:val="20"/>
          <w:color w:val="auto"/>
        </w:rPr>
      </w:pPr>
      <w:r>
        <w:rPr>
          <w:rFonts w:ascii="Arial" w:cs="Arial" w:eastAsia="Arial" w:hAnsi="Arial"/>
          <w:sz w:val="16"/>
          <w:szCs w:val="16"/>
          <w:color w:val="auto"/>
        </w:rPr>
        <w:t xml:space="preserve">Notwithstanding anything to the contrary contained herein, on the CAM Exchange Date, to the extent not otherwise prohibited by law, (a) the Lenders shall automatically and without further act be deemed to have exchanged interests in the Designated Obligations such that, in lieu of the interests of each Lender in the Designated Obligations under each Loan in which it shall participate as of such date, such Lender shall own an interest equal to such Lender’s CAM Percentage in the Designated Obligations under each of the Loans and (b) simultaneously with the deemed exchange of interests pursuant to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the interests in the Designated Obligations to be received in such deemed exchange shall, automatically and with no further action required, be converted into the Dollar Equivalent of such amount (as of the Business Day immediately prior to the CAM Exchange Date) and on and after such date all amounts accruing and owed to the Lenders in respect of such Designated Obligations shall accrue and be payable in Dollars at the rate otherwise applicable hereunder. Each Lender, each Person acquiring a participation from any Lender as contemplated by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and the Borrower hereby consents and agrees to the CAM Exchange. The Borrower and the Lenders agree from time to time to execute and deliver to the Administrative Agent all such promissory notes and other instruments and documents as the Administrative Agent shall reasonably request to evidence and confirm the respective interests and obligations of the Lenders after giving effect to the CAM Exchange, and each Lender agrees to surrender any promissory notes originally received by it in connection with its Loans hereunder to the Administrative Agent against delivery of any promissory notes so executed and delivered; provided that the failure of the Borrower to execute or deliver or of any Lender to accept any such promissory note, instrument or document shall not affect the validity or effectiveness of the CAM Exchange. As a result of the CAM Exchange,</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40"/>
          </w:cols>
          <w:pgMar w:left="320" w:top="274" w:right="339" w:bottom="1440" w:gutter="0" w:footer="0" w:header="0"/>
        </w:sectPr>
      </w:pPr>
    </w:p>
    <w:bookmarkStart w:id="113" w:name="page114"/>
    <w:bookmarkEnd w:id="113"/>
    <w:p>
      <w:pPr>
        <w:jc w:val="both"/>
        <w:ind w:right="2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on and after the CAM Exchange Date, each payment received by the Administrative Agent pursuant to any Loan Document in respect of the Designated Obligations shall be distributed to the Lenders pro rata in accordance with their respective CAM Percentages (to be redetermined as of each such date of payment).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ADMINISTRATIVE AGENT</w:t>
      </w:r>
    </w:p>
    <w:p>
      <w:pPr>
        <w:spacing w:after="0" w:line="225" w:lineRule="exact"/>
        <w:rPr>
          <w:sz w:val="20"/>
          <w:szCs w:val="20"/>
          <w:color w:val="auto"/>
        </w:rPr>
      </w:pPr>
    </w:p>
    <w:p>
      <w:pPr>
        <w:ind w:right="160" w:firstLine="898"/>
        <w:spacing w:after="0" w:line="293" w:lineRule="auto"/>
        <w:rPr>
          <w:sz w:val="20"/>
          <w:szCs w:val="20"/>
          <w:color w:val="auto"/>
        </w:rPr>
      </w:pPr>
      <w:r>
        <w:rPr>
          <w:rFonts w:ascii="Arial" w:cs="Arial" w:eastAsia="Arial" w:hAnsi="Arial"/>
          <w:sz w:val="16"/>
          <w:szCs w:val="16"/>
          <w:color w:val="auto"/>
        </w:rPr>
        <w:t xml:space="preserve">SECTION 8.01. </w:t>
      </w:r>
      <w:r>
        <w:rPr>
          <w:rFonts w:ascii="Arial" w:cs="Arial" w:eastAsia="Arial" w:hAnsi="Arial"/>
          <w:sz w:val="16"/>
          <w:szCs w:val="16"/>
          <w:u w:val="single" w:color="auto"/>
          <w:color w:val="auto"/>
        </w:rPr>
        <w:t>Appointment of the Administrative Agent</w:t>
      </w:r>
      <w:r>
        <w:rPr>
          <w:rFonts w:ascii="Arial" w:cs="Arial" w:eastAsia="Arial" w:hAnsi="Arial"/>
          <w:sz w:val="16"/>
          <w:szCs w:val="16"/>
          <w:color w:val="auto"/>
        </w:rPr>
        <w:t>. Each of the Lenders and the Issuing Bank hereby irrevocably appoints the Administrative Agent as its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Each of the Lenders and the Issuing Bank hereby irrevocably appoints the Collateral Agent as its agent hereunder and under the other Loan Documents and authorizes the Collateral Agent to take such actions on its behalf and to exercise such powers as are delegated to the Collateral Agent by the terms hereof or thereof, together with such actions and powers as are reasonably incidental thereto.</w:t>
      </w:r>
    </w:p>
    <w:p>
      <w:pPr>
        <w:spacing w:after="0" w:line="164" w:lineRule="exact"/>
        <w:rPr>
          <w:sz w:val="20"/>
          <w:szCs w:val="20"/>
          <w:color w:val="auto"/>
        </w:rPr>
      </w:pPr>
    </w:p>
    <w:p>
      <w:pPr>
        <w:ind w:right="40" w:firstLine="898"/>
        <w:spacing w:after="0" w:line="259"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Capacity as Lender</w:t>
      </w:r>
      <w:r>
        <w:rPr>
          <w:rFonts w:ascii="Arial" w:cs="Arial" w:eastAsia="Arial" w:hAnsi="Arial"/>
          <w:sz w:val="18"/>
          <w:szCs w:val="18"/>
          <w:color w:val="auto"/>
        </w:rPr>
        <w:t>. The Person serving as the Administrative Agent hereunder shall have the same rights and powers in its capacity as a Lender as any other Lender and may exercise the same as though it were not the Administrative Agent, and such Person and its Affiliates may accept deposits from, lend money to and generally engage in any kind of business with the Borrower or any Subsidiary or other Affiliate thereof as if it were not the Administrative Agent hereunder.</w:t>
      </w:r>
    </w:p>
    <w:p>
      <w:pPr>
        <w:spacing w:after="0" w:line="187" w:lineRule="exact"/>
        <w:rPr>
          <w:sz w:val="20"/>
          <w:szCs w:val="20"/>
          <w:color w:val="auto"/>
        </w:rPr>
      </w:pPr>
    </w:p>
    <w:p>
      <w:pPr>
        <w:ind w:right="40" w:firstLine="898"/>
        <w:spacing w:after="0" w:line="286" w:lineRule="auto"/>
        <w:rPr>
          <w:sz w:val="20"/>
          <w:szCs w:val="20"/>
          <w:color w:val="auto"/>
        </w:rPr>
      </w:pPr>
      <w:r>
        <w:rPr>
          <w:rFonts w:ascii="Arial" w:cs="Arial" w:eastAsia="Arial" w:hAnsi="Arial"/>
          <w:sz w:val="16"/>
          <w:szCs w:val="16"/>
          <w:color w:val="auto"/>
        </w:rPr>
        <w:t xml:space="preserve">SECTION 8.03. </w:t>
      </w:r>
      <w:r>
        <w:rPr>
          <w:rFonts w:ascii="Arial" w:cs="Arial" w:eastAsia="Arial" w:hAnsi="Arial"/>
          <w:sz w:val="16"/>
          <w:szCs w:val="16"/>
          <w:u w:val="single" w:color="auto"/>
          <w:color w:val="auto"/>
        </w:rPr>
        <w:t>Limitation of Duties; Exculpation</w:t>
      </w:r>
      <w:r>
        <w:rPr>
          <w:rFonts w:ascii="Arial" w:cs="Arial" w:eastAsia="Arial" w:hAnsi="Arial"/>
          <w:sz w:val="16"/>
          <w:szCs w:val="16"/>
          <w:color w:val="auto"/>
        </w:rPr>
        <w:t>. The Administrative Agent shall not have any duties or obligations except those expressly set forth herein and in the other Loan Documents. Without limiting the generality of the foregoing, (a) the Administrative Agent shall not be subject to any fiduciary or other implied duties, regardless of whether a Default has occurred and is continuing, (b) the Administrative Agent shall not have any duty to take any discretionary action or exercise any discretionary powers, except discretionary rights and powers expressly contemplated hereby or by the other Loan Documents that the Administrative Agent is required to exercise in writing by the Required Lenders, and (c) except as expressly set forth herein and in the other Loan Documents, the Administrative Agent shall not have any duty to disclose, and shall not be liable for the failure to disclose, any information relating to the Borrower or any of its Subsidiaries that is communicated to or obtained by the bank serving as Administrative Agent or any of its Affiliates in any capacity. The Administrative Agent shall not be liable to any Lender or Issuing Bank for any action taken or not taken by it with the consent or at the request of the Required Lenders or in the absence of its own gross negligence or willful misconduct. The Administrative Agent shall be deemed not to have knowledge of any Default unless and until written notice thereof is given to the Administrative Agent by the Borrower or a Lender, and 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320" w:top="274" w:right="339" w:bottom="1440" w:gutter="0" w:footer="0" w:header="0"/>
        </w:sectPr>
      </w:pPr>
    </w:p>
    <w:bookmarkStart w:id="114" w:name="page115"/>
    <w:bookmarkEnd w:id="114"/>
    <w:p>
      <w:pPr>
        <w:ind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terms or conditions set forth herein or therein, (iv) the validity, enforceability, effectiveness or genuineness of this Agreement, any other Loan Document or any other agreement, instrument or document, or (v) the satisfaction of any condition set forth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or elsewhere herein or therein, other than to confirm receipt of items expressly required to be delivered to the Administrative Agent.</w:t>
      </w:r>
    </w:p>
    <w:p>
      <w:pPr>
        <w:spacing w:after="0" w:line="184" w:lineRule="exact"/>
        <w:rPr>
          <w:sz w:val="20"/>
          <w:szCs w:val="20"/>
          <w:color w:val="auto"/>
        </w:rPr>
      </w:pPr>
    </w:p>
    <w:p>
      <w:pPr>
        <w:ind w:right="20" w:firstLine="898"/>
        <w:spacing w:after="0" w:line="293" w:lineRule="auto"/>
        <w:rPr>
          <w:sz w:val="20"/>
          <w:szCs w:val="20"/>
          <w:color w:val="auto"/>
        </w:rPr>
      </w:pPr>
      <w:r>
        <w:rPr>
          <w:rFonts w:ascii="Arial" w:cs="Arial" w:eastAsia="Arial" w:hAnsi="Arial"/>
          <w:sz w:val="16"/>
          <w:szCs w:val="16"/>
          <w:color w:val="auto"/>
        </w:rPr>
        <w:t xml:space="preserve">SECTION 8.04. </w:t>
      </w:r>
      <w:r>
        <w:rPr>
          <w:rFonts w:ascii="Arial" w:cs="Arial" w:eastAsia="Arial" w:hAnsi="Arial"/>
          <w:sz w:val="16"/>
          <w:szCs w:val="16"/>
          <w:u w:val="single" w:color="auto"/>
          <w:color w:val="auto"/>
        </w:rPr>
        <w:t>Reliance</w:t>
      </w:r>
      <w:r>
        <w:rPr>
          <w:rFonts w:ascii="Arial" w:cs="Arial" w:eastAsia="Arial" w:hAnsi="Arial"/>
          <w:sz w:val="16"/>
          <w:szCs w:val="16"/>
          <w:color w:val="auto"/>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or sent by the proper Person. The Administrative Agent also may rely upon any statement made to it orally or by telephone and believed by it to be made by the proper Person, and shall not incur any liability for relying thereon.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64" w:lineRule="exact"/>
        <w:rPr>
          <w:sz w:val="20"/>
          <w:szCs w:val="20"/>
          <w:color w:val="auto"/>
        </w:rPr>
      </w:pPr>
    </w:p>
    <w:p>
      <w:pPr>
        <w:ind w:right="120" w:firstLine="898"/>
        <w:spacing w:after="0" w:line="291" w:lineRule="auto"/>
        <w:rPr>
          <w:sz w:val="20"/>
          <w:szCs w:val="20"/>
          <w:color w:val="auto"/>
        </w:rPr>
      </w:pPr>
      <w:r>
        <w:rPr>
          <w:rFonts w:ascii="Arial" w:cs="Arial" w:eastAsia="Arial" w:hAnsi="Arial"/>
          <w:sz w:val="16"/>
          <w:szCs w:val="16"/>
          <w:color w:val="auto"/>
        </w:rPr>
        <w:t xml:space="preserve">SECTION 8.05. </w:t>
      </w:r>
      <w:r>
        <w:rPr>
          <w:rFonts w:ascii="Arial" w:cs="Arial" w:eastAsia="Arial" w:hAnsi="Arial"/>
          <w:sz w:val="16"/>
          <w:szCs w:val="16"/>
          <w:u w:val="single" w:color="auto"/>
          <w:color w:val="auto"/>
        </w:rPr>
        <w:t>Sub-Agents</w:t>
      </w:r>
      <w:r>
        <w:rPr>
          <w:rFonts w:ascii="Arial" w:cs="Arial" w:eastAsia="Arial" w:hAnsi="Arial"/>
          <w:sz w:val="16"/>
          <w:szCs w:val="16"/>
          <w:color w:val="auto"/>
        </w:rPr>
        <w:t>. The Administrative Agent may perform any and all its duties and exercise its rights and powers by or through any one or more sub-agents appointed by the Administrative Agent. The Administrative Agent and any such sub-agent may perform any and all its duties and exercise its rights and powers through their respective Related Parties. The exculpatory provisions of the preceding paragraphs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count of competent jurisdiction determines in a final and non-appealable judgment that the Administrative Agent acted with gross negligence or willful misconduct in the selection of such sub-agents.</w:t>
      </w:r>
    </w:p>
    <w:p>
      <w:pPr>
        <w:spacing w:after="0" w:line="166" w:lineRule="exact"/>
        <w:rPr>
          <w:sz w:val="20"/>
          <w:szCs w:val="20"/>
          <w:color w:val="auto"/>
        </w:rPr>
      </w:pPr>
    </w:p>
    <w:p>
      <w:pPr>
        <w:ind w:right="40" w:firstLine="898"/>
        <w:spacing w:after="0" w:line="269" w:lineRule="auto"/>
        <w:rPr>
          <w:sz w:val="20"/>
          <w:szCs w:val="20"/>
          <w:color w:val="auto"/>
        </w:rPr>
      </w:pPr>
      <w:r>
        <w:rPr>
          <w:rFonts w:ascii="Arial" w:cs="Arial" w:eastAsia="Arial" w:hAnsi="Arial"/>
          <w:sz w:val="17"/>
          <w:szCs w:val="17"/>
          <w:color w:val="auto"/>
        </w:rPr>
        <w:t xml:space="preserve">SECTION 8.06. </w:t>
      </w:r>
      <w:r>
        <w:rPr>
          <w:rFonts w:ascii="Arial" w:cs="Arial" w:eastAsia="Arial" w:hAnsi="Arial"/>
          <w:sz w:val="17"/>
          <w:szCs w:val="17"/>
          <w:u w:val="single" w:color="auto"/>
          <w:color w:val="auto"/>
        </w:rPr>
        <w:t>Resignation; Successor Administrative Agent</w:t>
      </w:r>
      <w:r>
        <w:rPr>
          <w:rFonts w:ascii="Arial" w:cs="Arial" w:eastAsia="Arial" w:hAnsi="Arial"/>
          <w:sz w:val="17"/>
          <w:szCs w:val="17"/>
          <w:color w:val="auto"/>
        </w:rPr>
        <w:t>. The Administrative Agent may resign at any time by notifying the Lenders, the Issuing Bank and the Borrower. Upon any such resignation, the Required Lenders shall have the right, with the consent of the Borrower not to be unreasonably withheld (or, if an Event of Default has occurred and is continuing in consultation with the Borrower), to appoint a successor. If no successor shall have been so appointed by the Required Lenders and shall have accepted such appointment within 30 days after the retiring Administrative Agent gives notice of its resignation, then the retiring Administrative Agent’s resignation shall nonetheless become effective and (1) the retiring Administrative Agent shall be discharged from its duties and obligations hereunder and (2) the Required Lenders shall perform the duties of the Administrative Agent (and all payments and communications provided to be made by, to or through the Administrative Agent shall instead be made by or to each Lender directly) until such time as the Required Lenders appoint a successor agent as provided for above in this paragraph. Upon the acceptance of its appointment as Administrative Agent hereunder by a successor, such successor shall succeed to and become vested with all the rights, powers, privileges and duties of the retiring (or retired) Administrative Agent and the retiring Administrative Agent shall be discharged from its duties and obligations hereunder (if not already discharged therefrom as provided above in this paragraph). The fees payable by the Borrower to a successor Administrative Agent shall be the same as those payable to its</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40"/>
          </w:cols>
          <w:pgMar w:left="320" w:top="274" w:right="339" w:bottom="1440" w:gutter="0" w:footer="0" w:header="0"/>
        </w:sectPr>
      </w:pPr>
    </w:p>
    <w:bookmarkStart w:id="115" w:name="page116"/>
    <w:bookmarkEnd w:id="115"/>
    <w:p>
      <w:pPr>
        <w:ind w:right="2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predecessor unless otherwise agreed between the Borrower and such successor. After the Administrative Agent’s resignation hereunder, the provisions of this Article and </w:t>
      </w:r>
      <w:r>
        <w:rPr>
          <w:rFonts w:ascii="Arial" w:cs="Arial" w:eastAsia="Arial" w:hAnsi="Arial"/>
          <w:sz w:val="18"/>
          <w:szCs w:val="18"/>
          <w:u w:val="single" w:color="auto"/>
          <w:color w:val="auto"/>
        </w:rPr>
        <w:t>Section 9.03</w:t>
      </w:r>
      <w:r>
        <w:rPr>
          <w:rFonts w:ascii="Arial" w:cs="Arial" w:eastAsia="Arial" w:hAnsi="Arial"/>
          <w:sz w:val="18"/>
          <w:szCs w:val="18"/>
          <w:color w:val="auto"/>
        </w:rPr>
        <w:t xml:space="preserve"> shall continue in effect for its benefit in respect of any actions taken or omitted to be taken by it while it was acting as Administrative Agent.</w:t>
      </w:r>
    </w:p>
    <w:p>
      <w:pPr>
        <w:spacing w:after="0" w:line="184" w:lineRule="exact"/>
        <w:rPr>
          <w:sz w:val="20"/>
          <w:szCs w:val="20"/>
          <w:color w:val="auto"/>
        </w:rPr>
      </w:pPr>
    </w:p>
    <w:p>
      <w:pPr>
        <w:ind w:right="100" w:firstLine="449"/>
        <w:spacing w:after="0" w:line="293" w:lineRule="auto"/>
        <w:rPr>
          <w:sz w:val="20"/>
          <w:szCs w:val="20"/>
          <w:color w:val="auto"/>
        </w:rPr>
      </w:pPr>
      <w:r>
        <w:rPr>
          <w:rFonts w:ascii="Arial" w:cs="Arial" w:eastAsia="Arial" w:hAnsi="Arial"/>
          <w:sz w:val="16"/>
          <w:szCs w:val="16"/>
          <w:color w:val="auto"/>
        </w:rPr>
        <w:t>Any resignation by SunTrust as Administrative Agent pursuant to this Section shall also constitute its resignation as Issuing Bank and Swingline Lender. Upon the acceptance of a successor’s appointment as Administrative Agent hereunder, (a) such successor shall succeed to and become vested with all of the rights, powers, privileges and duties of the retiring Issuing Bank and Swingline Lender, (b) the retiring Issuing Bank and Swingline Lender shall be discharged from all of their respective duties and obligations hereunder or under the other Loan Documents, and (c) the successor Issuing Bank shall issue letters of credit in substitution for the Letters of Credit, if any, outstanding at the time of such succession or make other arrangements satisfactory to the retiring Issuing Bank to effectively assume the obligations of the retiring Issuing Bank with respect to such Letters of Credit.</w:t>
      </w:r>
    </w:p>
    <w:p>
      <w:pPr>
        <w:spacing w:after="0" w:line="164" w:lineRule="exact"/>
        <w:rPr>
          <w:sz w:val="20"/>
          <w:szCs w:val="20"/>
          <w:color w:val="auto"/>
        </w:rPr>
      </w:pPr>
    </w:p>
    <w:p>
      <w:pPr>
        <w:ind w:right="80" w:firstLine="898"/>
        <w:spacing w:after="0" w:line="270" w:lineRule="auto"/>
        <w:rPr>
          <w:sz w:val="20"/>
          <w:szCs w:val="20"/>
          <w:color w:val="auto"/>
        </w:rPr>
      </w:pPr>
      <w:r>
        <w:rPr>
          <w:rFonts w:ascii="Arial" w:cs="Arial" w:eastAsia="Arial" w:hAnsi="Arial"/>
          <w:sz w:val="17"/>
          <w:szCs w:val="17"/>
          <w:color w:val="auto"/>
        </w:rPr>
        <w:t xml:space="preserve">SECTION 8.07. </w:t>
      </w:r>
      <w:r>
        <w:rPr>
          <w:rFonts w:ascii="Arial" w:cs="Arial" w:eastAsia="Arial" w:hAnsi="Arial"/>
          <w:sz w:val="17"/>
          <w:szCs w:val="17"/>
          <w:u w:val="single" w:color="auto"/>
          <w:color w:val="auto"/>
        </w:rPr>
        <w:t>Reliance by Lenders</w:t>
      </w:r>
      <w:r>
        <w:rPr>
          <w:rFonts w:ascii="Arial" w:cs="Arial" w:eastAsia="Arial" w:hAnsi="Arial"/>
          <w:sz w:val="17"/>
          <w:szCs w:val="17"/>
          <w:color w:val="auto"/>
        </w:rPr>
        <w:t>. Each Lender acknowledges that it has, independently and without reliance upon the Administrative Agent or any other Lender and based on such documents and information as it has deemed appropriate, made its own credit analysis and decision to enter into this Agreement. Each Lender also acknowledges that it will, independently and without reliance upon the Administrative Agent or any other Lender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 The Administrative Agent shall have no duty or responsibility, either initially or on a continuing basis, to make any such investigation or any such appraisal on behalf of Lenders or to provide any Lender with any credit or other information with respect thereto, whether coming into its possession before the making of the Loans or at any time or times thereafter, and the Administrative Agent shall have no responsibility with respect to the accuracy of or the completeness of any information provided to Lenders.</w:t>
      </w:r>
    </w:p>
    <w:p>
      <w:pPr>
        <w:spacing w:after="0" w:line="181" w:lineRule="exact"/>
        <w:rPr>
          <w:sz w:val="20"/>
          <w:szCs w:val="20"/>
          <w:color w:val="auto"/>
        </w:rPr>
      </w:pPr>
    </w:p>
    <w:p>
      <w:pPr>
        <w:ind w:right="160" w:firstLine="449"/>
        <w:spacing w:after="0" w:line="263" w:lineRule="auto"/>
        <w:rPr>
          <w:sz w:val="20"/>
          <w:szCs w:val="20"/>
          <w:color w:val="auto"/>
        </w:rPr>
      </w:pPr>
      <w:r>
        <w:rPr>
          <w:rFonts w:ascii="Arial" w:cs="Arial" w:eastAsia="Arial" w:hAnsi="Arial"/>
          <w:sz w:val="18"/>
          <w:szCs w:val="18"/>
          <w:color w:val="auto"/>
        </w:rPr>
        <w:t>Each Lender, by delivering its signature page to this Agreement or any Assignment and Assumption and funding any Loan shall be deemed to have acknowledged receipt of, and consented to and approved, each Loan Document and each other document required to be approved by the Administrative Agent, Required Lenders or Lenders.</w:t>
      </w:r>
    </w:p>
    <w:p>
      <w:pPr>
        <w:spacing w:after="0" w:line="184" w:lineRule="exact"/>
        <w:rPr>
          <w:sz w:val="20"/>
          <w:szCs w:val="20"/>
          <w:color w:val="auto"/>
        </w:rPr>
      </w:pPr>
    </w:p>
    <w:p>
      <w:pPr>
        <w:ind w:right="200" w:firstLine="898"/>
        <w:spacing w:after="0" w:line="291" w:lineRule="auto"/>
        <w:rPr>
          <w:sz w:val="20"/>
          <w:szCs w:val="20"/>
          <w:color w:val="auto"/>
        </w:rPr>
      </w:pPr>
      <w:r>
        <w:rPr>
          <w:rFonts w:ascii="Arial" w:cs="Arial" w:eastAsia="Arial" w:hAnsi="Arial"/>
          <w:sz w:val="16"/>
          <w:szCs w:val="16"/>
          <w:color w:val="auto"/>
        </w:rPr>
        <w:t xml:space="preserve">SECTION 8.08. </w:t>
      </w:r>
      <w:r>
        <w:rPr>
          <w:rFonts w:ascii="Arial" w:cs="Arial" w:eastAsia="Arial" w:hAnsi="Arial"/>
          <w:sz w:val="16"/>
          <w:szCs w:val="16"/>
          <w:u w:val="single" w:color="auto"/>
          <w:color w:val="auto"/>
        </w:rPr>
        <w:t>Modifications to Loan Documents</w:t>
      </w:r>
      <w:r>
        <w:rPr>
          <w:rFonts w:ascii="Arial" w:cs="Arial" w:eastAsia="Arial" w:hAnsi="Arial"/>
          <w:sz w:val="16"/>
          <w:szCs w:val="16"/>
          <w:color w:val="auto"/>
        </w:rPr>
        <w:t xml:space="preserve">. Except as otherwise provided in </w:t>
      </w:r>
      <w:r>
        <w:rPr>
          <w:rFonts w:ascii="Arial" w:cs="Arial" w:eastAsia="Arial" w:hAnsi="Arial"/>
          <w:sz w:val="16"/>
          <w:szCs w:val="16"/>
          <w:u w:val="single" w:color="auto"/>
          <w:color w:val="auto"/>
        </w:rPr>
        <w:t>Section 9.02(b)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of this Agreement or the Security Documents with respect to this Agreement, the Administrative Agent may, with the prior consent of the Required Lenders (but not otherwise), consent to any modification, supplement or waiver under any of the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without the prior consent of each Lender, the Administrative Agent shall not (except as provided herein or in the Security Documents) release all or substantially all of the Collateral or otherwise terminate all or substantially all of the Liens under any Security Document providing for collateral security, agree to additional obligations being secured by all or substantially all of such collateral security, or alter the relative priorities of the obligations entitled to the benefits of the Liens created under the Security Documents with respect to all or substantially all of the Collateral, except that no such consent shall be required, and the</w:t>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40"/>
          </w:cols>
          <w:pgMar w:left="320" w:top="274" w:right="339" w:bottom="1440" w:gutter="0" w:footer="0" w:header="0"/>
        </w:sectPr>
      </w:pPr>
    </w:p>
    <w:bookmarkStart w:id="116" w:name="page117"/>
    <w:bookmarkEnd w:id="116"/>
    <w:p>
      <w:pPr>
        <w:ind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Administrative Agent is hereby authorized, (x) to release any Lien covering property that is the subject of either a disposition of property permitted hereunder or a disposition to which the Required Lenders have consented, (y) for the avoidance of doubt, execute and deliver agreements, instruments and other documents reasonably requested by the Borrower to implement collateral sharing with respect to Secured Longer-Term Indebtedness and Secured Shorter-Term Indebtedness, and (z) following the (i) cancellation or termination of any commitment to extend credit or issue Letters of Credit under this Agreement or any other Loan Document, (ii) final payment and performance in full of all obligations under this Agreement or any other Loan Document so long as all Letters of Credit have expired, been terminated, Cash Collateralized or backstopped and all LC Disbursements have been reimbursed and (iii) termination of this Agreement, to release all Liens and guarantees by Obligors.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Notices; Electronic Communications</w:t>
      </w:r>
      <w:r>
        <w:rPr>
          <w:rFonts w:ascii="Arial" w:cs="Arial" w:eastAsia="Arial" w:hAnsi="Arial"/>
          <w:sz w:val="18"/>
          <w:szCs w:val="18"/>
          <w:color w:val="auto"/>
        </w:rPr>
        <w:t>.</w:t>
      </w:r>
    </w:p>
    <w:p>
      <w:pPr>
        <w:spacing w:after="0" w:line="225" w:lineRule="exact"/>
        <w:rPr>
          <w:sz w:val="20"/>
          <w:szCs w:val="20"/>
          <w:color w:val="auto"/>
        </w:rPr>
      </w:pPr>
    </w:p>
    <w:p>
      <w:pPr>
        <w:ind w:right="160" w:firstLine="906"/>
        <w:spacing w:after="0" w:line="263" w:lineRule="auto"/>
        <w:tabs>
          <w:tab w:leader="none" w:pos="1143" w:val="left"/>
        </w:tabs>
        <w:numPr>
          <w:ilvl w:val="1"/>
          <w:numId w:val="146"/>
        </w:numPr>
        <w:rPr>
          <w:rFonts w:ascii="Arial" w:cs="Arial" w:eastAsia="Arial" w:hAnsi="Arial"/>
          <w:sz w:val="18"/>
          <w:szCs w:val="18"/>
          <w:color w:val="auto"/>
        </w:rPr>
      </w:pPr>
      <w:r>
        <w:rPr>
          <w:rFonts w:ascii="Arial" w:cs="Arial" w:eastAsia="Arial" w:hAnsi="Arial"/>
          <w:sz w:val="18"/>
          <w:szCs w:val="18"/>
          <w:u w:val="single" w:color="auto"/>
          <w:color w:val="auto"/>
        </w:rPr>
        <w:t>Notices Generally</w:t>
      </w:r>
      <w:r>
        <w:rPr>
          <w:rFonts w:ascii="Arial" w:cs="Arial" w:eastAsia="Arial" w:hAnsi="Arial"/>
          <w:sz w:val="18"/>
          <w:szCs w:val="18"/>
          <w:color w:val="auto"/>
        </w:rPr>
        <w:t>. Except in the case of notices and other communications expressly permitted to be given by telephone, all notices and other communications provided for herein shall be in writing and shall be delivered by hand or overnight courier service, mailed by certified or registered mail or sent by telecopy, as follows:</w:t>
      </w:r>
    </w:p>
    <w:p>
      <w:pPr>
        <w:spacing w:after="0" w:line="75" w:lineRule="exact"/>
        <w:rPr>
          <w:rFonts w:ascii="Arial" w:cs="Arial" w:eastAsia="Arial" w:hAnsi="Arial"/>
          <w:sz w:val="18"/>
          <w:szCs w:val="18"/>
          <w:color w:val="auto"/>
        </w:rPr>
      </w:pPr>
    </w:p>
    <w:p>
      <w:pPr>
        <w:ind w:left="1100" w:hanging="212"/>
        <w:spacing w:after="0"/>
        <w:tabs>
          <w:tab w:leader="none" w:pos="11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if to the Borrower, to it at:</w:t>
      </w:r>
    </w:p>
    <w:p>
      <w:pPr>
        <w:spacing w:after="0" w:line="117"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PennantPark Investment Corporation</w:t>
      </w:r>
    </w:p>
    <w:p>
      <w:pPr>
        <w:spacing w:after="0" w:line="22"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590 Madison Avenue, 15</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Attention: Aviv Efrat, Chief Financial Officer</w:t>
      </w:r>
    </w:p>
    <w:p>
      <w:pPr>
        <w:spacing w:after="0" w:line="9"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Telecopy Number: (212) 905-1075</w:t>
      </w:r>
    </w:p>
    <w:p>
      <w:pPr>
        <w:spacing w:after="0" w:line="9"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Telephone: (212) 905-1000</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(ii) if to the Administrative Agent or Swingline Lender, to it at:</w:t>
      </w:r>
    </w:p>
    <w:p>
      <w:pPr>
        <w:spacing w:after="0" w:line="117"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SunTrust Bank</w:t>
      </w:r>
    </w:p>
    <w:p>
      <w:pPr>
        <w:spacing w:after="0" w:line="23"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303 Peachtree Street, N. E.</w:t>
      </w:r>
    </w:p>
    <w:p>
      <w:pPr>
        <w:spacing w:after="0" w:line="9"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Atlanta, Georgia 30308</w:t>
      </w:r>
    </w:p>
    <w:p>
      <w:pPr>
        <w:spacing w:after="0" w:line="9"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Attention: Robert Ashcom</w:t>
      </w:r>
    </w:p>
    <w:p>
      <w:pPr>
        <w:spacing w:after="0" w:line="9"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Telecopy Number: (404) 581-1775</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320" w:top="274" w:right="339" w:bottom="1440" w:gutter="0" w:footer="0" w:header="0"/>
        </w:sectPr>
      </w:pPr>
    </w:p>
    <w:bookmarkStart w:id="117" w:name="page118"/>
    <w:bookmarkEnd w:id="117"/>
    <w:p>
      <w:pPr>
        <w:ind w:left="1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 a copy to:</w:t>
      </w:r>
    </w:p>
    <w:p>
      <w:pPr>
        <w:spacing w:after="0" w:line="117"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SunTrust Bank</w:t>
      </w:r>
    </w:p>
    <w:p>
      <w:pPr>
        <w:spacing w:after="0" w:line="23"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Agency Services</w:t>
      </w:r>
    </w:p>
    <w:p>
      <w:pPr>
        <w:spacing w:after="0" w:line="8"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303 Peachtree Street, N. E./ 25</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Atlanta, Georgia 30308</w:t>
      </w:r>
    </w:p>
    <w:p>
      <w:pPr>
        <w:spacing w:after="0" w:line="9"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Attention: Wanda Gregory</w:t>
      </w:r>
    </w:p>
    <w:p>
      <w:pPr>
        <w:spacing w:after="0" w:line="9"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Telecopy Number: (404) 658-4906</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(iii) if to the Issuing Bank, to it at:</w:t>
      </w:r>
    </w:p>
    <w:p>
      <w:pPr>
        <w:spacing w:after="0" w:line="117"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SunTrust Bank</w:t>
      </w:r>
    </w:p>
    <w:p>
      <w:pPr>
        <w:spacing w:after="0" w:line="22"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303 Peachtree Street, N. E./ 25</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Atlanta, Georgia 30308</w:t>
      </w:r>
    </w:p>
    <w:p>
      <w:pPr>
        <w:spacing w:after="0" w:line="9"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Attention: Wanda Gregory</w:t>
      </w:r>
    </w:p>
    <w:p>
      <w:pPr>
        <w:spacing w:after="0" w:line="9"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Telecopy Number: (404) 658-4906</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(iv) if to any other Lender, to it at its address (or telecopy number) set forth in its Administrative Questionnaire.</w:t>
      </w:r>
    </w:p>
    <w:p>
      <w:pPr>
        <w:spacing w:after="0" w:line="225" w:lineRule="exact"/>
        <w:rPr>
          <w:sz w:val="20"/>
          <w:szCs w:val="20"/>
          <w:color w:val="auto"/>
        </w:rPr>
      </w:pPr>
    </w:p>
    <w:p>
      <w:pPr>
        <w:ind w:right="180" w:firstLine="898"/>
        <w:spacing w:after="0" w:line="259" w:lineRule="auto"/>
        <w:rPr>
          <w:sz w:val="20"/>
          <w:szCs w:val="20"/>
          <w:color w:val="auto"/>
        </w:rPr>
      </w:pPr>
      <w:r>
        <w:rPr>
          <w:rFonts w:ascii="Arial" w:cs="Arial" w:eastAsia="Arial" w:hAnsi="Arial"/>
          <w:sz w:val="18"/>
          <w:szCs w:val="18"/>
          <w:color w:val="auto"/>
        </w:rPr>
        <w:t xml:space="preserve">Any party hereto may change its address or telecopy number for notices and other communications hereunder by notice to the other parties hereto All notices and other communications given to any party hereto in accordance with the provisions of this Agreement shall be deemed to have been given on the date of receipt. Notices delivered through electronic communications to the extent provided in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below, shall be effective as provided in said </w:t>
      </w:r>
      <w:r>
        <w:rPr>
          <w:rFonts w:ascii="Arial" w:cs="Arial" w:eastAsia="Arial" w:hAnsi="Arial"/>
          <w:sz w:val="18"/>
          <w:szCs w:val="18"/>
          <w:u w:val="single" w:color="auto"/>
          <w:color w:val="auto"/>
        </w:rPr>
        <w:t>paragraph (b)</w:t>
      </w:r>
      <w:r>
        <w:rPr>
          <w:rFonts w:ascii="Arial" w:cs="Arial" w:eastAsia="Arial" w:hAnsi="Arial"/>
          <w:sz w:val="18"/>
          <w:szCs w:val="18"/>
          <w:color w:val="auto"/>
        </w:rPr>
        <w:t>.</w:t>
      </w:r>
    </w:p>
    <w:p>
      <w:pPr>
        <w:spacing w:after="0" w:line="187" w:lineRule="exact"/>
        <w:rPr>
          <w:sz w:val="20"/>
          <w:szCs w:val="20"/>
          <w:color w:val="auto"/>
        </w:rPr>
      </w:pPr>
    </w:p>
    <w:p>
      <w:pPr>
        <w:ind w:right="80" w:firstLine="906"/>
        <w:spacing w:after="0" w:line="293" w:lineRule="auto"/>
        <w:tabs>
          <w:tab w:leader="none" w:pos="1153" w:val="left"/>
        </w:tabs>
        <w:numPr>
          <w:ilvl w:val="0"/>
          <w:numId w:val="148"/>
        </w:numPr>
        <w:rPr>
          <w:rFonts w:ascii="Arial" w:cs="Arial" w:eastAsia="Arial" w:hAnsi="Arial"/>
          <w:sz w:val="16"/>
          <w:szCs w:val="16"/>
          <w:color w:val="auto"/>
        </w:rPr>
      </w:pPr>
      <w:r>
        <w:rPr>
          <w:rFonts w:ascii="Arial" w:cs="Arial" w:eastAsia="Arial" w:hAnsi="Arial"/>
          <w:sz w:val="16"/>
          <w:szCs w:val="16"/>
          <w:u w:val="single" w:color="auto"/>
          <w:color w:val="auto"/>
        </w:rPr>
        <w:t>Electronic Communications</w:t>
      </w:r>
      <w:r>
        <w:rPr>
          <w:rFonts w:ascii="Arial" w:cs="Arial" w:eastAsia="Arial" w:hAnsi="Arial"/>
          <w:sz w:val="16"/>
          <w:szCs w:val="16"/>
          <w:color w:val="auto"/>
        </w:rPr>
        <w:t xml:space="preserve">. Notices and other communications to the Lenders and the Issuing Bank hereunder may be delivered or furnished by electronic communication (including e-mail and Internet or intranet websites) pursuant to procedures approved by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apply to notices to any Lender or the Issuing Bank pursuant to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if such Lender or the Issuing Bank, as applicable,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approval of such procedures may be limited to particular notices or communications.</w:t>
      </w:r>
    </w:p>
    <w:p>
      <w:pPr>
        <w:spacing w:after="0" w:line="164" w:lineRule="exact"/>
        <w:rPr>
          <w:sz w:val="20"/>
          <w:szCs w:val="20"/>
          <w:color w:val="auto"/>
        </w:rPr>
      </w:pPr>
    </w:p>
    <w:p>
      <w:pPr>
        <w:ind w:right="20" w:firstLine="906"/>
        <w:spacing w:after="0" w:line="293" w:lineRule="auto"/>
        <w:tabs>
          <w:tab w:leader="none" w:pos="1113" w:val="left"/>
        </w:tabs>
        <w:numPr>
          <w:ilvl w:val="0"/>
          <w:numId w:val="149"/>
        </w:numPr>
        <w:rPr>
          <w:rFonts w:ascii="Arial" w:cs="Arial" w:eastAsia="Arial" w:hAnsi="Arial"/>
          <w:sz w:val="16"/>
          <w:szCs w:val="16"/>
          <w:color w:val="auto"/>
        </w:rPr>
      </w:pPr>
      <w:r>
        <w:rPr>
          <w:rFonts w:ascii="Arial" w:cs="Arial" w:eastAsia="Arial" w:hAnsi="Arial"/>
          <w:sz w:val="16"/>
          <w:szCs w:val="16"/>
          <w:color w:val="auto"/>
        </w:rPr>
        <w:t xml:space="preserve">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of notification that such notice or communication is available and identifying the website address therefor.</w:t>
      </w:r>
    </w:p>
    <w:p>
      <w:pPr>
        <w:spacing w:after="0" w:line="9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40"/>
          </w:cols>
          <w:pgMar w:left="320" w:top="274" w:right="339" w:bottom="1440" w:gutter="0" w:footer="0" w:header="0"/>
        </w:sectPr>
      </w:pPr>
    </w:p>
    <w:bookmarkStart w:id="118" w:name="page119"/>
    <w:bookmarkEnd w:id="118"/>
    <w:p>
      <w:pPr>
        <w:ind w:right="60" w:firstLine="898"/>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party hereto understands that the distribution of material through an electronic medium is not necessarily secure and that there are confidentiality and other risks associated with such distribution and agrees and assumes the risks associated with such electronic distribution, except to the extent caused by the willful misconduct or gross negligence of Administrative Agent, any Lender or their respective Related Parties, as determined by a final, non-appealable judgment of a court of competent jurisdiction. The Platform and any electronic communications media approved by the Administrative Agent as provided herein are provided “as is” and “as available”. None of the Administrative Agent or its Related Parties warrant the accuracy, adequacy, or completeness of such media or the Platform and each expressly disclaims liability for errors or omissions in the Platform and such media. No warranty of any kind, express, implied or statutory, including any warranty of merchantability, fitness for a particular purpose, non-infringement of third party rights or freedom from viruses or other code defects is made by the Administrative Agent and any of its Related Parties in connection with the Platform or the electronic communications media approved by the Administrative Agent as provided for herein.</w:t>
      </w:r>
    </w:p>
    <w:p>
      <w:pPr>
        <w:spacing w:after="0" w:line="166" w:lineRule="exact"/>
        <w:rPr>
          <w:sz w:val="20"/>
          <w:szCs w:val="20"/>
          <w:color w:val="auto"/>
        </w:rPr>
      </w:pPr>
    </w:p>
    <w:p>
      <w:pPr>
        <w:ind w:right="60" w:firstLine="906"/>
        <w:spacing w:after="0" w:line="253" w:lineRule="auto"/>
        <w:tabs>
          <w:tab w:leader="none" w:pos="1143"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Private Side Information Contacts</w:t>
      </w:r>
      <w:r>
        <w:rPr>
          <w:rFonts w:ascii="Arial" w:cs="Arial" w:eastAsia="Arial" w:hAnsi="Arial"/>
          <w:sz w:val="18"/>
          <w:szCs w:val="18"/>
          <w:color w:val="auto"/>
        </w:rPr>
        <w:t>.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information that is not made available through the “Public Side Information” portion of the Platform and that may contain Non-Public Information with respect to the Borrower, its Subsidiaries or their Securities for purposes of United States federal or state securities laws. In the event that any Public Lender has determined for itself to not access any information disclosed through the Platform or otherwise, such Public Lender acknowledges that (i) other Lenders may have availed themselves of such information and (ii) neither Borrower nor Administrative Agent has any responsibility for such Public Lender’s decision to limit the scope of the information it has obtained in connection with this Agreement and the other Loan Documents.</w:t>
      </w:r>
    </w:p>
    <w:p>
      <w:pPr>
        <w:spacing w:after="0" w:line="196" w:lineRule="exact"/>
        <w:rPr>
          <w:rFonts w:ascii="Arial" w:cs="Arial" w:eastAsia="Arial" w:hAnsi="Arial"/>
          <w:sz w:val="18"/>
          <w:szCs w:val="18"/>
          <w:color w:val="auto"/>
        </w:rPr>
      </w:pPr>
    </w:p>
    <w:p>
      <w:pPr>
        <w:ind w:right="80" w:firstLine="906"/>
        <w:spacing w:after="0" w:line="257" w:lineRule="auto"/>
        <w:tabs>
          <w:tab w:leader="none" w:pos="1153"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Documents to be Delivered under Sections 5.01 and 5.12(a)</w:t>
      </w:r>
      <w:r>
        <w:rPr>
          <w:rFonts w:ascii="Arial" w:cs="Arial" w:eastAsia="Arial" w:hAnsi="Arial"/>
          <w:sz w:val="18"/>
          <w:szCs w:val="18"/>
          <w:color w:val="auto"/>
        </w:rPr>
        <w:t xml:space="preserve">. For so long as an Intralinks™ or equivalent website is available to each of the Lenders hereunder, the Borrower may satisfy its obligation to deliver documents to the Administrative Agent or the Lenders under </w:t>
      </w:r>
      <w:r>
        <w:rPr>
          <w:rFonts w:ascii="Arial" w:cs="Arial" w:eastAsia="Arial" w:hAnsi="Arial"/>
          <w:sz w:val="18"/>
          <w:szCs w:val="18"/>
          <w:u w:val="single" w:color="auto"/>
          <w:color w:val="auto"/>
        </w:rPr>
        <w:t>Sections 5.01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5.12(a)</w:t>
      </w:r>
      <w:r>
        <w:rPr>
          <w:rFonts w:ascii="Arial" w:cs="Arial" w:eastAsia="Arial" w:hAnsi="Arial"/>
          <w:sz w:val="18"/>
          <w:szCs w:val="18"/>
          <w:color w:val="auto"/>
        </w:rPr>
        <w:t xml:space="preserve"> by delivering one hard copy thereof to the Administrative Agent and either an electronic copy or a notice identifying the website where such information is located for posting by the Administrative Agent on Intralinks™ or such equivalent website;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shall have no responsibility to maintain access to Intralinks™ or an equivalent website.</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Waivers; Amendments</w:t>
      </w:r>
      <w:r>
        <w:rPr>
          <w:rFonts w:ascii="Arial" w:cs="Arial" w:eastAsia="Arial" w:hAnsi="Arial"/>
          <w:sz w:val="18"/>
          <w:szCs w:val="18"/>
          <w:color w:val="auto"/>
        </w:rPr>
        <w:t>.</w:t>
      </w:r>
    </w:p>
    <w:p>
      <w:pPr>
        <w:spacing w:after="0" w:line="225" w:lineRule="exact"/>
        <w:rPr>
          <w:sz w:val="20"/>
          <w:szCs w:val="20"/>
          <w:color w:val="auto"/>
        </w:rPr>
      </w:pPr>
    </w:p>
    <w:p>
      <w:pPr>
        <w:ind w:right="20" w:firstLine="906"/>
        <w:spacing w:after="0" w:line="277" w:lineRule="auto"/>
        <w:tabs>
          <w:tab w:leader="none" w:pos="1143"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No Deemed Waivers Remedies Cumulative</w:t>
      </w:r>
      <w:r>
        <w:rPr>
          <w:rFonts w:ascii="Arial" w:cs="Arial" w:eastAsia="Arial" w:hAnsi="Arial"/>
          <w:sz w:val="18"/>
          <w:szCs w:val="18"/>
          <w:color w:val="auto"/>
        </w:rPr>
        <w:t>. No failure or delay by the Administrative Agent the Issuing Bank, the Swingline Lender or any Lender in exercising any right or power hereunder shall operate as a waiver thereof nor shall any single or</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40"/>
          </w:cols>
          <w:pgMar w:left="320" w:top="274" w:right="339" w:bottom="1440" w:gutter="0" w:footer="0" w:header="0"/>
        </w:sectPr>
      </w:pPr>
    </w:p>
    <w:bookmarkStart w:id="119" w:name="page120"/>
    <w:bookmarkEnd w:id="119"/>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 the Swingline Lender and the Lenders hereunder are cumulative and are not exclusive of any rights or remedies that they would otherwise have. No waiver of any provision of this Agreement or consent to any departure by the Borrower therefrom shall in any event be effective unless the same shall be permitted by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of this Section, and then such waiver or consent shall be effective only in the specific instance and for the purpose for which given. Without limiting the generality of the foregoing, the making of a Loan, Swingline Loan or issuance of a Letter of Credit shall not be construed as a waiver of any Default, regardless of whether the Administrative Agent, the Swingline Lender, any Lender or the Issuing Bank may have had notice or knowledge of such Default at the time.</w:t>
      </w:r>
    </w:p>
    <w:p>
      <w:pPr>
        <w:spacing w:after="0" w:line="192" w:lineRule="exact"/>
        <w:rPr>
          <w:sz w:val="20"/>
          <w:szCs w:val="20"/>
          <w:color w:val="auto"/>
        </w:rPr>
      </w:pPr>
    </w:p>
    <w:p>
      <w:pPr>
        <w:ind w:right="60" w:firstLine="906"/>
        <w:spacing w:after="0" w:line="263" w:lineRule="auto"/>
        <w:tabs>
          <w:tab w:leader="none" w:pos="1153" w:val="left"/>
        </w:tabs>
        <w:numPr>
          <w:ilvl w:val="1"/>
          <w:numId w:val="152"/>
        </w:numPr>
        <w:rPr>
          <w:rFonts w:ascii="Arial" w:cs="Arial" w:eastAsia="Arial" w:hAnsi="Arial"/>
          <w:sz w:val="18"/>
          <w:szCs w:val="18"/>
          <w:color w:val="auto"/>
        </w:rPr>
      </w:pPr>
      <w:r>
        <w:rPr>
          <w:rFonts w:ascii="Arial" w:cs="Arial" w:eastAsia="Arial" w:hAnsi="Arial"/>
          <w:sz w:val="18"/>
          <w:szCs w:val="18"/>
          <w:u w:val="single" w:color="auto"/>
          <w:color w:val="auto"/>
        </w:rPr>
        <w:t>Amendments to this Agreement</w:t>
      </w:r>
      <w:r>
        <w:rPr>
          <w:rFonts w:ascii="Arial" w:cs="Arial" w:eastAsia="Arial" w:hAnsi="Arial"/>
          <w:sz w:val="18"/>
          <w:szCs w:val="18"/>
          <w:color w:val="auto"/>
        </w:rPr>
        <w:t xml:space="preserve">. Neither this Agreement nor any provision hereof may be waived, amended or modified except pursuant to an agreement or agreements in writing entered into by the Borrower and the Required Lenders or by the Borrower and the Administrative Agent with the consent of the Required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agreement shall</w:t>
      </w:r>
    </w:p>
    <w:p>
      <w:pPr>
        <w:spacing w:after="0" w:line="75" w:lineRule="exact"/>
        <w:rPr>
          <w:rFonts w:ascii="Arial" w:cs="Arial" w:eastAsia="Arial" w:hAnsi="Arial"/>
          <w:sz w:val="18"/>
          <w:szCs w:val="18"/>
          <w:color w:val="auto"/>
        </w:rPr>
      </w:pPr>
    </w:p>
    <w:p>
      <w:pPr>
        <w:ind w:left="1100" w:hanging="212"/>
        <w:spacing w:after="0"/>
        <w:tabs>
          <w:tab w:leader="none" w:pos="11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increase the Commitment of any Lender without the written consent of such Lender,</w:t>
      </w:r>
    </w:p>
    <w:p>
      <w:pPr>
        <w:spacing w:after="0" w:line="117" w:lineRule="exact"/>
        <w:rPr>
          <w:rFonts w:ascii="Arial" w:cs="Arial" w:eastAsia="Arial" w:hAnsi="Arial"/>
          <w:sz w:val="18"/>
          <w:szCs w:val="18"/>
          <w:color w:val="auto"/>
        </w:rPr>
      </w:pPr>
    </w:p>
    <w:p>
      <w:pPr>
        <w:ind w:left="460" w:right="180" w:firstLine="428"/>
        <w:spacing w:after="0" w:line="342" w:lineRule="auto"/>
        <w:tabs>
          <w:tab w:leader="none" w:pos="1156" w:val="left"/>
        </w:tabs>
        <w:numPr>
          <w:ilvl w:val="0"/>
          <w:numId w:val="153"/>
        </w:numPr>
        <w:rPr>
          <w:rFonts w:ascii="Arial" w:cs="Arial" w:eastAsia="Arial" w:hAnsi="Arial"/>
          <w:sz w:val="16"/>
          <w:szCs w:val="16"/>
          <w:color w:val="auto"/>
        </w:rPr>
      </w:pPr>
      <w:r>
        <w:rPr>
          <w:rFonts w:ascii="Arial" w:cs="Arial" w:eastAsia="Arial" w:hAnsi="Arial"/>
          <w:sz w:val="16"/>
          <w:szCs w:val="16"/>
          <w:color w:val="auto"/>
        </w:rPr>
        <w:t>reduce the principal amount of any Loan or LC Disbursement or reduce the rate of interest thereon (other than with respect to the election of or the failure to elect the Default Rate), or reduce any fees payable hereunder, without the written consent of each Lender affected thereby,</w:t>
      </w:r>
    </w:p>
    <w:p>
      <w:pPr>
        <w:spacing w:after="0" w:line="15" w:lineRule="exact"/>
        <w:rPr>
          <w:rFonts w:ascii="Arial" w:cs="Arial" w:eastAsia="Arial" w:hAnsi="Arial"/>
          <w:sz w:val="16"/>
          <w:szCs w:val="16"/>
          <w:color w:val="auto"/>
        </w:rPr>
      </w:pPr>
    </w:p>
    <w:p>
      <w:pPr>
        <w:ind w:left="460" w:right="300" w:firstLine="428"/>
        <w:spacing w:after="0" w:line="263" w:lineRule="auto"/>
        <w:tabs>
          <w:tab w:leader="none" w:pos="1206" w:val="left"/>
        </w:tabs>
        <w:numPr>
          <w:ilvl w:val="0"/>
          <w:numId w:val="153"/>
        </w:numPr>
        <w:rPr>
          <w:rFonts w:ascii="Arial" w:cs="Arial" w:eastAsia="Arial" w:hAnsi="Arial"/>
          <w:sz w:val="18"/>
          <w:szCs w:val="18"/>
          <w:color w:val="auto"/>
        </w:rPr>
      </w:pPr>
      <w:r>
        <w:rPr>
          <w:rFonts w:ascii="Arial" w:cs="Arial" w:eastAsia="Arial" w:hAnsi="Arial"/>
          <w:sz w:val="18"/>
          <w:szCs w:val="18"/>
          <w:color w:val="auto"/>
        </w:rPr>
        <w:t>postpone the scheduled date of payment of the principal amount of any Loan or LC Disbursement, or any interest thereon, or any fees payable hereunder, or reduce the amount of waive or excuse any such payment, or postpone the scheduled date of expiration of any Commitment, without the written consent of each Lender affected thereby,</w:t>
      </w:r>
    </w:p>
    <w:p>
      <w:pPr>
        <w:spacing w:after="0" w:line="75" w:lineRule="exact"/>
        <w:rPr>
          <w:rFonts w:ascii="Arial" w:cs="Arial" w:eastAsia="Arial" w:hAnsi="Arial"/>
          <w:sz w:val="18"/>
          <w:szCs w:val="18"/>
          <w:color w:val="auto"/>
        </w:rPr>
      </w:pPr>
    </w:p>
    <w:p>
      <w:pPr>
        <w:ind w:left="460" w:right="420" w:firstLine="428"/>
        <w:spacing w:after="0" w:line="277" w:lineRule="auto"/>
        <w:tabs>
          <w:tab w:leader="none" w:pos="1196"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change </w:t>
      </w:r>
      <w:r>
        <w:rPr>
          <w:rFonts w:ascii="Arial" w:cs="Arial" w:eastAsia="Arial" w:hAnsi="Arial"/>
          <w:sz w:val="18"/>
          <w:szCs w:val="18"/>
          <w:u w:val="single" w:color="auto"/>
          <w:color w:val="auto"/>
        </w:rPr>
        <w:t>Section 2.17(b)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w:t>
      </w:r>
      <w:r>
        <w:rPr>
          <w:rFonts w:ascii="Arial" w:cs="Arial" w:eastAsia="Arial" w:hAnsi="Arial"/>
          <w:sz w:val="18"/>
          <w:szCs w:val="18"/>
          <w:color w:val="auto"/>
        </w:rPr>
        <w:t xml:space="preserve"> in a manner that would alter the pro rata sharing of payments, or making of disbursements, required thereby without the written consent of each Lender affected thereby, or</w:t>
      </w:r>
    </w:p>
    <w:p>
      <w:pPr>
        <w:spacing w:after="0" w:line="62" w:lineRule="exact"/>
        <w:rPr>
          <w:rFonts w:ascii="Arial" w:cs="Arial" w:eastAsia="Arial" w:hAnsi="Arial"/>
          <w:sz w:val="18"/>
          <w:szCs w:val="18"/>
          <w:color w:val="auto"/>
        </w:rPr>
      </w:pPr>
    </w:p>
    <w:p>
      <w:pPr>
        <w:ind w:left="460" w:right="220" w:firstLine="428"/>
        <w:spacing w:after="0" w:line="263" w:lineRule="auto"/>
        <w:tabs>
          <w:tab w:leader="none" w:pos="1146" w:val="left"/>
        </w:tabs>
        <w:numPr>
          <w:ilvl w:val="0"/>
          <w:numId w:val="153"/>
        </w:numPr>
        <w:rPr>
          <w:rFonts w:ascii="Arial" w:cs="Arial" w:eastAsia="Arial" w:hAnsi="Arial"/>
          <w:sz w:val="18"/>
          <w:szCs w:val="18"/>
          <w:color w:val="auto"/>
        </w:rPr>
      </w:pPr>
      <w:r>
        <w:rPr>
          <w:rFonts w:ascii="Arial" w:cs="Arial" w:eastAsia="Arial" w:hAnsi="Arial"/>
          <w:sz w:val="18"/>
          <w:szCs w:val="18"/>
          <w:color w:val="auto"/>
        </w:rPr>
        <w:t>change any of the provisions of this Section or the definition of the term “Required Lenders” or any other provision hereof specifying the number or percentage of Lenders required to waive, amend or modify any rights hereunder or make any determination or grant any consent hereunder, without the written consent of each Lender affected thereby;</w:t>
      </w:r>
    </w:p>
    <w:p>
      <w:pPr>
        <w:spacing w:after="0" w:line="184"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further that (x) no such agreement shall amend, modify or otherwise affect the rights or duties of the Administrative Agent, the Issuing Bank or the Swingline Lender hereunder without the prior written consent of the Administrative Agent, the Issuing Bank or the Swingline Lender, as the case may be and (y) the consent of Lenders (other than Defaulting Lenders) holding not less than two-</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40"/>
          </w:cols>
          <w:pgMar w:left="320" w:top="274" w:right="339" w:bottom="1440" w:gutter="0" w:footer="0" w:header="0"/>
        </w:sectPr>
      </w:pPr>
    </w:p>
    <w:bookmarkStart w:id="120" w:name="page121"/>
    <w:bookmarkEnd w:id="120"/>
    <w:p>
      <w:pPr>
        <w:jc w:val="both"/>
        <w:ind w:right="2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thirds of the Revolving Credit Exposure and unused Commitments (other than of Defaulting Lenders) will be required (A) for any adverse change affecting the provisions of this Agreement relating to the Borrowing Base (including the definitions used therein), or the provisions of </w:t>
      </w:r>
      <w:r>
        <w:rPr>
          <w:rFonts w:ascii="Arial" w:cs="Arial" w:eastAsia="Arial" w:hAnsi="Arial"/>
          <w:sz w:val="16"/>
          <w:szCs w:val="16"/>
          <w:u w:val="single" w:color="auto"/>
          <w:color w:val="auto"/>
        </w:rPr>
        <w:t>Section 5.12(c)(ii)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for any release of any material portion of the Collateral other than for fair value or as otherwise permitted hereunder or under the other Loan Documents.</w:t>
      </w:r>
    </w:p>
    <w:p>
      <w:pPr>
        <w:spacing w:after="0" w:line="149" w:lineRule="exact"/>
        <w:rPr>
          <w:sz w:val="20"/>
          <w:szCs w:val="20"/>
          <w:color w:val="auto"/>
        </w:rPr>
      </w:pPr>
    </w:p>
    <w:p>
      <w:pPr>
        <w:ind w:right="160" w:firstLine="898"/>
        <w:spacing w:after="0" w:line="311" w:lineRule="auto"/>
        <w:rPr>
          <w:sz w:val="20"/>
          <w:szCs w:val="20"/>
          <w:color w:val="auto"/>
        </w:rPr>
      </w:pPr>
      <w:r>
        <w:rPr>
          <w:rFonts w:ascii="Arial" w:cs="Arial" w:eastAsia="Arial" w:hAnsi="Arial"/>
          <w:sz w:val="16"/>
          <w:szCs w:val="16"/>
          <w:color w:val="auto"/>
        </w:rPr>
        <w:t>Anything in this Agreement to the contrary notwithstanding, no waiver or modification of any provision of this Agreement or any other Loan Document that could reasonably be expected to adversely affect the Lenders of any Class in a manner that does not affect all Classes equally shall be effective against the Lenders of such Class unless the Required Lenders of such Class shall have concurred with such waiver or modification.</w:t>
      </w:r>
    </w:p>
    <w:p>
      <w:pPr>
        <w:spacing w:after="0" w:line="149" w:lineRule="exact"/>
        <w:rPr>
          <w:sz w:val="20"/>
          <w:szCs w:val="20"/>
          <w:color w:val="auto"/>
        </w:rPr>
      </w:pPr>
    </w:p>
    <w:p>
      <w:pPr>
        <w:ind w:right="40" w:firstLine="906"/>
        <w:spacing w:after="0" w:line="268" w:lineRule="auto"/>
        <w:tabs>
          <w:tab w:leader="none" w:pos="1143" w:val="left"/>
        </w:tabs>
        <w:numPr>
          <w:ilvl w:val="0"/>
          <w:numId w:val="154"/>
        </w:numPr>
        <w:rPr>
          <w:rFonts w:ascii="Arial" w:cs="Arial" w:eastAsia="Arial" w:hAnsi="Arial"/>
          <w:sz w:val="17"/>
          <w:szCs w:val="17"/>
          <w:color w:val="auto"/>
        </w:rPr>
      </w:pPr>
      <w:r>
        <w:rPr>
          <w:rFonts w:ascii="Arial" w:cs="Arial" w:eastAsia="Arial" w:hAnsi="Arial"/>
          <w:sz w:val="17"/>
          <w:szCs w:val="17"/>
          <w:u w:val="single" w:color="auto"/>
          <w:color w:val="auto"/>
        </w:rPr>
        <w:t>Amendments to Security Documents</w:t>
      </w:r>
      <w:r>
        <w:rPr>
          <w:rFonts w:ascii="Arial" w:cs="Arial" w:eastAsia="Arial" w:hAnsi="Arial"/>
          <w:sz w:val="17"/>
          <w:szCs w:val="17"/>
          <w:color w:val="auto"/>
        </w:rPr>
        <w:t xml:space="preserve">. No Security Document nor any provision thereof may be waived, amended or modified, nor may the Liens thereof be spread to secure any additional obligations (including any increase in Loans hereunder, but excluding any such increase pursuant to a Commitment Increase under </w:t>
      </w:r>
      <w:r>
        <w:rPr>
          <w:rFonts w:ascii="Arial" w:cs="Arial" w:eastAsia="Arial" w:hAnsi="Arial"/>
          <w:sz w:val="17"/>
          <w:szCs w:val="17"/>
          <w:u w:val="single" w:color="auto"/>
          <w:color w:val="auto"/>
        </w:rPr>
        <w:t>Section 2.08(e)</w:t>
      </w:r>
      <w:r>
        <w:rPr>
          <w:rFonts w:ascii="Arial" w:cs="Arial" w:eastAsia="Arial" w:hAnsi="Arial"/>
          <w:sz w:val="17"/>
          <w:szCs w:val="17"/>
          <w:color w:val="auto"/>
        </w:rPr>
        <w:t xml:space="preserve"> to an amount not greater than $700,000,000) except pursuant to an agreement or agreements in writing entered into by the Borrower, and by the Collateral Agent with the consent of the Required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without the written consent of each Lender, no such agreement shall release all or substantially all of the Obligors from their respective obligations under the Security Documents and (ii) without the written consent of each Lender, no such agreement shall release all or substantially all of the collateral security or otherwise terminate all or substantially all of the Liens under the Security Documents, alter the relative priorities of the obligations entitled to the Liens created under the Security Documents (except in connection with securing additional obligations equally and ratably with the Loans and other obligations hereunder) with respect to all or substantially all of the collateral security provided thereby, or release all or substantially all of the guarantors under the Guarantee and Security Agreement from their guarantee obligations thereunder, except that no such consent shall be required, and the Administrative Agent is hereby authorized (and so agrees with the Borrower) to direct the Collateral Agent under the Guarantee and Security Agreement, to release any Lien covering property (and to release any such guarantor) that is the subject of either a disposition of property permitted hereunder or a disposition to which the Required Lenders have consented.</w:t>
      </w:r>
    </w:p>
    <w:p>
      <w:pPr>
        <w:spacing w:after="0" w:line="186" w:lineRule="exact"/>
        <w:rPr>
          <w:rFonts w:ascii="Arial" w:cs="Arial" w:eastAsia="Arial" w:hAnsi="Arial"/>
          <w:sz w:val="17"/>
          <w:szCs w:val="17"/>
          <w:color w:val="auto"/>
        </w:rPr>
      </w:pPr>
    </w:p>
    <w:p>
      <w:pPr>
        <w:ind w:right="120" w:firstLine="906"/>
        <w:spacing w:after="0" w:line="273" w:lineRule="auto"/>
        <w:tabs>
          <w:tab w:leader="none" w:pos="1153" w:val="left"/>
        </w:tabs>
        <w:numPr>
          <w:ilvl w:val="0"/>
          <w:numId w:val="154"/>
        </w:numPr>
        <w:rPr>
          <w:rFonts w:ascii="Arial" w:cs="Arial" w:eastAsia="Arial" w:hAnsi="Arial"/>
          <w:sz w:val="17"/>
          <w:szCs w:val="17"/>
          <w:color w:val="auto"/>
        </w:rPr>
      </w:pPr>
      <w:r>
        <w:rPr>
          <w:rFonts w:ascii="Arial" w:cs="Arial" w:eastAsia="Arial" w:hAnsi="Arial"/>
          <w:sz w:val="17"/>
          <w:szCs w:val="17"/>
          <w:u w:val="single" w:color="auto"/>
          <w:color w:val="auto"/>
        </w:rPr>
        <w:t>Replacement of Non-Consenting Lender</w:t>
      </w:r>
      <w:r>
        <w:rPr>
          <w:rFonts w:ascii="Arial" w:cs="Arial" w:eastAsia="Arial" w:hAnsi="Arial"/>
          <w:sz w:val="17"/>
          <w:szCs w:val="17"/>
          <w:color w:val="auto"/>
        </w:rPr>
        <w:t xml:space="preserve">. If, in connection with any proposed change, waiver, discharge or termination to any of the provisions of this Agreement as contemplated by this </w:t>
      </w:r>
      <w:r>
        <w:rPr>
          <w:rFonts w:ascii="Arial" w:cs="Arial" w:eastAsia="Arial" w:hAnsi="Arial"/>
          <w:sz w:val="17"/>
          <w:szCs w:val="17"/>
          <w:u w:val="single" w:color="auto"/>
          <w:color w:val="auto"/>
        </w:rPr>
        <w:t>Section 9.02</w:t>
      </w:r>
      <w:r>
        <w:rPr>
          <w:rFonts w:ascii="Arial" w:cs="Arial" w:eastAsia="Arial" w:hAnsi="Arial"/>
          <w:sz w:val="17"/>
          <w:szCs w:val="17"/>
          <w:color w:val="auto"/>
        </w:rPr>
        <w:t xml:space="preserve">, the consent of the Required Lenders shall have been obtained but the consent of one or more Lenders (each a “Non-Consenting Lender”) whose consent is required for such proposed change, waiver, discharge or termination is not obtained, then (so long as no Event of Default has occurred and is continuing) the Borrower shall have the right, at its sole cost and expense, to replace each such Non-Consenting Lender or Lenders with one or more replacement Lenders pursuant to </w:t>
      </w:r>
      <w:r>
        <w:rPr>
          <w:rFonts w:ascii="Arial" w:cs="Arial" w:eastAsia="Arial" w:hAnsi="Arial"/>
          <w:sz w:val="17"/>
          <w:szCs w:val="17"/>
          <w:u w:val="single" w:color="auto"/>
          <w:color w:val="auto"/>
        </w:rPr>
        <w:t>Section 2.18(b)</w:t>
      </w:r>
      <w:r>
        <w:rPr>
          <w:rFonts w:ascii="Arial" w:cs="Arial" w:eastAsia="Arial" w:hAnsi="Arial"/>
          <w:sz w:val="17"/>
          <w:szCs w:val="17"/>
          <w:color w:val="auto"/>
        </w:rPr>
        <w:t xml:space="preserve"> so long as at the time of such replacement, each such replacement Lender consents to the proposed change, waiver, discharge or termination.</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40"/>
          </w:cols>
          <w:pgMar w:left="320" w:top="274" w:right="339" w:bottom="1440" w:gutter="0" w:footer="0" w:header="0"/>
        </w:sectPr>
      </w:pPr>
    </w:p>
    <w:bookmarkStart w:id="121" w:name="page122"/>
    <w:bookmarkEnd w:id="121"/>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9.03. </w:t>
      </w:r>
      <w:r>
        <w:rPr>
          <w:rFonts w:ascii="Arial" w:cs="Arial" w:eastAsia="Arial" w:hAnsi="Arial"/>
          <w:sz w:val="18"/>
          <w:szCs w:val="18"/>
          <w:u w:val="single" w:color="auto"/>
          <w:color w:val="auto"/>
        </w:rPr>
        <w:t>Expenses; Indemnity; Damage Waiver</w:t>
      </w:r>
      <w:r>
        <w:rPr>
          <w:rFonts w:ascii="Arial" w:cs="Arial" w:eastAsia="Arial" w:hAnsi="Arial"/>
          <w:sz w:val="18"/>
          <w:szCs w:val="18"/>
          <w:color w:val="auto"/>
        </w:rPr>
        <w:t>.</w:t>
      </w:r>
    </w:p>
    <w:p>
      <w:pPr>
        <w:spacing w:after="0" w:line="225" w:lineRule="exact"/>
        <w:rPr>
          <w:sz w:val="20"/>
          <w:szCs w:val="20"/>
          <w:color w:val="auto"/>
        </w:rPr>
      </w:pPr>
    </w:p>
    <w:p>
      <w:pPr>
        <w:ind w:right="20" w:firstLine="906"/>
        <w:spacing w:after="0" w:line="287" w:lineRule="auto"/>
        <w:tabs>
          <w:tab w:leader="none" w:pos="1143" w:val="left"/>
        </w:tabs>
        <w:numPr>
          <w:ilvl w:val="0"/>
          <w:numId w:val="155"/>
        </w:numPr>
        <w:rPr>
          <w:rFonts w:ascii="Arial" w:cs="Arial" w:eastAsia="Arial" w:hAnsi="Arial"/>
          <w:sz w:val="16"/>
          <w:szCs w:val="16"/>
          <w:color w:val="auto"/>
        </w:rPr>
      </w:pPr>
      <w:r>
        <w:rPr>
          <w:rFonts w:ascii="Arial" w:cs="Arial" w:eastAsia="Arial" w:hAnsi="Arial"/>
          <w:sz w:val="16"/>
          <w:szCs w:val="16"/>
          <w:u w:val="single" w:color="auto"/>
          <w:color w:val="auto"/>
        </w:rPr>
        <w:t>Costs and Expenses</w:t>
      </w:r>
      <w:r>
        <w:rPr>
          <w:rFonts w:ascii="Arial" w:cs="Arial" w:eastAsia="Arial" w:hAnsi="Arial"/>
          <w:sz w:val="16"/>
          <w:szCs w:val="16"/>
          <w:color w:val="auto"/>
        </w:rPr>
        <w:t>. The Borrower shall pay (i) all reasonable out-of-pocket costs and expenses incurred by the Administrative Agent, the Collateral Agent and their Affiliates, including the reasonable fees, charges and disbursements of counsel for the Administrative Agent and the Collateral Agent, in connection with the syndication of the credit facilities provided for herein, the preparation and administration of this Agreement and the other Loan Documents and any amendments, modifications or waivers of the provisions hereof or thereof (whether or not the transactions contemplated hereby or thereby shall be consummated), (ii) all reasonable out-of-pocket expenses incurred by the Issuing Bank in connection with the issuance, amendment, renewal or extension of any Letter of Credit or any demand for payment thereunder, (iii) all out-of-pocket expenses incurred by the Administrative Agent, the Issuing Bank, the Swingline Lender or any Lender, including the fees, charges and disbursements of any counsel for the Administrative Agent, the Issuing Bank, the Swingline Lender or any Lender, in connection with the enforcement or protection of its rights in connection with this Agreement and the other Loan Documents, including its rights under this Section, or in connection with the Loans made or Letters of Credit issued hereunder, including all such out-of-pocket expenses incurred during any workout, restructuring or negotiations in respect thereof and (iv) and all costs, expenses, taxes, assessments and other charges incurred in connection with any filing, registration, recording or perfection of any security interest contemplated by any Security Document or any other document referred to therein.</w:t>
      </w:r>
    </w:p>
    <w:p>
      <w:pPr>
        <w:spacing w:after="0" w:line="167" w:lineRule="exact"/>
        <w:rPr>
          <w:rFonts w:ascii="Arial" w:cs="Arial" w:eastAsia="Arial" w:hAnsi="Arial"/>
          <w:sz w:val="16"/>
          <w:szCs w:val="16"/>
          <w:color w:val="auto"/>
        </w:rPr>
      </w:pPr>
    </w:p>
    <w:p>
      <w:pPr>
        <w:ind w:right="20" w:firstLine="906"/>
        <w:spacing w:after="0" w:line="285" w:lineRule="auto"/>
        <w:tabs>
          <w:tab w:leader="none" w:pos="1153" w:val="left"/>
        </w:tabs>
        <w:numPr>
          <w:ilvl w:val="0"/>
          <w:numId w:val="155"/>
        </w:numPr>
        <w:rPr>
          <w:rFonts w:ascii="Arial" w:cs="Arial" w:eastAsia="Arial" w:hAnsi="Arial"/>
          <w:sz w:val="16"/>
          <w:szCs w:val="16"/>
          <w:color w:val="auto"/>
        </w:rPr>
      </w:pPr>
      <w:r>
        <w:rPr>
          <w:rFonts w:ascii="Arial" w:cs="Arial" w:eastAsia="Arial" w:hAnsi="Arial"/>
          <w:sz w:val="16"/>
          <w:szCs w:val="16"/>
          <w:u w:val="single" w:color="auto"/>
          <w:color w:val="auto"/>
        </w:rPr>
        <w:t>Indemnification by the Borrower</w:t>
      </w:r>
      <w:r>
        <w:rPr>
          <w:rFonts w:ascii="Arial" w:cs="Arial" w:eastAsia="Arial" w:hAnsi="Arial"/>
          <w:sz w:val="16"/>
          <w:szCs w:val="16"/>
          <w:color w:val="auto"/>
        </w:rPr>
        <w:t xml:space="preserve">. The Borrower shall indemnify the Administrative Agent, the Issuing Bank, the Swingline Lender and each Lender, and each Related Party of any of the foregoing Persons (each such Person being called an “Indemnitee”) against, and hold each Indemnitee harmless from, any and all losses, claims, damages, liabilities, actions, judgments, suits, costs, expenses and disbursements of any kind or nature whatsoever (including the reasonable and documented out-of-pocket fees and disbursements of one outside counsel for all Indemnitees (and, if reasonably necessary, of one local counsel in any relevant jurisdiction for all Indemnitees) unless, in the reasonable opinion of an Indemnitee, representation of all Indemnitees by such counsel would be inappropriate due to the existence of an actual or potential conflict of interest) in connection with any investigative, administrative or judicial proceeding or hearing commenced or threatened by any Person, whether or not any such Indemnitee shall be designated as a party or a potential party thereto, and any fees or expenses incurred by Indemnitees in enforcing this indemnity), whether based on any federal, state or foreign laws, statutes, rules or regulations (including securities and commercial laws, statutes, rules or regulations and laws, statutes, rules or regulations relating to environmental, occupational safety and health or land use matters), on common law or equitable cause or on contract or otherwise and related expenses or disbursements of any kind (other than Taxes or Other Taxes which shall only be indemnified by the Borrower to the extent provided in </w:t>
      </w:r>
      <w:r>
        <w:rPr>
          <w:rFonts w:ascii="Arial" w:cs="Arial" w:eastAsia="Arial" w:hAnsi="Arial"/>
          <w:sz w:val="16"/>
          <w:szCs w:val="16"/>
          <w:u w:val="single" w:color="auto"/>
          <w:color w:val="auto"/>
        </w:rPr>
        <w:t>Section 2.16</w:t>
      </w:r>
      <w:r>
        <w:rPr>
          <w:rFonts w:ascii="Arial" w:cs="Arial" w:eastAsia="Arial" w:hAnsi="Arial"/>
          <w:sz w:val="16"/>
          <w:szCs w:val="16"/>
          <w:color w:val="auto"/>
        </w:rPr>
        <w:t>), including the fees, charges and disbursements of any counsel for any Indemnitee, incurred by or asserted against any Indemnitee arising out of; in connection with, or as a result of (i) the execution or delivery of this Agreement or any agreement or instrument contemplated hereby, the performance by the parties hereto of their respective obligations hereunder or the consummation of the Transactions or any other transactions contemplated hereby, (ii) any Loan, Swingline Loan or Letter of Credit or the use of the proceeds therefrom (including any refusal by the Issuing Bank to honor a demand for payment under a Letter of Credit if the documents presented in connection</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40"/>
          </w:cols>
          <w:pgMar w:left="320" w:top="274" w:right="339" w:bottom="1440" w:gutter="0" w:footer="0" w:header="0"/>
        </w:sectPr>
      </w:pPr>
    </w:p>
    <w:bookmarkStart w:id="122" w:name="page123"/>
    <w:bookmarkEnd w:id="122"/>
    <w:p>
      <w:pPr>
        <w:ind w:right="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with such demand do not strictly comply with the terms of such Letter of Credit) or (iii) any actual or prospective claim, litigation, investigation or proceeding relating to any of the foregoing, whether based on contract, tort or any other theory and whether brought by the Borrower or a third party and regardless of whether any Indemnitee is a party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indemnity shall not as to any Indemnitee, be available to the extent that such losses, claims, damages, liabilities or related expenses are (A) determined by a court of competent jurisdiction by final and nonappealable judgment to have resulted from the willful misconduct or gross negligence of such Indemnitee or (B) result from disputes solely among Indemnitees and not involving any act or omission of an Obligor or any Affiliate thereof as determined by a court of competent jurisdiction by final and nonappealable judgment (other than any dispute against the Administrative Agent or the Collateral Agent in its capacity as such). Notwithstanding the foregoing, it is understood and agreed that indemnification for Taxes is subject to the provisions of </w:t>
      </w:r>
      <w:r>
        <w:rPr>
          <w:rFonts w:ascii="Arial" w:cs="Arial" w:eastAsia="Arial" w:hAnsi="Arial"/>
          <w:sz w:val="17"/>
          <w:szCs w:val="17"/>
          <w:u w:val="single" w:color="auto"/>
          <w:color w:val="auto"/>
        </w:rPr>
        <w:t>Section 2.16</w:t>
      </w:r>
      <w:r>
        <w:rPr>
          <w:rFonts w:ascii="Arial" w:cs="Arial" w:eastAsia="Arial" w:hAnsi="Arial"/>
          <w:sz w:val="17"/>
          <w:szCs w:val="17"/>
          <w:color w:val="auto"/>
        </w:rPr>
        <w:t>.</w:t>
      </w:r>
    </w:p>
    <w:p>
      <w:pPr>
        <w:spacing w:after="0" w:line="178" w:lineRule="exact"/>
        <w:rPr>
          <w:sz w:val="20"/>
          <w:szCs w:val="20"/>
          <w:color w:val="auto"/>
        </w:rPr>
      </w:pPr>
    </w:p>
    <w:p>
      <w:pPr>
        <w:ind w:right="40" w:firstLine="898"/>
        <w:spacing w:after="0" w:line="263" w:lineRule="auto"/>
        <w:rPr>
          <w:sz w:val="20"/>
          <w:szCs w:val="20"/>
          <w:color w:val="auto"/>
        </w:rPr>
      </w:pPr>
      <w:r>
        <w:rPr>
          <w:rFonts w:ascii="Arial" w:cs="Arial" w:eastAsia="Arial" w:hAnsi="Arial"/>
          <w:sz w:val="18"/>
          <w:szCs w:val="18"/>
          <w:color w:val="auto"/>
        </w:rPr>
        <w:t xml:space="preserve">The Borrower shall not be liable to any Indemnitee for any special, indirect, consequential or punitive damages arising out of, in connection with, or as a result of the Transactions asserted by an Indemnitee against the Borrower or any other Obligor;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limitation shall not be deemed to impair or affect the Obligations of the Borrower under the preceding provisions of this subsection.</w:t>
      </w:r>
    </w:p>
    <w:p>
      <w:pPr>
        <w:spacing w:after="0" w:line="184" w:lineRule="exact"/>
        <w:rPr>
          <w:sz w:val="20"/>
          <w:szCs w:val="20"/>
          <w:color w:val="auto"/>
        </w:rPr>
      </w:pPr>
    </w:p>
    <w:p>
      <w:pPr>
        <w:ind w:right="160" w:firstLine="906"/>
        <w:spacing w:after="0" w:line="255" w:lineRule="auto"/>
        <w:tabs>
          <w:tab w:leader="none" w:pos="1143"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Reimbursement by Lenders</w:t>
      </w:r>
      <w:r>
        <w:rPr>
          <w:rFonts w:ascii="Arial" w:cs="Arial" w:eastAsia="Arial" w:hAnsi="Arial"/>
          <w:sz w:val="18"/>
          <w:szCs w:val="18"/>
          <w:color w:val="auto"/>
        </w:rPr>
        <w:t xml:space="preserve">. To the extent that the Borrower fails to pay any amount required to be paid by it to the Administrative Agent, the Issuing Bank or the Swingline Lender under </w:t>
      </w:r>
      <w:r>
        <w:rPr>
          <w:rFonts w:ascii="Arial" w:cs="Arial" w:eastAsia="Arial" w:hAnsi="Arial"/>
          <w:sz w:val="18"/>
          <w:szCs w:val="18"/>
          <w:u w:val="single" w:color="auto"/>
          <w:color w:val="auto"/>
        </w:rPr>
        <w:t>paragraph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Section, each Lender severally agrees to pay to the Administrative Agent, the Issuing Bank or the Swingline Lender, as the case may be, such Lender’s Applicable Percentage (determined as of the time that the applicable unreimbursed expense or indemnity payment is sought) of such unpaid amount;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unreimbursed expense or indemnified loss, claim, damage, liability or related expense, as the case may be, was incurred by or asserted against the Administrative Agent, the Issuing Bank or the Swingline Lender in its capacity as such.</w:t>
      </w:r>
    </w:p>
    <w:p>
      <w:pPr>
        <w:spacing w:after="0" w:line="192" w:lineRule="exact"/>
        <w:rPr>
          <w:rFonts w:ascii="Arial" w:cs="Arial" w:eastAsia="Arial" w:hAnsi="Arial"/>
          <w:sz w:val="18"/>
          <w:szCs w:val="18"/>
          <w:color w:val="auto"/>
        </w:rPr>
      </w:pPr>
    </w:p>
    <w:p>
      <w:pPr>
        <w:ind w:right="140" w:firstLine="906"/>
        <w:spacing w:after="0" w:line="291" w:lineRule="auto"/>
        <w:tabs>
          <w:tab w:leader="none" w:pos="1153" w:val="left"/>
        </w:tabs>
        <w:numPr>
          <w:ilvl w:val="0"/>
          <w:numId w:val="156"/>
        </w:numPr>
        <w:rPr>
          <w:rFonts w:ascii="Arial" w:cs="Arial" w:eastAsia="Arial" w:hAnsi="Arial"/>
          <w:sz w:val="16"/>
          <w:szCs w:val="16"/>
          <w:color w:val="auto"/>
        </w:rPr>
      </w:pPr>
      <w:r>
        <w:rPr>
          <w:rFonts w:ascii="Arial" w:cs="Arial" w:eastAsia="Arial" w:hAnsi="Arial"/>
          <w:sz w:val="16"/>
          <w:szCs w:val="16"/>
          <w:u w:val="single" w:color="auto"/>
          <w:color w:val="auto"/>
        </w:rPr>
        <w:t>Waiver of Consequential Damages, Etc</w:t>
      </w:r>
      <w:r>
        <w:rPr>
          <w:rFonts w:ascii="Arial" w:cs="Arial" w:eastAsia="Arial" w:hAnsi="Arial"/>
          <w:sz w:val="16"/>
          <w:szCs w:val="16"/>
          <w:color w:val="auto"/>
        </w:rPr>
        <w:t>. To the extent permitted by applicable law, the Borrower shall not assert, and hereby waives, any claim against any Indemnitee, on any theory of liability, for special, indirect, consequential or punitive damages (as opposed to direct or actual damages) arising out of, in connection with, or as a result of; this Agreement or any agreement or instrument contemplated hereby, the Transactions, any Loan or Letter of Credit or the use of the proceeds thereof. No Indemnitee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except to the extent caused by the willful misconduct or gross negligence of such Indemnitee or its Related Parties, as determined by a final, non-appealable judgment of a court of competent jurisdiction.</w:t>
      </w:r>
    </w:p>
    <w:p>
      <w:pPr>
        <w:spacing w:after="0" w:line="166" w:lineRule="exact"/>
        <w:rPr>
          <w:rFonts w:ascii="Arial" w:cs="Arial" w:eastAsia="Arial" w:hAnsi="Arial"/>
          <w:sz w:val="16"/>
          <w:szCs w:val="16"/>
          <w:color w:val="auto"/>
        </w:rPr>
      </w:pPr>
    </w:p>
    <w:p>
      <w:pPr>
        <w:ind w:left="1160" w:hanging="254"/>
        <w:spacing w:after="0"/>
        <w:tabs>
          <w:tab w:leader="none" w:pos="1160"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All amounts due under this Section shall be payable promptly after written demand therefor.</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320" w:top="274" w:right="339" w:bottom="1440" w:gutter="0" w:footer="0" w:header="0"/>
        </w:sectPr>
      </w:pPr>
    </w:p>
    <w:bookmarkStart w:id="123" w:name="page124"/>
    <w:bookmarkEnd w:id="123"/>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9.04.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w:t>
      </w:r>
    </w:p>
    <w:p>
      <w:pPr>
        <w:spacing w:after="0" w:line="225" w:lineRule="exact"/>
        <w:rPr>
          <w:sz w:val="20"/>
          <w:szCs w:val="20"/>
          <w:color w:val="auto"/>
        </w:rPr>
      </w:pPr>
    </w:p>
    <w:p>
      <w:pPr>
        <w:ind w:right="40" w:firstLine="906"/>
        <w:spacing w:after="0" w:line="271" w:lineRule="auto"/>
        <w:tabs>
          <w:tab w:leader="none" w:pos="1143" w:val="left"/>
        </w:tabs>
        <w:numPr>
          <w:ilvl w:val="1"/>
          <w:numId w:val="157"/>
        </w:numPr>
        <w:rPr>
          <w:rFonts w:ascii="Arial" w:cs="Arial" w:eastAsia="Arial" w:hAnsi="Arial"/>
          <w:sz w:val="17"/>
          <w:szCs w:val="17"/>
          <w:color w:val="auto"/>
        </w:rPr>
      </w:pPr>
      <w:r>
        <w:rPr>
          <w:rFonts w:ascii="Arial" w:cs="Arial" w:eastAsia="Arial" w:hAnsi="Arial"/>
          <w:sz w:val="17"/>
          <w:szCs w:val="17"/>
          <w:u w:val="single" w:color="auto"/>
          <w:color w:val="auto"/>
        </w:rPr>
        <w:t>Assignments Generally</w:t>
      </w:r>
      <w:r>
        <w:rPr>
          <w:rFonts w:ascii="Arial" w:cs="Arial" w:eastAsia="Arial" w:hAnsi="Arial"/>
          <w:sz w:val="17"/>
          <w:szCs w:val="17"/>
          <w:color w:val="auto"/>
        </w:rPr>
        <w:t>. The provisions of this Agreement shall be binding upon and inure to the benefit of the parties hereto and their respective successors and assigns permitted hereby (including any Affiliate of the Issuing Bank that issues any Letter of Credit), except that (i)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the Issuing Bank that issues any Letter of Credit) and, to the extent expressly contemplated hereby, the Related Parties of each of the Administrative Agent, the Issuing Bank and the Lenders) any legal or equitable right, remedy or claim under or by reason of this Agreement.</w:t>
      </w:r>
    </w:p>
    <w:p>
      <w:pPr>
        <w:spacing w:after="0" w:line="178" w:lineRule="exact"/>
        <w:rPr>
          <w:rFonts w:ascii="Arial" w:cs="Arial" w:eastAsia="Arial" w:hAnsi="Arial"/>
          <w:sz w:val="17"/>
          <w:szCs w:val="17"/>
          <w:color w:val="auto"/>
        </w:rPr>
      </w:pPr>
    </w:p>
    <w:p>
      <w:pPr>
        <w:ind w:left="1160" w:hanging="254"/>
        <w:spacing w:after="0"/>
        <w:tabs>
          <w:tab w:leader="none" w:pos="1160" w:val="left"/>
        </w:tabs>
        <w:numPr>
          <w:ilvl w:val="1"/>
          <w:numId w:val="157"/>
        </w:numPr>
        <w:rPr>
          <w:rFonts w:ascii="Arial" w:cs="Arial" w:eastAsia="Arial" w:hAnsi="Arial"/>
          <w:sz w:val="18"/>
          <w:szCs w:val="18"/>
          <w:color w:val="auto"/>
        </w:rPr>
      </w:pPr>
      <w:r>
        <w:rPr>
          <w:rFonts w:ascii="Arial" w:cs="Arial" w:eastAsia="Arial" w:hAnsi="Arial"/>
          <w:sz w:val="18"/>
          <w:szCs w:val="18"/>
          <w:u w:val="single" w:color="auto"/>
          <w:color w:val="auto"/>
        </w:rPr>
        <w:t>Assignments by Lenders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460" w:right="100" w:firstLine="428"/>
        <w:spacing w:after="0" w:line="259" w:lineRule="auto"/>
        <w:tabs>
          <w:tab w:leader="none" w:pos="1106"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Assignments Generally</w:t>
      </w:r>
      <w:r>
        <w:rPr>
          <w:rFonts w:ascii="Arial" w:cs="Arial" w:eastAsia="Arial" w:hAnsi="Arial"/>
          <w:sz w:val="18"/>
          <w:szCs w:val="18"/>
          <w:color w:val="auto"/>
        </w:rPr>
        <w:t xml:space="preserve">. Subject to the conditions set forth in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below, any Lender may assign to one or more assignees (other than natural persons, any Defaulting Lender or any Person listed in the Prohibited Assignees and Participants Side Letter) all or a portion of its rights and obligations under this Agreement (including all or a portion of its Commitments and the Loans and LC Exposure at the time owing to it) with the prior written consent (such consent not to be unreasonably withheld or delayed) of:</w:t>
      </w:r>
    </w:p>
    <w:p>
      <w:pPr>
        <w:spacing w:after="0" w:line="78" w:lineRule="exact"/>
        <w:rPr>
          <w:rFonts w:ascii="Arial" w:cs="Arial" w:eastAsia="Arial" w:hAnsi="Arial"/>
          <w:sz w:val="18"/>
          <w:szCs w:val="18"/>
          <w:color w:val="auto"/>
        </w:rPr>
      </w:pPr>
    </w:p>
    <w:p>
      <w:pPr>
        <w:ind w:left="900" w:right="40" w:firstLine="420"/>
        <w:spacing w:after="0" w:line="259" w:lineRule="auto"/>
        <w:tabs>
          <w:tab w:leader="none" w:pos="1608" w:val="left"/>
        </w:tabs>
        <w:numPr>
          <w:ilvl w:val="2"/>
          <w:numId w:val="158"/>
        </w:numPr>
        <w:rPr>
          <w:rFonts w:ascii="Arial" w:cs="Arial" w:eastAsia="Arial" w:hAnsi="Arial"/>
          <w:sz w:val="18"/>
          <w:szCs w:val="18"/>
          <w:color w:val="auto"/>
        </w:rPr>
      </w:pPr>
      <w:r>
        <w:rPr>
          <w:rFonts w:ascii="Arial" w:cs="Arial" w:eastAsia="Arial" w:hAnsi="Arial"/>
          <w:sz w:val="18"/>
          <w:szCs w:val="18"/>
          <w:color w:val="auto"/>
        </w:rPr>
        <w:t xml:space="preserve">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consent of the Borrower shall be required for an assignment to a Lender, an Affiliate of a Lender, or, if an Event of Default has occurred and is continuing, any other assignee;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Borrower shall be deemed to have consented to any such assignment unless it shall have objected thereto by written notice to the Administrative Agent within five Business Days after having received notice thereof; and</w:t>
      </w:r>
    </w:p>
    <w:p>
      <w:pPr>
        <w:spacing w:after="0" w:line="78" w:lineRule="exact"/>
        <w:rPr>
          <w:rFonts w:ascii="Arial" w:cs="Arial" w:eastAsia="Arial" w:hAnsi="Arial"/>
          <w:sz w:val="18"/>
          <w:szCs w:val="18"/>
          <w:color w:val="auto"/>
        </w:rPr>
      </w:pPr>
    </w:p>
    <w:p>
      <w:pPr>
        <w:ind w:left="1600" w:hanging="280"/>
        <w:spacing w:after="0"/>
        <w:tabs>
          <w:tab w:leader="none" w:pos="1600" w:val="left"/>
        </w:tabs>
        <w:numPr>
          <w:ilvl w:val="2"/>
          <w:numId w:val="158"/>
        </w:numPr>
        <w:rPr>
          <w:rFonts w:ascii="Arial" w:cs="Arial" w:eastAsia="Arial" w:hAnsi="Arial"/>
          <w:sz w:val="18"/>
          <w:szCs w:val="18"/>
          <w:color w:val="auto"/>
        </w:rPr>
      </w:pPr>
      <w:r>
        <w:rPr>
          <w:rFonts w:ascii="Arial" w:cs="Arial" w:eastAsia="Arial" w:hAnsi="Arial"/>
          <w:sz w:val="18"/>
          <w:szCs w:val="18"/>
          <w:color w:val="auto"/>
        </w:rPr>
        <w:t>the Administrative Agent and the Issuing Bank.</w:t>
      </w:r>
    </w:p>
    <w:p>
      <w:pPr>
        <w:spacing w:after="0" w:line="117" w:lineRule="exact"/>
        <w:rPr>
          <w:rFonts w:ascii="Arial" w:cs="Arial" w:eastAsia="Arial" w:hAnsi="Arial"/>
          <w:sz w:val="18"/>
          <w:szCs w:val="18"/>
          <w:color w:val="auto"/>
        </w:rPr>
      </w:pPr>
    </w:p>
    <w:p>
      <w:pPr>
        <w:ind w:left="1160" w:hanging="272"/>
        <w:spacing w:after="0"/>
        <w:tabs>
          <w:tab w:leader="none" w:pos="1160"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Certain Conditions to Assignments</w:t>
      </w:r>
      <w:r>
        <w:rPr>
          <w:rFonts w:ascii="Arial" w:cs="Arial" w:eastAsia="Arial" w:hAnsi="Arial"/>
          <w:sz w:val="18"/>
          <w:szCs w:val="18"/>
          <w:color w:val="auto"/>
        </w:rPr>
        <w:t>. Assignments shall be subject to the following additional conditions:</w:t>
      </w:r>
    </w:p>
    <w:p>
      <w:pPr>
        <w:spacing w:after="0" w:line="117" w:lineRule="exact"/>
        <w:rPr>
          <w:rFonts w:ascii="Arial" w:cs="Arial" w:eastAsia="Arial" w:hAnsi="Arial"/>
          <w:sz w:val="18"/>
          <w:szCs w:val="18"/>
          <w:color w:val="auto"/>
        </w:rPr>
      </w:pPr>
    </w:p>
    <w:p>
      <w:pPr>
        <w:ind w:left="900" w:right="80" w:firstLine="420"/>
        <w:spacing w:after="0" w:line="255" w:lineRule="auto"/>
        <w:tabs>
          <w:tab w:leader="none" w:pos="1608" w:val="left"/>
        </w:tabs>
        <w:numPr>
          <w:ilvl w:val="2"/>
          <w:numId w:val="158"/>
        </w:numPr>
        <w:rPr>
          <w:rFonts w:ascii="Arial" w:cs="Arial" w:eastAsia="Arial" w:hAnsi="Arial"/>
          <w:sz w:val="18"/>
          <w:szCs w:val="18"/>
          <w:color w:val="auto"/>
        </w:rPr>
      </w:pPr>
      <w:r>
        <w:rPr>
          <w:rFonts w:ascii="Arial" w:cs="Arial" w:eastAsia="Arial" w:hAnsi="Arial"/>
          <w:sz w:val="18"/>
          <w:szCs w:val="18"/>
          <w:color w:val="auto"/>
        </w:rPr>
        <w:t xml:space="preserve">except in the case of an Assignment to a Lender or an Affiliate of a Lender or an assignment of the entire remaining amount of the assigning Lender’s Commitment or Loans and LC Exposure of a Class, the amount of the Commitment or Loans and LC Exposure of such Class of the assigning Lender subject to each such assignment (determined as of the date the Assignment and Assumption with respect to such Assignment is delivered to the Administrative Agent) shall not be less than U.S. $5,000,000 unless each of the Borrower and the Administrative Agent otherwise consent;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consent of the Borrower shall be required if an Event of Default has occurred and is continuing;</w:t>
      </w:r>
    </w:p>
    <w:p>
      <w:pPr>
        <w:spacing w:after="0" w:line="12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40"/>
          </w:cols>
          <w:pgMar w:left="320" w:top="274" w:right="339" w:bottom="1440" w:gutter="0" w:footer="0" w:header="0"/>
        </w:sectPr>
      </w:pPr>
    </w:p>
    <w:bookmarkStart w:id="124" w:name="page125"/>
    <w:bookmarkEnd w:id="124"/>
    <w:p>
      <w:pPr>
        <w:ind w:left="440" w:right="140" w:firstLine="420"/>
        <w:spacing w:after="0" w:line="263" w:lineRule="auto"/>
        <w:tabs>
          <w:tab w:leader="none" w:pos="1138" w:val="left"/>
        </w:tabs>
        <w:numPr>
          <w:ilvl w:val="1"/>
          <w:numId w:val="1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partial assignment of any Class of Commitments or Loans and LC Exposure shall be made as an assignment of a proportionate part of all the assigning Lender’s rights and obligations under this Agreement in respect of such Class of Commitments, Loans and LC Exposure;</w:t>
      </w:r>
    </w:p>
    <w:p>
      <w:pPr>
        <w:spacing w:after="0" w:line="75" w:lineRule="exact"/>
        <w:rPr>
          <w:rFonts w:ascii="Arial" w:cs="Arial" w:eastAsia="Arial" w:hAnsi="Arial"/>
          <w:sz w:val="18"/>
          <w:szCs w:val="18"/>
          <w:color w:val="auto"/>
        </w:rPr>
      </w:pPr>
    </w:p>
    <w:p>
      <w:pPr>
        <w:jc w:val="both"/>
        <w:ind w:left="440" w:right="100" w:firstLine="420"/>
        <w:spacing w:after="0" w:line="311" w:lineRule="auto"/>
        <w:tabs>
          <w:tab w:leader="none" w:pos="1138" w:val="left"/>
        </w:tabs>
        <w:numPr>
          <w:ilvl w:val="1"/>
          <w:numId w:val="159"/>
        </w:numPr>
        <w:rPr>
          <w:rFonts w:ascii="Arial" w:cs="Arial" w:eastAsia="Arial" w:hAnsi="Arial"/>
          <w:sz w:val="16"/>
          <w:szCs w:val="16"/>
          <w:color w:val="auto"/>
        </w:rPr>
      </w:pPr>
      <w:r>
        <w:rPr>
          <w:rFonts w:ascii="Arial" w:cs="Arial" w:eastAsia="Arial" w:hAnsi="Arial"/>
          <w:sz w:val="16"/>
          <w:szCs w:val="16"/>
          <w:color w:val="auto"/>
        </w:rPr>
        <w:t xml:space="preserve">the parties to each assignment shall execute and deliver to the Administrative Agent an Assignment and Assumption in substantially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together with a processing and recordation fee of U.S. $3,500 (which fee shall not be payable in connection with an assignment to a Lender or to an Affiliate of a Lender), for which the Borrower and the Guarantors shall not be obligated; and</w:t>
      </w:r>
    </w:p>
    <w:p>
      <w:pPr>
        <w:spacing w:after="0" w:line="40" w:lineRule="exact"/>
        <w:rPr>
          <w:rFonts w:ascii="Arial" w:cs="Arial" w:eastAsia="Arial" w:hAnsi="Arial"/>
          <w:sz w:val="16"/>
          <w:szCs w:val="16"/>
          <w:color w:val="auto"/>
        </w:rPr>
      </w:pPr>
    </w:p>
    <w:p>
      <w:pPr>
        <w:ind w:left="440" w:right="220" w:firstLine="420"/>
        <w:spacing w:after="0" w:line="277" w:lineRule="auto"/>
        <w:tabs>
          <w:tab w:leader="none" w:pos="1148" w:val="left"/>
        </w:tabs>
        <w:numPr>
          <w:ilvl w:val="1"/>
          <w:numId w:val="159"/>
        </w:numPr>
        <w:rPr>
          <w:rFonts w:ascii="Arial" w:cs="Arial" w:eastAsia="Arial" w:hAnsi="Arial"/>
          <w:sz w:val="18"/>
          <w:szCs w:val="18"/>
          <w:color w:val="auto"/>
        </w:rPr>
      </w:pPr>
      <w:r>
        <w:rPr>
          <w:rFonts w:ascii="Arial" w:cs="Arial" w:eastAsia="Arial" w:hAnsi="Arial"/>
          <w:sz w:val="18"/>
          <w:szCs w:val="18"/>
          <w:color w:val="auto"/>
        </w:rPr>
        <w:t>the assignee, if it shall not already be a Lender of the applicable Class, shall deliver to the Administrative Agent an Administrative Questionnaire.</w:t>
      </w:r>
    </w:p>
    <w:p>
      <w:pPr>
        <w:spacing w:after="0" w:line="62" w:lineRule="exact"/>
        <w:rPr>
          <w:rFonts w:ascii="Arial" w:cs="Arial" w:eastAsia="Arial" w:hAnsi="Arial"/>
          <w:sz w:val="18"/>
          <w:szCs w:val="18"/>
          <w:color w:val="auto"/>
        </w:rPr>
      </w:pPr>
    </w:p>
    <w:p>
      <w:pPr>
        <w:ind w:firstLine="428"/>
        <w:spacing w:after="0" w:line="267" w:lineRule="auto"/>
        <w:tabs>
          <w:tab w:leader="none" w:pos="746" w:val="left"/>
        </w:tabs>
        <w:numPr>
          <w:ilvl w:val="0"/>
          <w:numId w:val="160"/>
        </w:numPr>
        <w:rPr>
          <w:rFonts w:ascii="Arial" w:cs="Arial" w:eastAsia="Arial" w:hAnsi="Arial"/>
          <w:sz w:val="17"/>
          <w:szCs w:val="17"/>
          <w:color w:val="auto"/>
        </w:rPr>
      </w:pPr>
      <w:r>
        <w:rPr>
          <w:rFonts w:ascii="Arial" w:cs="Arial" w:eastAsia="Arial" w:hAnsi="Arial"/>
          <w:sz w:val="17"/>
          <w:szCs w:val="17"/>
          <w:u w:val="single" w:color="auto"/>
          <w:color w:val="auto"/>
        </w:rPr>
        <w:t>Effectiveness of Assignments</w:t>
      </w:r>
      <w:r>
        <w:rPr>
          <w:rFonts w:ascii="Arial" w:cs="Arial" w:eastAsia="Arial" w:hAnsi="Arial"/>
          <w:sz w:val="17"/>
          <w:szCs w:val="17"/>
          <w:color w:val="auto"/>
        </w:rPr>
        <w:t xml:space="preserve">. Subject to acceptance and recording thereof pursuant to </w:t>
      </w:r>
      <w:r>
        <w:rPr>
          <w:rFonts w:ascii="Arial" w:cs="Arial" w:eastAsia="Arial" w:hAnsi="Arial"/>
          <w:sz w:val="17"/>
          <w:szCs w:val="17"/>
          <w:u w:val="single" w:color="auto"/>
          <w:color w:val="auto"/>
        </w:rPr>
        <w:t>paragraph (c)</w:t>
      </w:r>
      <w:r>
        <w:rPr>
          <w:rFonts w:ascii="Arial" w:cs="Arial" w:eastAsia="Arial" w:hAnsi="Arial"/>
          <w:sz w:val="17"/>
          <w:szCs w:val="17"/>
          <w:color w:val="auto"/>
        </w:rPr>
        <w:t xml:space="preserve">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7"/>
          <w:szCs w:val="17"/>
          <w:u w:val="single" w:color="auto"/>
          <w:color w:val="auto"/>
        </w:rPr>
        <w:t>Sections 2.14</w:t>
      </w:r>
      <w:r>
        <w:rPr>
          <w:rFonts w:ascii="Arial" w:cs="Arial" w:eastAsia="Arial" w:hAnsi="Arial"/>
          <w:sz w:val="17"/>
          <w:szCs w:val="17"/>
          <w:color w:val="auto"/>
        </w:rPr>
        <w:t xml:space="preserve">, </w:t>
      </w:r>
      <w:r>
        <w:rPr>
          <w:rFonts w:ascii="Arial" w:cs="Arial" w:eastAsia="Arial" w:hAnsi="Arial"/>
          <w:sz w:val="17"/>
          <w:szCs w:val="17"/>
          <w:u w:val="single" w:color="auto"/>
          <w:color w:val="auto"/>
        </w:rPr>
        <w:t>2.15</w:t>
      </w:r>
      <w:r>
        <w:rPr>
          <w:rFonts w:ascii="Arial" w:cs="Arial" w:eastAsia="Arial" w:hAnsi="Arial"/>
          <w:sz w:val="17"/>
          <w:szCs w:val="17"/>
          <w:color w:val="auto"/>
        </w:rPr>
        <w:t xml:space="preserve">, </w:t>
      </w:r>
      <w:r>
        <w:rPr>
          <w:rFonts w:ascii="Arial" w:cs="Arial" w:eastAsia="Arial" w:hAnsi="Arial"/>
          <w:sz w:val="17"/>
          <w:szCs w:val="17"/>
          <w:u w:val="single" w:color="auto"/>
          <w:color w:val="auto"/>
        </w:rPr>
        <w:t>2.16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9.03</w:t>
      </w:r>
      <w:r>
        <w:rPr>
          <w:rFonts w:ascii="Arial" w:cs="Arial" w:eastAsia="Arial" w:hAnsi="Arial"/>
          <w:sz w:val="17"/>
          <w:szCs w:val="17"/>
          <w:color w:val="auto"/>
        </w:rPr>
        <w:t xml:space="preserve"> with respect to facts and circumstances occurring prior to the effective date of such assignment). Any assignment or transfer by a Lender of rights or obligations under this Agreement that does not comply with this </w:t>
      </w:r>
      <w:r>
        <w:rPr>
          <w:rFonts w:ascii="Arial" w:cs="Arial" w:eastAsia="Arial" w:hAnsi="Arial"/>
          <w:sz w:val="17"/>
          <w:szCs w:val="17"/>
          <w:u w:val="single" w:color="auto"/>
          <w:color w:val="auto"/>
        </w:rPr>
        <w:t>Section 9.04</w:t>
      </w:r>
      <w:r>
        <w:rPr>
          <w:rFonts w:ascii="Arial" w:cs="Arial" w:eastAsia="Arial" w:hAnsi="Arial"/>
          <w:sz w:val="17"/>
          <w:szCs w:val="17"/>
          <w:color w:val="auto"/>
        </w:rPr>
        <w:t xml:space="preserve"> shall be treated for purposes of this Agreement as a sale by such Lender of a participation in such rights and obligations in accordance with </w:t>
      </w:r>
      <w:r>
        <w:rPr>
          <w:rFonts w:ascii="Arial" w:cs="Arial" w:eastAsia="Arial" w:hAnsi="Arial"/>
          <w:sz w:val="17"/>
          <w:szCs w:val="17"/>
          <w:u w:val="single" w:color="auto"/>
          <w:color w:val="auto"/>
        </w:rPr>
        <w:t>paragraph (f)</w:t>
      </w:r>
      <w:r>
        <w:rPr>
          <w:rFonts w:ascii="Arial" w:cs="Arial" w:eastAsia="Arial" w:hAnsi="Arial"/>
          <w:sz w:val="17"/>
          <w:szCs w:val="17"/>
          <w:color w:val="auto"/>
        </w:rPr>
        <w:t xml:space="preserve"> of this Section. Notwithstanding anything to the contrary herein, in connection with any assignment of rights and obligations of any Defaulting Lender hereunder, no such assignment shall be effective unless and until, in addition to the other conditions set forth in </w:t>
      </w:r>
      <w:r>
        <w:rPr>
          <w:rFonts w:ascii="Arial" w:cs="Arial" w:eastAsia="Arial" w:hAnsi="Arial"/>
          <w:sz w:val="17"/>
          <w:szCs w:val="17"/>
          <w:u w:val="single" w:color="auto"/>
          <w:color w:val="auto"/>
        </w:rPr>
        <w:t>Section 9.04(b)(ii)</w:t>
      </w:r>
      <w:r>
        <w:rPr>
          <w:rFonts w:ascii="Arial" w:cs="Arial" w:eastAsia="Arial" w:hAnsi="Arial"/>
          <w:sz w:val="17"/>
          <w:szCs w:val="17"/>
          <w:color w:val="auto"/>
        </w:rPr>
        <w:t xml:space="preserve"> or otherwise, the parties to the assignment shall make such additional payments to Administrative Agent in an aggregate amount sufficient, upon distribution thereof as appropriate (which may be outright payment, purchases by the assignee of participations or subparticipations, or other compensating actions, including funding, with the consent of Borrower and Administrative Agent, the Applicable Percentage of Loans previously requested but not funded by the Defaulting Lender, to each of which the applicable assignee and assignor hereby irrevocably consent), to (x) pay and satisfy in full all payment liabilities then owed by such Defaulting Lender to Administrative Agent, Issuing Bank, Swingline Lender and each Lender hereunder (and interest accrued thereon), and (y) acquire (and fund as appropriate) its full Applicable Percentage of all Loans and participations in Letters of Credit and Swingline Loans.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0780"/>
          </w:cols>
          <w:pgMar w:left="780" w:top="274" w:right="339" w:bottom="1440" w:gutter="0" w:footer="0" w:header="0"/>
        </w:sectPr>
      </w:pPr>
    </w:p>
    <w:bookmarkStart w:id="125" w:name="page126"/>
    <w:bookmarkEnd w:id="125"/>
    <w:p>
      <w:pPr>
        <w:ind w:right="60" w:firstLine="906"/>
        <w:spacing w:after="0" w:line="291" w:lineRule="auto"/>
        <w:tabs>
          <w:tab w:leader="none" w:pos="1143" w:val="left"/>
        </w:tabs>
        <w:numPr>
          <w:ilvl w:val="0"/>
          <w:numId w:val="16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Maintenance of Registers by Administrative Agent</w:t>
      </w:r>
      <w:r>
        <w:rPr>
          <w:rFonts w:ascii="Arial" w:cs="Arial" w:eastAsia="Arial" w:hAnsi="Arial"/>
          <w:sz w:val="16"/>
          <w:szCs w:val="16"/>
          <w:color w:val="auto"/>
        </w:rPr>
        <w:t>. The Administrative Agent, acting for this purpose as an agent of the Borrower, shall maintain at one of its offices in New York City a copy of each Assignment and Assumption delivered to it and a register for the recordation of the names and addresses of the Lenders, and the Commitments of, and principal amount (and stated interest) of the Loans and LC Disbursements owing to, each Lender pursuant to the terms hereof from time to time (the “</w:t>
      </w:r>
      <w:r>
        <w:rPr>
          <w:rFonts w:ascii="Arial" w:cs="Arial" w:eastAsia="Arial" w:hAnsi="Arial"/>
          <w:sz w:val="16"/>
          <w:szCs w:val="16"/>
          <w:u w:val="single" w:color="auto"/>
          <w:color w:val="auto"/>
        </w:rPr>
        <w:t>Registers</w:t>
      </w:r>
      <w:r>
        <w:rPr>
          <w:rFonts w:ascii="Arial" w:cs="Arial" w:eastAsia="Arial" w:hAnsi="Arial"/>
          <w:sz w:val="16"/>
          <w:szCs w:val="16"/>
          <w:color w:val="auto"/>
        </w:rPr>
        <w:t>” and each individually, a “</w:t>
      </w:r>
      <w:r>
        <w:rPr>
          <w:rFonts w:ascii="Arial" w:cs="Arial" w:eastAsia="Arial" w:hAnsi="Arial"/>
          <w:sz w:val="16"/>
          <w:szCs w:val="16"/>
          <w:u w:val="single" w:color="auto"/>
          <w:color w:val="auto"/>
        </w:rPr>
        <w:t>Register</w:t>
      </w:r>
      <w:r>
        <w:rPr>
          <w:rFonts w:ascii="Arial" w:cs="Arial" w:eastAsia="Arial" w:hAnsi="Arial"/>
          <w:sz w:val="16"/>
          <w:szCs w:val="16"/>
          <w:color w:val="auto"/>
        </w:rPr>
        <w:t>”). The entries in the Registers shall be conclusive absent manifest error, and the Borrower, the Administrative Agent, the Issuing Bank and the Lenders may treat each Person whose name is recorded in the Registers pursuant to the terms hereof as a Lender hereunder for all purposes of this Agreement, notwithstanding notice to the contrary. The Registers shall be available for inspection by the Borrower, the Issuing Bank and any Lender, at any reasonable time and from time to time upon reasonable prior notice.</w:t>
      </w:r>
    </w:p>
    <w:p>
      <w:pPr>
        <w:spacing w:after="0" w:line="166" w:lineRule="exact"/>
        <w:rPr>
          <w:rFonts w:ascii="Arial" w:cs="Arial" w:eastAsia="Arial" w:hAnsi="Arial"/>
          <w:sz w:val="16"/>
          <w:szCs w:val="16"/>
          <w:color w:val="auto"/>
        </w:rPr>
      </w:pPr>
    </w:p>
    <w:p>
      <w:pPr>
        <w:ind w:right="280" w:firstLine="906"/>
        <w:spacing w:after="0" w:line="296" w:lineRule="auto"/>
        <w:tabs>
          <w:tab w:leader="none" w:pos="1153" w:val="left"/>
        </w:tabs>
        <w:numPr>
          <w:ilvl w:val="0"/>
          <w:numId w:val="161"/>
        </w:numPr>
        <w:rPr>
          <w:rFonts w:ascii="Arial" w:cs="Arial" w:eastAsia="Arial" w:hAnsi="Arial"/>
          <w:sz w:val="16"/>
          <w:szCs w:val="16"/>
          <w:color w:val="auto"/>
        </w:rPr>
      </w:pPr>
      <w:r>
        <w:rPr>
          <w:rFonts w:ascii="Arial" w:cs="Arial" w:eastAsia="Arial" w:hAnsi="Arial"/>
          <w:sz w:val="16"/>
          <w:szCs w:val="16"/>
          <w:u w:val="single" w:color="auto"/>
          <w:color w:val="auto"/>
        </w:rPr>
        <w:t>Acceptance of Assignments by Administrative Agent</w:t>
      </w:r>
      <w:r>
        <w:rPr>
          <w:rFonts w:ascii="Arial" w:cs="Arial" w:eastAsia="Arial" w:hAnsi="Arial"/>
          <w:sz w:val="16"/>
          <w:szCs w:val="16"/>
          <w:color w:val="auto"/>
        </w:rPr>
        <w:t xml:space="preserve">. Upon its receipt of a duly completed Assignment and Assumption executed by an assigning Lender and an assignee, the assignee’s completed Administrative Questionnaire (unless the assignee shall already be a Lender hereunder), the processing and recordation fee referred to in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of this Section and any written consent to such assignment required by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of this Section,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61" w:lineRule="exact"/>
        <w:rPr>
          <w:rFonts w:ascii="Arial" w:cs="Arial" w:eastAsia="Arial" w:hAnsi="Arial"/>
          <w:sz w:val="16"/>
          <w:szCs w:val="16"/>
          <w:color w:val="auto"/>
        </w:rPr>
      </w:pPr>
    </w:p>
    <w:p>
      <w:pPr>
        <w:ind w:right="20" w:firstLine="906"/>
        <w:spacing w:after="0" w:line="269" w:lineRule="auto"/>
        <w:tabs>
          <w:tab w:leader="none" w:pos="1143" w:val="left"/>
        </w:tabs>
        <w:numPr>
          <w:ilvl w:val="0"/>
          <w:numId w:val="161"/>
        </w:numPr>
        <w:rPr>
          <w:rFonts w:ascii="Arial" w:cs="Arial" w:eastAsia="Arial" w:hAnsi="Arial"/>
          <w:sz w:val="17"/>
          <w:szCs w:val="17"/>
          <w:color w:val="auto"/>
        </w:rPr>
      </w:pPr>
      <w:r>
        <w:rPr>
          <w:rFonts w:ascii="Arial" w:cs="Arial" w:eastAsia="Arial" w:hAnsi="Arial"/>
          <w:sz w:val="17"/>
          <w:szCs w:val="17"/>
          <w:u w:val="single" w:color="auto"/>
          <w:color w:val="auto"/>
        </w:rPr>
        <w:t>Special Purposes Vehicles</w:t>
      </w:r>
      <w:r>
        <w:rPr>
          <w:rFonts w:ascii="Arial" w:cs="Arial" w:eastAsia="Arial" w:hAnsi="Arial"/>
          <w:sz w:val="17"/>
          <w:szCs w:val="17"/>
          <w:color w:val="auto"/>
        </w:rPr>
        <w:t>. Notwithstanding anything to the contrary contained herein, any Lender (a “</w:t>
      </w:r>
      <w:r>
        <w:rPr>
          <w:rFonts w:ascii="Arial" w:cs="Arial" w:eastAsia="Arial" w:hAnsi="Arial"/>
          <w:sz w:val="17"/>
          <w:szCs w:val="17"/>
          <w:u w:val="single" w:color="auto"/>
          <w:color w:val="auto"/>
        </w:rPr>
        <w:t>Granting Lender</w:t>
      </w:r>
      <w:r>
        <w:rPr>
          <w:rFonts w:ascii="Arial" w:cs="Arial" w:eastAsia="Arial" w:hAnsi="Arial"/>
          <w:sz w:val="17"/>
          <w:szCs w:val="17"/>
          <w:color w:val="auto"/>
        </w:rPr>
        <w:t>”) may grant to a special purpose funding vehicle (an “</w:t>
      </w:r>
      <w:r>
        <w:rPr>
          <w:rFonts w:ascii="Arial" w:cs="Arial" w:eastAsia="Arial" w:hAnsi="Arial"/>
          <w:sz w:val="17"/>
          <w:szCs w:val="17"/>
          <w:u w:val="single" w:color="auto"/>
          <w:color w:val="auto"/>
        </w:rPr>
        <w:t>SPC</w:t>
      </w:r>
      <w:r>
        <w:rPr>
          <w:rFonts w:ascii="Arial" w:cs="Arial" w:eastAsia="Arial" w:hAnsi="Arial"/>
          <w:sz w:val="17"/>
          <w:szCs w:val="17"/>
          <w:color w:val="auto"/>
        </w:rPr>
        <w:t xml:space="preserve">”) owned or administered by such Granting Lender, identified as such in writing from time to time by the Granting Lender to the Administrative Agent and the Borrower, the option to provide all or any part of any Loan that such Granting Lender would otherwise be obligated to make;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nothing herein shall constitute a commitment to make any Loan by any SPC, (ii) if an SPC elects not to exercise such option or otherwise fails to provide all or any part of such Loan, the Granting Lender shall, subject to the terms of this Agreement, make such Loan pursuant to the terms hereof, (iii) the rights of any such SPC shall be derivative of the rights of the Granting Lender, and such SPC shall be subject to all of the restrictions upon the Granting Lender herein contained, and (iv) no SPC shall be entitled to the benefits of </w:t>
      </w:r>
      <w:r>
        <w:rPr>
          <w:rFonts w:ascii="Arial" w:cs="Arial" w:eastAsia="Arial" w:hAnsi="Arial"/>
          <w:sz w:val="17"/>
          <w:szCs w:val="17"/>
          <w:u w:val="single" w:color="auto"/>
          <w:color w:val="auto"/>
        </w:rPr>
        <w:t>Sections 2.14</w:t>
      </w:r>
      <w:r>
        <w:rPr>
          <w:rFonts w:ascii="Arial" w:cs="Arial" w:eastAsia="Arial" w:hAnsi="Arial"/>
          <w:sz w:val="17"/>
          <w:szCs w:val="17"/>
          <w:color w:val="auto"/>
        </w:rPr>
        <w:t xml:space="preserve"> (or any other increased costs protection provision),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2.16</w:t>
      </w:r>
      <w:r>
        <w:rPr>
          <w:rFonts w:ascii="Arial" w:cs="Arial" w:eastAsia="Arial" w:hAnsi="Arial"/>
          <w:sz w:val="17"/>
          <w:szCs w:val="17"/>
          <w:color w:val="auto"/>
        </w:rPr>
        <w:t>. Each SPC shall be conclusively presumed to have made arrangements with its Granting Lender for the exercise of voting and other rights hereunder in a manner which is acceptable to the SPC, the Administrative Agent, the Lenders and the Borrower, and each of the Administrative Agent, the Lenders and the Obligors shall be entitled to rely upon and deal solely with the Granting Lender with respect to Loans made by or through its SPC. The making of a Loan by an SPC hereunder shall utilize the Commitment of the Granting Lender to the same extent, and as if, such Loan were made by the Granting Lender.</w:t>
      </w:r>
    </w:p>
    <w:p>
      <w:pPr>
        <w:spacing w:after="0" w:line="179" w:lineRule="exact"/>
        <w:rPr>
          <w:sz w:val="20"/>
          <w:szCs w:val="20"/>
          <w:color w:val="auto"/>
        </w:rPr>
      </w:pPr>
    </w:p>
    <w:p>
      <w:pPr>
        <w:ind w:right="200" w:firstLine="898"/>
        <w:spacing w:after="0" w:line="277" w:lineRule="auto"/>
        <w:rPr>
          <w:sz w:val="20"/>
          <w:szCs w:val="20"/>
          <w:color w:val="auto"/>
        </w:rPr>
      </w:pPr>
      <w:r>
        <w:rPr>
          <w:rFonts w:ascii="Arial" w:cs="Arial" w:eastAsia="Arial" w:hAnsi="Arial"/>
          <w:sz w:val="18"/>
          <w:szCs w:val="18"/>
          <w:color w:val="auto"/>
        </w:rPr>
        <w:t>Each party hereto hereby agrees (which agreement shall survive the termination of this Agreement) that, prior to the date that is one year and one day after the payment in full of all outstanding senior indebtedness of any SPC, it will not institute against, or</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40"/>
          </w:cols>
          <w:pgMar w:left="320" w:top="274" w:right="339" w:bottom="1440" w:gutter="0" w:footer="0" w:header="0"/>
        </w:sectPr>
      </w:pPr>
    </w:p>
    <w:bookmarkStart w:id="126" w:name="page127"/>
    <w:bookmarkEnd w:id="126"/>
    <w:p>
      <w:pPr>
        <w:ind w:right="1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join any other person in instituting against, such SPC, any bankruptcy, reorganization, arrangement, insolvency or liquidation proceedings or similar proceedings under the laws of the United States or any State thereof, in respect of claims arising out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Granting Lender for each SPC hereby agrees to indemnify, save and hold harmless each other party hereto for any loss, cost, damage and expense arising out of their inability to institute any such proceeding against its SPC. In addition, notwithstanding anything to the contrary contained in this Section, any SPC may</w:t>
      </w:r>
    </w:p>
    <w:p>
      <w:pPr>
        <w:spacing w:after="0" w:line="1" w:lineRule="exact"/>
        <w:rPr>
          <w:sz w:val="20"/>
          <w:szCs w:val="20"/>
          <w:color w:val="auto"/>
        </w:rPr>
      </w:pPr>
    </w:p>
    <w:p>
      <w:pPr>
        <w:ind w:right="20" w:firstLine="8"/>
        <w:spacing w:after="0" w:line="288" w:lineRule="auto"/>
        <w:tabs>
          <w:tab w:leader="none" w:pos="215" w:val="left"/>
        </w:tabs>
        <w:numPr>
          <w:ilvl w:val="0"/>
          <w:numId w:val="162"/>
        </w:numPr>
        <w:rPr>
          <w:rFonts w:ascii="Arial" w:cs="Arial" w:eastAsia="Arial" w:hAnsi="Arial"/>
          <w:sz w:val="16"/>
          <w:szCs w:val="16"/>
          <w:color w:val="auto"/>
        </w:rPr>
      </w:pPr>
      <w:r>
        <w:rPr>
          <w:rFonts w:ascii="Arial" w:cs="Arial" w:eastAsia="Arial" w:hAnsi="Arial"/>
          <w:sz w:val="16"/>
          <w:szCs w:val="16"/>
          <w:color w:val="auto"/>
        </w:rPr>
        <w:t xml:space="preserve">without the prior written consent of the Borrower and the Administrative Agent and without paying any processing fee therefor, assign all or a portion of its interests in any Loans to its Granting Lender or to any financial institutions providing liquidity and/or credit facilities to or for the account of such SPC to fund the Loans made by such SPC or to support the securities (if any) issued by such SPC to fund such Loans (but nothing contained herein shall be construed in derogation of the obligation of the Granting Lender to make Loans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neither the consent of the SPC or of any such assignee shall be required for amendments or waivers hereunder except for those amendments or waivers for which the consent of participants is required under </w:t>
      </w:r>
      <w:r>
        <w:rPr>
          <w:rFonts w:ascii="Arial" w:cs="Arial" w:eastAsia="Arial" w:hAnsi="Arial"/>
          <w:sz w:val="16"/>
          <w:szCs w:val="16"/>
          <w:u w:val="single" w:color="auto"/>
          <w:color w:val="auto"/>
        </w:rPr>
        <w:t>paragraph (f)</w:t>
      </w:r>
      <w:r>
        <w:rPr>
          <w:rFonts w:ascii="Arial" w:cs="Arial" w:eastAsia="Arial" w:hAnsi="Arial"/>
          <w:sz w:val="16"/>
          <w:szCs w:val="16"/>
          <w:color w:val="auto"/>
        </w:rPr>
        <w:t xml:space="preserve"> below, and (ii) disclose on a confidential basis (in the same manner described in </w:t>
      </w:r>
      <w:r>
        <w:rPr>
          <w:rFonts w:ascii="Arial" w:cs="Arial" w:eastAsia="Arial" w:hAnsi="Arial"/>
          <w:sz w:val="16"/>
          <w:szCs w:val="16"/>
          <w:u w:val="single" w:color="auto"/>
          <w:color w:val="auto"/>
        </w:rPr>
        <w:t>Section 9.13(b)</w:t>
      </w:r>
      <w:r>
        <w:rPr>
          <w:rFonts w:ascii="Arial" w:cs="Arial" w:eastAsia="Arial" w:hAnsi="Arial"/>
          <w:sz w:val="16"/>
          <w:szCs w:val="16"/>
          <w:color w:val="auto"/>
        </w:rPr>
        <w:t>) any non-public information relating to its Loans to any rating agency, commercial paper dealer or provider of a surety, guarantee or credit or liquidity enhancement to such SPC.</w:t>
      </w:r>
    </w:p>
    <w:p>
      <w:pPr>
        <w:spacing w:after="0" w:line="168" w:lineRule="exact"/>
        <w:rPr>
          <w:rFonts w:ascii="Arial" w:cs="Arial" w:eastAsia="Arial" w:hAnsi="Arial"/>
          <w:sz w:val="16"/>
          <w:szCs w:val="16"/>
          <w:color w:val="auto"/>
        </w:rPr>
      </w:pPr>
    </w:p>
    <w:p>
      <w:pPr>
        <w:ind w:right="20" w:firstLine="906"/>
        <w:spacing w:after="0" w:line="284" w:lineRule="auto"/>
        <w:tabs>
          <w:tab w:leader="none" w:pos="1123" w:val="left"/>
        </w:tabs>
        <w:numPr>
          <w:ilvl w:val="1"/>
          <w:numId w:val="162"/>
        </w:numPr>
        <w:rPr>
          <w:rFonts w:ascii="Arial" w:cs="Arial" w:eastAsia="Arial" w:hAnsi="Arial"/>
          <w:sz w:val="16"/>
          <w:szCs w:val="16"/>
          <w:color w:val="auto"/>
        </w:rPr>
      </w:pPr>
      <w:r>
        <w:rPr>
          <w:rFonts w:ascii="Arial" w:cs="Arial" w:eastAsia="Arial" w:hAnsi="Arial"/>
          <w:sz w:val="16"/>
          <w:szCs w:val="16"/>
          <w:u w:val="single" w:color="auto"/>
          <w:color w:val="auto"/>
        </w:rPr>
        <w:t>Participations</w:t>
      </w:r>
      <w:r>
        <w:rPr>
          <w:rFonts w:ascii="Arial" w:cs="Arial" w:eastAsia="Arial" w:hAnsi="Arial"/>
          <w:sz w:val="16"/>
          <w:szCs w:val="16"/>
          <w:color w:val="auto"/>
        </w:rPr>
        <w:t>. Any Lender may, with the consent of the Borrower (such consent not to be unreasonably withheld or delayed), sell participations to one or more banks or other entities (a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in all or a portion of such Lender’s rights and obligations under this Agreement and the other Loan Documents (including all or a portion of its Commitments and the Loans and LC Disbursements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consent of the Borrower shall not be required if such Participant does not have the right to receive any non-public information that may be provided pursuant to this Agreement (and the Lender selling such participation agrees with the Borrower at the time of the sale of such participation that it will not deliver such non-public information to the Participant), (ii) such Lender’s obligations under this Agreement and the other Loan Documents shall remain unchanged,</w:t>
      </w:r>
    </w:p>
    <w:p>
      <w:pPr>
        <w:spacing w:after="0" w:line="4" w:lineRule="exact"/>
        <w:rPr>
          <w:rFonts w:ascii="Arial" w:cs="Arial" w:eastAsia="Arial" w:hAnsi="Arial"/>
          <w:sz w:val="16"/>
          <w:szCs w:val="16"/>
          <w:color w:val="auto"/>
        </w:rPr>
      </w:pPr>
    </w:p>
    <w:p>
      <w:pPr>
        <w:ind w:right="60" w:firstLine="8"/>
        <w:spacing w:after="0" w:line="267" w:lineRule="auto"/>
        <w:tabs>
          <w:tab w:leader="none" w:pos="315" w:val="left"/>
        </w:tabs>
        <w:numPr>
          <w:ilvl w:val="0"/>
          <w:numId w:val="163"/>
        </w:numPr>
        <w:rPr>
          <w:rFonts w:ascii="Arial" w:cs="Arial" w:eastAsia="Arial" w:hAnsi="Arial"/>
          <w:sz w:val="17"/>
          <w:szCs w:val="17"/>
          <w:color w:val="auto"/>
        </w:rPr>
      </w:pPr>
      <w:r>
        <w:rPr>
          <w:rFonts w:ascii="Arial" w:cs="Arial" w:eastAsia="Arial" w:hAnsi="Arial"/>
          <w:sz w:val="17"/>
          <w:szCs w:val="17"/>
          <w:color w:val="auto"/>
        </w:rPr>
        <w:t xml:space="preserve">such Lender shall remain solely responsible to the other parties hereto for the performance of such obligations, (iv) the Borrower, the Administrative Agent, the Issuing Bank and the other Lenders shall continue to deal solely and directly with such Lender in connection with such Lender’s rights and obligations under this Agreement and the other Loan Documents and (v) no Person listed in the Prohibited Assignees and Participants Side Letter may be a Participant. Any agreement or instrument pursuant to which a Lender sells such a participation shall provide that such Lender shall retain the sole right to enforce this Agreement and the other Loan Documents and to approve any amendment, modification or waiver of any provision of this Agreement or any other Loan Document;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agreement or instrument may provide that such Lender will not, without the consent of the Participant, agree to any amendment, modification or waiver described in the first proviso to </w:t>
      </w:r>
      <w:r>
        <w:rPr>
          <w:rFonts w:ascii="Arial" w:cs="Arial" w:eastAsia="Arial" w:hAnsi="Arial"/>
          <w:sz w:val="17"/>
          <w:szCs w:val="17"/>
          <w:u w:val="single" w:color="auto"/>
          <w:color w:val="auto"/>
        </w:rPr>
        <w:t>Section 9.02(b)</w:t>
      </w:r>
      <w:r>
        <w:rPr>
          <w:rFonts w:ascii="Arial" w:cs="Arial" w:eastAsia="Arial" w:hAnsi="Arial"/>
          <w:sz w:val="17"/>
          <w:szCs w:val="17"/>
          <w:color w:val="auto"/>
        </w:rPr>
        <w:t xml:space="preserve"> that affects such Participant. Subject to </w:t>
      </w:r>
      <w:r>
        <w:rPr>
          <w:rFonts w:ascii="Arial" w:cs="Arial" w:eastAsia="Arial" w:hAnsi="Arial"/>
          <w:sz w:val="17"/>
          <w:szCs w:val="17"/>
          <w:u w:val="single" w:color="auto"/>
          <w:color w:val="auto"/>
        </w:rPr>
        <w:t>paragraph (g)</w:t>
      </w:r>
      <w:r>
        <w:rPr>
          <w:rFonts w:ascii="Arial" w:cs="Arial" w:eastAsia="Arial" w:hAnsi="Arial"/>
          <w:sz w:val="17"/>
          <w:szCs w:val="17"/>
          <w:color w:val="auto"/>
        </w:rPr>
        <w:t xml:space="preserve"> of this Section, the Borrower agrees that each Participant shall be entitled to the benefits of </w:t>
      </w:r>
      <w:r>
        <w:rPr>
          <w:rFonts w:ascii="Arial" w:cs="Arial" w:eastAsia="Arial" w:hAnsi="Arial"/>
          <w:sz w:val="17"/>
          <w:szCs w:val="17"/>
          <w:u w:val="single" w:color="auto"/>
          <w:color w:val="auto"/>
        </w:rPr>
        <w:t>Sections 2.14</w:t>
      </w:r>
      <w:r>
        <w:rPr>
          <w:rFonts w:ascii="Arial" w:cs="Arial" w:eastAsia="Arial" w:hAnsi="Arial"/>
          <w:sz w:val="17"/>
          <w:szCs w:val="17"/>
          <w:color w:val="auto"/>
        </w:rPr>
        <w:t xml:space="preserve">, </w:t>
      </w:r>
      <w:r>
        <w:rPr>
          <w:rFonts w:ascii="Arial" w:cs="Arial" w:eastAsia="Arial" w:hAnsi="Arial"/>
          <w:sz w:val="17"/>
          <w:szCs w:val="17"/>
          <w:u w:val="single" w:color="auto"/>
          <w:color w:val="auto"/>
        </w:rPr>
        <w:t>2.15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2.16</w:t>
      </w:r>
      <w:r>
        <w:rPr>
          <w:rFonts w:ascii="Arial" w:cs="Arial" w:eastAsia="Arial" w:hAnsi="Arial"/>
          <w:sz w:val="17"/>
          <w:szCs w:val="17"/>
          <w:color w:val="auto"/>
        </w:rPr>
        <w:t xml:space="preserve"> to the same extent as if it were a Lender and had acquired its interest by assignment pursuant to </w:t>
      </w:r>
      <w:r>
        <w:rPr>
          <w:rFonts w:ascii="Arial" w:cs="Arial" w:eastAsia="Arial" w:hAnsi="Arial"/>
          <w:sz w:val="17"/>
          <w:szCs w:val="17"/>
          <w:u w:val="single" w:color="auto"/>
          <w:color w:val="auto"/>
        </w:rPr>
        <w:t>paragraph (b)</w:t>
      </w:r>
      <w:r>
        <w:rPr>
          <w:rFonts w:ascii="Arial" w:cs="Arial" w:eastAsia="Arial" w:hAnsi="Arial"/>
          <w:sz w:val="17"/>
          <w:szCs w:val="17"/>
          <w:color w:val="auto"/>
        </w:rPr>
        <w:t xml:space="preserve"> of this Section;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Participant shall not be entitled to receive any greater payment under </w:t>
      </w:r>
      <w:r>
        <w:rPr>
          <w:rFonts w:ascii="Arial" w:cs="Arial" w:eastAsia="Arial" w:hAnsi="Arial"/>
          <w:sz w:val="17"/>
          <w:szCs w:val="17"/>
          <w:u w:val="single" w:color="auto"/>
          <w:color w:val="auto"/>
        </w:rPr>
        <w:t>Sections 2.14</w:t>
      </w:r>
      <w:r>
        <w:rPr>
          <w:rFonts w:ascii="Arial" w:cs="Arial" w:eastAsia="Arial" w:hAnsi="Arial"/>
          <w:sz w:val="17"/>
          <w:szCs w:val="17"/>
          <w:color w:val="auto"/>
        </w:rPr>
        <w:t xml:space="preserve">, </w:t>
      </w:r>
      <w:r>
        <w:rPr>
          <w:rFonts w:ascii="Arial" w:cs="Arial" w:eastAsia="Arial" w:hAnsi="Arial"/>
          <w:sz w:val="17"/>
          <w:szCs w:val="17"/>
          <w:u w:val="single" w:color="auto"/>
          <w:color w:val="auto"/>
        </w:rPr>
        <w:t>2.15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2.16</w:t>
      </w:r>
      <w:r>
        <w:rPr>
          <w:rFonts w:ascii="Arial" w:cs="Arial" w:eastAsia="Arial" w:hAnsi="Arial"/>
          <w:sz w:val="17"/>
          <w:szCs w:val="17"/>
          <w:color w:val="auto"/>
        </w:rPr>
        <w:t xml:space="preserve">, with respect to any participation, than its participating Lenders would have been entitled to receive, except to the extent such entitlement to receive a greater payment results from a Change in Law that occurs after the Participant acquired the applicable participation;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40"/>
          </w:cols>
          <w:pgMar w:left="320" w:top="274" w:right="339" w:bottom="1440" w:gutter="0" w:footer="0" w:header="0"/>
        </w:sectPr>
      </w:pPr>
    </w:p>
    <w:bookmarkStart w:id="127" w:name="page128"/>
    <w:bookmarkEnd w:id="127"/>
    <w:p>
      <w:pPr>
        <w:ind w:right="8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that no Participant shall be entitled to the benefits of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unless the Borrower is notified of the participation granted to such Participant and such Participant shall have complied with the requirements of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as if such Participant is a Lender. To the extent permitted by law, each Participant also shall be entitled to the benefits of </w:t>
      </w:r>
      <w:r>
        <w:rPr>
          <w:rFonts w:ascii="Arial" w:cs="Arial" w:eastAsia="Arial" w:hAnsi="Arial"/>
          <w:sz w:val="16"/>
          <w:szCs w:val="16"/>
          <w:u w:val="single" w:color="auto"/>
          <w:color w:val="auto"/>
        </w:rPr>
        <w:t>Section 9.08</w:t>
      </w:r>
      <w:r>
        <w:rPr>
          <w:rFonts w:ascii="Arial" w:cs="Arial" w:eastAsia="Arial" w:hAnsi="Arial"/>
          <w:sz w:val="16"/>
          <w:szCs w:val="16"/>
          <w:color w:val="auto"/>
        </w:rPr>
        <w:t xml:space="preserve"> as though it were a Lender; provided such Participant agrees to be subject to </w:t>
      </w:r>
      <w:r>
        <w:rPr>
          <w:rFonts w:ascii="Arial" w:cs="Arial" w:eastAsia="Arial" w:hAnsi="Arial"/>
          <w:sz w:val="16"/>
          <w:szCs w:val="16"/>
          <w:u w:val="single" w:color="auto"/>
          <w:color w:val="auto"/>
        </w:rPr>
        <w:t>Section 2.17(d)</w:t>
      </w:r>
      <w:r>
        <w:rPr>
          <w:rFonts w:ascii="Arial" w:cs="Arial" w:eastAsia="Arial" w:hAnsi="Arial"/>
          <w:sz w:val="16"/>
          <w:szCs w:val="16"/>
          <w:color w:val="auto"/>
        </w:rPr>
        <w:t xml:space="preserve"> as though it were a Lender hereunder. Each Lender that sells a participation shall, acting solely for this purpose as an agent of the Borrower, maintain a register on which it enters the name and address of each participant and the principal amounts (and stated interest of each Participant’s interest in the loans or other obligations under the Loan Documents (the “Participant Register”); provided that no Lender shall have any obligation to disclose all or any portion of the Participant Register (including the identity of any Participant or any other information relating to a Participant’s interest in any commitments, loans, letters of credit or is other obligations under any Loan Document) to any person except to the extent that such disclosures are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68" w:lineRule="exact"/>
        <w:rPr>
          <w:sz w:val="20"/>
          <w:szCs w:val="20"/>
          <w:color w:val="auto"/>
        </w:rPr>
      </w:pPr>
    </w:p>
    <w:p>
      <w:pPr>
        <w:ind w:firstLine="906"/>
        <w:spacing w:after="0" w:line="254" w:lineRule="auto"/>
        <w:tabs>
          <w:tab w:leader="none" w:pos="1153"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Limitations on Rights of Participants</w:t>
      </w:r>
      <w:r>
        <w:rPr>
          <w:rFonts w:ascii="Arial" w:cs="Arial" w:eastAsia="Arial" w:hAnsi="Arial"/>
          <w:sz w:val="18"/>
          <w:szCs w:val="18"/>
          <w:color w:val="auto"/>
        </w:rPr>
        <w:t xml:space="preserve">. A Participant shall not be entitled to receive any greater payment under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w:t>
      </w:r>
      <w:r>
        <w:rPr>
          <w:rFonts w:ascii="Arial" w:cs="Arial" w:eastAsia="Arial" w:hAnsi="Arial"/>
          <w:sz w:val="18"/>
          <w:szCs w:val="18"/>
          <w:u w:val="single" w:color="auto"/>
          <w:color w:val="auto"/>
        </w:rPr>
        <w:t>2.15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2.16</w:t>
      </w:r>
      <w:r>
        <w:rPr>
          <w:rFonts w:ascii="Arial" w:cs="Arial" w:eastAsia="Arial" w:hAnsi="Arial"/>
          <w:sz w:val="18"/>
          <w:szCs w:val="18"/>
          <w:color w:val="auto"/>
        </w:rPr>
        <w:t xml:space="preserve"> than the applicable Lender would have been entitled to receive with respect to the participation sold to such Participant, unless the sale of the participation to such Participant is made with the Borrower’s prior written consent. A Participant that would be a Foreign Lender if it were a Lender shall not be entitled to the benefits of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unless the Borrower is notified of the participation sold to such Participant and such Participant agrees, for the benefit of the Borrower, to comply with </w:t>
      </w:r>
      <w:r>
        <w:rPr>
          <w:rFonts w:ascii="Arial" w:cs="Arial" w:eastAsia="Arial" w:hAnsi="Arial"/>
          <w:sz w:val="18"/>
          <w:szCs w:val="18"/>
          <w:u w:val="single" w:color="auto"/>
          <w:color w:val="auto"/>
        </w:rPr>
        <w:t>paragraphs (e)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(f)</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as though it were a Lender and in the case of a Participant claiming exemption for portfolio interest under Section 871(h) or 881(c) of the Code, the applicable Lender shall provide the Borrower with satisfactory evidence that the participation is in registered form and shall permit the Borrower to review such register as reasonably needed for the Borrower to comply with its obligations under applicable laws and regulations.</w:t>
      </w:r>
    </w:p>
    <w:p>
      <w:pPr>
        <w:spacing w:after="0" w:line="191" w:lineRule="exact"/>
        <w:rPr>
          <w:rFonts w:ascii="Arial" w:cs="Arial" w:eastAsia="Arial" w:hAnsi="Arial"/>
          <w:sz w:val="18"/>
          <w:szCs w:val="18"/>
          <w:color w:val="auto"/>
        </w:rPr>
      </w:pPr>
    </w:p>
    <w:p>
      <w:pPr>
        <w:ind w:right="140" w:firstLine="906"/>
        <w:spacing w:after="0" w:line="301" w:lineRule="auto"/>
        <w:tabs>
          <w:tab w:leader="none" w:pos="1153" w:val="left"/>
        </w:tabs>
        <w:numPr>
          <w:ilvl w:val="0"/>
          <w:numId w:val="164"/>
        </w:numPr>
        <w:rPr>
          <w:rFonts w:ascii="Arial" w:cs="Arial" w:eastAsia="Arial" w:hAnsi="Arial"/>
          <w:sz w:val="16"/>
          <w:szCs w:val="16"/>
          <w:color w:val="auto"/>
        </w:rPr>
      </w:pPr>
      <w:r>
        <w:rPr>
          <w:rFonts w:ascii="Arial" w:cs="Arial" w:eastAsia="Arial" w:hAnsi="Arial"/>
          <w:sz w:val="16"/>
          <w:szCs w:val="16"/>
          <w:u w:val="single" w:color="auto"/>
          <w:color w:val="auto"/>
        </w:rPr>
        <w:t>Certain Pledges</w:t>
      </w:r>
      <w:r>
        <w:rPr>
          <w:rFonts w:ascii="Arial" w:cs="Arial" w:eastAsia="Arial" w:hAnsi="Arial"/>
          <w:sz w:val="16"/>
          <w:szCs w:val="16"/>
          <w:color w:val="auto"/>
        </w:rPr>
        <w:t xml:space="preserve">. Any Lender may at any time pledge or assign a security interest in all or any portion of its rights under this Agreement to secure obligations of such Lender, including any such pledge or assignment to a Federal Reserve Bank or any other central bank having jurisdiction over such Lender, and this Section shall not apply to any such pledge or assignment of a security interest;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pledge or assignment of a security interest shall release a Lender from any of its obligations hereunder or substitute any such assignee for such Lender as a party hereto.</w:t>
      </w:r>
    </w:p>
    <w:p>
      <w:pPr>
        <w:spacing w:after="0" w:line="157" w:lineRule="exact"/>
        <w:rPr>
          <w:rFonts w:ascii="Arial" w:cs="Arial" w:eastAsia="Arial" w:hAnsi="Arial"/>
          <w:sz w:val="16"/>
          <w:szCs w:val="16"/>
          <w:color w:val="auto"/>
        </w:rPr>
      </w:pPr>
    </w:p>
    <w:p>
      <w:pPr>
        <w:ind w:right="20" w:firstLine="906"/>
        <w:spacing w:after="0" w:line="263" w:lineRule="auto"/>
        <w:tabs>
          <w:tab w:leader="none" w:pos="1113"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No Assignments to the Borrower or Affiliates</w:t>
      </w:r>
      <w:r>
        <w:rPr>
          <w:rFonts w:ascii="Arial" w:cs="Arial" w:eastAsia="Arial" w:hAnsi="Arial"/>
          <w:sz w:val="18"/>
          <w:szCs w:val="18"/>
          <w:color w:val="auto"/>
        </w:rPr>
        <w:t>. Anything in this Section to the contrary notwithstanding, no Lender may assign or participate any interest in any Loan or LC Exposure held by it hereunder to the Borrower or any of its Affiliates or Subsidiaries without the prior consent of each Lender.</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40"/>
          </w:cols>
          <w:pgMar w:left="320" w:top="274" w:right="339" w:bottom="1440" w:gutter="0" w:footer="0" w:header="0"/>
        </w:sectPr>
      </w:pPr>
    </w:p>
    <w:bookmarkStart w:id="128" w:name="page129"/>
    <w:bookmarkEnd w:id="128"/>
    <w:p>
      <w:pPr>
        <w:ind w:right="80" w:firstLine="898"/>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9.05. </w:t>
      </w:r>
      <w:r>
        <w:rPr>
          <w:rFonts w:ascii="Arial" w:cs="Arial" w:eastAsia="Arial" w:hAnsi="Arial"/>
          <w:sz w:val="17"/>
          <w:szCs w:val="17"/>
          <w:u w:val="single" w:color="auto"/>
          <w:color w:val="auto"/>
        </w:rPr>
        <w:t>Survival</w:t>
      </w:r>
      <w:r>
        <w:rPr>
          <w:rFonts w:ascii="Arial" w:cs="Arial" w:eastAsia="Arial" w:hAnsi="Arial"/>
          <w:sz w:val="17"/>
          <w:szCs w:val="17"/>
          <w:color w:val="auto"/>
        </w:rPr>
        <w:t xml:space="preserve">. All covenants, agreements, representations and warranties made by the Borrower herein and in the certificates or other instruments delivered in connection with or pursuant to this Agreement shall be considered to have been relied upon by the other parties hereto and shall survive the execution and delivery of this Agreement and the making of any Loans and issuance of any Letters of Credit, regardless of any investigation made by any such other party or on its behalf and notwithstanding that the Administrative Agent, the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w:t>
      </w:r>
      <w:r>
        <w:rPr>
          <w:rFonts w:ascii="Arial" w:cs="Arial" w:eastAsia="Arial" w:hAnsi="Arial"/>
          <w:sz w:val="17"/>
          <w:szCs w:val="17"/>
          <w:u w:val="single" w:color="auto"/>
          <w:color w:val="auto"/>
        </w:rPr>
        <w:t>Sections 2.14</w:t>
      </w:r>
      <w:r>
        <w:rPr>
          <w:rFonts w:ascii="Arial" w:cs="Arial" w:eastAsia="Arial" w:hAnsi="Arial"/>
          <w:sz w:val="17"/>
          <w:szCs w:val="17"/>
          <w:color w:val="auto"/>
        </w:rPr>
        <w:t xml:space="preserve">, </w:t>
      </w:r>
      <w:r>
        <w:rPr>
          <w:rFonts w:ascii="Arial" w:cs="Arial" w:eastAsia="Arial" w:hAnsi="Arial"/>
          <w:sz w:val="17"/>
          <w:szCs w:val="17"/>
          <w:u w:val="single" w:color="auto"/>
          <w:color w:val="auto"/>
        </w:rPr>
        <w:t>2.15</w:t>
      </w:r>
      <w:r>
        <w:rPr>
          <w:rFonts w:ascii="Arial" w:cs="Arial" w:eastAsia="Arial" w:hAnsi="Arial"/>
          <w:sz w:val="17"/>
          <w:szCs w:val="17"/>
          <w:color w:val="auto"/>
        </w:rPr>
        <w:t xml:space="preserve">, </w:t>
      </w:r>
      <w:r>
        <w:rPr>
          <w:rFonts w:ascii="Arial" w:cs="Arial" w:eastAsia="Arial" w:hAnsi="Arial"/>
          <w:sz w:val="17"/>
          <w:szCs w:val="17"/>
          <w:u w:val="single" w:color="auto"/>
          <w:color w:val="auto"/>
        </w:rPr>
        <w:t>2.16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9.03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shall survive and remain in full force and effect regardless of the consummation of the transactions contemplated hereby, the repayment of the Loans, the expiration or termination, Cash Collateralization or backstop of the Letters of Credit and the Commitments or the termination of this Agreement or any provision hereof.</w:t>
      </w:r>
    </w:p>
    <w:p>
      <w:pPr>
        <w:spacing w:after="0" w:line="18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u w:val="single" w:color="auto"/>
          <w:color w:val="auto"/>
        </w:rPr>
        <w:t>Counterparts; Integration; Effectiveness; Electronic Execution</w:t>
      </w:r>
      <w:r>
        <w:rPr>
          <w:rFonts w:ascii="Arial" w:cs="Arial" w:eastAsia="Arial" w:hAnsi="Arial"/>
          <w:sz w:val="18"/>
          <w:szCs w:val="18"/>
          <w:color w:val="auto"/>
        </w:rPr>
        <w:t>.</w:t>
      </w:r>
    </w:p>
    <w:p>
      <w:pPr>
        <w:spacing w:after="0" w:line="225" w:lineRule="exact"/>
        <w:rPr>
          <w:sz w:val="20"/>
          <w:szCs w:val="20"/>
          <w:color w:val="auto"/>
        </w:rPr>
      </w:pPr>
    </w:p>
    <w:p>
      <w:pPr>
        <w:ind w:right="40" w:firstLine="906"/>
        <w:spacing w:after="0" w:line="253" w:lineRule="auto"/>
        <w:tabs>
          <w:tab w:leader="none" w:pos="1143"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Counterparts; Integration; Effectiveness</w:t>
      </w:r>
      <w:r>
        <w:rPr>
          <w:rFonts w:ascii="Arial" w:cs="Arial" w:eastAsia="Arial" w:hAnsi="Arial"/>
          <w:sz w:val="18"/>
          <w:szCs w:val="18"/>
          <w:color w:val="auto"/>
        </w:rPr>
        <w:t xml:space="preserve">. This Agreement may be executed in counterparts (and by different parties hereto on different counterparts), each of which shall constitute an original, but all of which when taken together shall constitute a single contract. This Agreement and any separate letter agreements with respect to fees payable to the Administrative Agent constitute the entire contract between and among the parties relating to the subject matter hereof and supersede any and all previous agreements and understandings, oral or written, relating to the subject matter hereof. Except as provided in </w:t>
      </w:r>
      <w:r>
        <w:rPr>
          <w:rFonts w:ascii="Arial" w:cs="Arial" w:eastAsia="Arial" w:hAnsi="Arial"/>
          <w:sz w:val="18"/>
          <w:szCs w:val="18"/>
          <w:u w:val="single" w:color="auto"/>
          <w:color w:val="auto"/>
        </w:rPr>
        <w:t>Section 4.01</w:t>
      </w:r>
      <w:r>
        <w:rPr>
          <w:rFonts w:ascii="Arial" w:cs="Arial" w:eastAsia="Arial" w:hAnsi="Arial"/>
          <w:sz w:val="18"/>
          <w:szCs w:val="18"/>
          <w:color w:val="auto"/>
        </w:rPr>
        <w:t>,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to this Agreement by telecopy electronically (e.g. pdf) shall be effective as delivery of a manually executed counterpart of this Agreement.</w:t>
      </w:r>
    </w:p>
    <w:p>
      <w:pPr>
        <w:spacing w:after="0" w:line="196" w:lineRule="exact"/>
        <w:rPr>
          <w:rFonts w:ascii="Arial" w:cs="Arial" w:eastAsia="Arial" w:hAnsi="Arial"/>
          <w:sz w:val="18"/>
          <w:szCs w:val="18"/>
          <w:color w:val="auto"/>
        </w:rPr>
      </w:pPr>
    </w:p>
    <w:p>
      <w:pPr>
        <w:ind w:right="280" w:firstLine="906"/>
        <w:spacing w:after="0" w:line="275" w:lineRule="auto"/>
        <w:tabs>
          <w:tab w:leader="none" w:pos="1153" w:val="left"/>
        </w:tabs>
        <w:numPr>
          <w:ilvl w:val="0"/>
          <w:numId w:val="165"/>
        </w:numPr>
        <w:rPr>
          <w:rFonts w:ascii="Arial" w:cs="Arial" w:eastAsia="Arial" w:hAnsi="Arial"/>
          <w:sz w:val="17"/>
          <w:szCs w:val="17"/>
          <w:color w:val="auto"/>
        </w:rPr>
      </w:pPr>
      <w:r>
        <w:rPr>
          <w:rFonts w:ascii="Arial" w:cs="Arial" w:eastAsia="Arial" w:hAnsi="Arial"/>
          <w:sz w:val="17"/>
          <w:szCs w:val="17"/>
          <w:u w:val="single" w:color="auto"/>
          <w:color w:val="auto"/>
        </w:rPr>
        <w:t>Electronic Execution of Assignments</w:t>
      </w:r>
      <w:r>
        <w:rPr>
          <w:rFonts w:ascii="Arial" w:cs="Arial" w:eastAsia="Arial" w:hAnsi="Arial"/>
          <w:sz w:val="17"/>
          <w:szCs w:val="17"/>
          <w:color w:val="auto"/>
        </w:rPr>
        <w:t>. 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76" w:lineRule="exact"/>
        <w:rPr>
          <w:sz w:val="20"/>
          <w:szCs w:val="20"/>
          <w:color w:val="auto"/>
        </w:rPr>
      </w:pPr>
    </w:p>
    <w:p>
      <w:pPr>
        <w:ind w:right="140" w:firstLine="898"/>
        <w:spacing w:after="0" w:line="259" w:lineRule="auto"/>
        <w:rPr>
          <w:sz w:val="20"/>
          <w:szCs w:val="20"/>
          <w:color w:val="auto"/>
        </w:rPr>
      </w:pPr>
      <w:r>
        <w:rPr>
          <w:rFonts w:ascii="Arial" w:cs="Arial" w:eastAsia="Arial" w:hAnsi="Arial"/>
          <w:sz w:val="18"/>
          <w:szCs w:val="18"/>
          <w:color w:val="auto"/>
        </w:rPr>
        <w:t xml:space="preserve">SECTION 9.07.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40"/>
          </w:cols>
          <w:pgMar w:left="320" w:top="274" w:right="339" w:bottom="1440" w:gutter="0" w:footer="0" w:header="0"/>
        </w:sectPr>
      </w:pPr>
    </w:p>
    <w:bookmarkStart w:id="129" w:name="page130"/>
    <w:bookmarkEnd w:id="129"/>
    <w:p>
      <w:pPr>
        <w:ind w:firstLine="898"/>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9.08. </w:t>
      </w:r>
      <w:r>
        <w:rPr>
          <w:rFonts w:ascii="Arial" w:cs="Arial" w:eastAsia="Arial" w:hAnsi="Arial"/>
          <w:sz w:val="17"/>
          <w:szCs w:val="17"/>
          <w:u w:val="single" w:color="auto"/>
          <w:color w:val="auto"/>
        </w:rPr>
        <w:t>Right of Setoff</w:t>
      </w:r>
      <w:r>
        <w:rPr>
          <w:rFonts w:ascii="Arial" w:cs="Arial" w:eastAsia="Arial" w:hAnsi="Arial"/>
          <w:sz w:val="17"/>
          <w:szCs w:val="17"/>
          <w:color w:val="auto"/>
        </w:rPr>
        <w:t xml:space="preserve">.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at any time held and other obligations at any time owing by such Lender or Affiliate to or for the credit or the account of the Borrower against any of and all the obligations of the Borrower now or hereafter existing under this Agreement held by such Lender, irrespective of whether or not such Lender shall have made any demand under this Agreement and although such obligations may be unmatured;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event that any Defaulting Lender shall exercise any such right of setoff, (x) all amounts so set off shall be paid over immediately to Administrative Agent for further application in accordance with the provisions of </w:t>
      </w:r>
      <w:r>
        <w:rPr>
          <w:rFonts w:ascii="Arial" w:cs="Arial" w:eastAsia="Arial" w:hAnsi="Arial"/>
          <w:sz w:val="17"/>
          <w:szCs w:val="17"/>
          <w:u w:val="single" w:color="auto"/>
          <w:color w:val="auto"/>
        </w:rPr>
        <w:t>Sections 2.17(d)</w:t>
      </w:r>
      <w:r>
        <w:rPr>
          <w:rFonts w:ascii="Arial" w:cs="Arial" w:eastAsia="Arial" w:hAnsi="Arial"/>
          <w:sz w:val="17"/>
          <w:szCs w:val="17"/>
          <w:color w:val="auto"/>
        </w:rPr>
        <w:t xml:space="preserve"> and, pending such payment, shall be segregated by such Defaulting Lender from its other funds and deemed held in trust for the benefit of Administrative Agent, the Issuing Bank, and the Lenders, and (y) the Defaulting Lender shall provide promptly to Administrative Agent a statement describing in reasonable detail the amounts owing to such Defaulting Lender hereunder as to which it exercised such right of setoff. The rights of each Lender under this Section are in addition to other rights and remedies (including other rights of setoff) which such Lender may have.</w:t>
      </w:r>
    </w:p>
    <w:p>
      <w:pPr>
        <w:spacing w:after="0" w:line="18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9.09. </w:t>
      </w:r>
      <w:r>
        <w:rPr>
          <w:rFonts w:ascii="Arial" w:cs="Arial" w:eastAsia="Arial" w:hAnsi="Arial"/>
          <w:sz w:val="18"/>
          <w:szCs w:val="18"/>
          <w:u w:val="single" w:color="auto"/>
          <w:color w:val="auto"/>
        </w:rPr>
        <w:t>Governing Law; Jurisdiction; Etc</w:t>
      </w:r>
      <w:r>
        <w:rPr>
          <w:rFonts w:ascii="Arial" w:cs="Arial" w:eastAsia="Arial" w:hAnsi="Arial"/>
          <w:sz w:val="18"/>
          <w:szCs w:val="18"/>
          <w:color w:val="auto"/>
        </w:rPr>
        <w:t>.</w:t>
      </w:r>
    </w:p>
    <w:p>
      <w:pPr>
        <w:spacing w:after="0" w:line="225" w:lineRule="exact"/>
        <w:rPr>
          <w:sz w:val="20"/>
          <w:szCs w:val="20"/>
          <w:color w:val="auto"/>
        </w:rPr>
      </w:pPr>
    </w:p>
    <w:p>
      <w:pPr>
        <w:ind w:left="1160" w:hanging="254"/>
        <w:spacing w:after="0"/>
        <w:tabs>
          <w:tab w:leader="none" w:pos="1160"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construed in accordance with and governed by the law of the State of New York.</w:t>
      </w:r>
    </w:p>
    <w:p>
      <w:pPr>
        <w:spacing w:after="0" w:line="225" w:lineRule="exact"/>
        <w:rPr>
          <w:rFonts w:ascii="Arial" w:cs="Arial" w:eastAsia="Arial" w:hAnsi="Arial"/>
          <w:sz w:val="18"/>
          <w:szCs w:val="18"/>
          <w:color w:val="auto"/>
        </w:rPr>
      </w:pPr>
    </w:p>
    <w:p>
      <w:pPr>
        <w:ind w:right="140" w:firstLine="906"/>
        <w:spacing w:after="0" w:line="253" w:lineRule="auto"/>
        <w:tabs>
          <w:tab w:leader="none" w:pos="1153"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Submission to Jurisdiction</w:t>
      </w:r>
      <w:r>
        <w:rPr>
          <w:rFonts w:ascii="Arial" w:cs="Arial" w:eastAsia="Arial" w:hAnsi="Arial"/>
          <w:sz w:val="18"/>
          <w:szCs w:val="18"/>
          <w:color w:val="auto"/>
        </w:rPr>
        <w:t>. The Borrower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this Agreement and any Loan Document,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shall affect any right that the Administrative Agent, the Issuing Bank or any Lender may otherwise have to bring any action or proceeding relating to this Agreement against the Borrower or its properties in the courts of any jurisdiction.</w:t>
      </w:r>
    </w:p>
    <w:p>
      <w:pPr>
        <w:spacing w:after="0" w:line="196" w:lineRule="exact"/>
        <w:rPr>
          <w:rFonts w:ascii="Arial" w:cs="Arial" w:eastAsia="Arial" w:hAnsi="Arial"/>
          <w:sz w:val="18"/>
          <w:szCs w:val="18"/>
          <w:color w:val="auto"/>
        </w:rPr>
      </w:pPr>
    </w:p>
    <w:p>
      <w:pPr>
        <w:ind w:right="40" w:firstLine="906"/>
        <w:spacing w:after="0" w:line="259" w:lineRule="auto"/>
        <w:tabs>
          <w:tab w:leader="none" w:pos="1143"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Waiver of Venue</w:t>
      </w:r>
      <w:r>
        <w:rPr>
          <w:rFonts w:ascii="Arial" w:cs="Arial" w:eastAsia="Arial" w:hAnsi="Arial"/>
          <w:sz w:val="18"/>
          <w:szCs w:val="18"/>
          <w:color w:val="auto"/>
        </w:rPr>
        <w:t xml:space="preserve">. The Borrower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of this Section. Each of the parties hereto hereby irrevocably waives, to the fullest extent permitted by law, the defense of an inconvenient forum to the maintenance of such action or proceeding in any such court.</w:t>
      </w:r>
    </w:p>
    <w:p>
      <w:pPr>
        <w:spacing w:after="0" w:line="186" w:lineRule="exact"/>
        <w:rPr>
          <w:rFonts w:ascii="Arial" w:cs="Arial" w:eastAsia="Arial" w:hAnsi="Arial"/>
          <w:sz w:val="18"/>
          <w:szCs w:val="18"/>
          <w:color w:val="auto"/>
        </w:rPr>
      </w:pPr>
    </w:p>
    <w:p>
      <w:pPr>
        <w:ind w:right="580" w:firstLine="906"/>
        <w:spacing w:after="0" w:line="277" w:lineRule="auto"/>
        <w:tabs>
          <w:tab w:leader="none" w:pos="1153"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Service of Process</w:t>
      </w:r>
      <w:r>
        <w:rPr>
          <w:rFonts w:ascii="Arial" w:cs="Arial" w:eastAsia="Arial" w:hAnsi="Arial"/>
          <w:sz w:val="18"/>
          <w:szCs w:val="18"/>
          <w:color w:val="auto"/>
        </w:rPr>
        <w:t xml:space="preserve">. Each party to this Agreement (i) irrevocably consents to service of process in the manner provided for notices in </w:t>
      </w:r>
      <w:r>
        <w:rPr>
          <w:rFonts w:ascii="Arial" w:cs="Arial" w:eastAsia="Arial" w:hAnsi="Arial"/>
          <w:sz w:val="18"/>
          <w:szCs w:val="18"/>
          <w:u w:val="single" w:color="auto"/>
          <w:color w:val="auto"/>
        </w:rPr>
        <w:t>Section 9.01</w:t>
      </w:r>
      <w:r>
        <w:rPr>
          <w:rFonts w:ascii="Arial" w:cs="Arial" w:eastAsia="Arial" w:hAnsi="Arial"/>
          <w:sz w:val="18"/>
          <w:szCs w:val="18"/>
          <w:color w:val="auto"/>
        </w:rPr>
        <w:t xml:space="preserve"> and (ii) agrees that service as provided in the manner provided for notices in </w:t>
      </w:r>
      <w:r>
        <w:rPr>
          <w:rFonts w:ascii="Arial" w:cs="Arial" w:eastAsia="Arial" w:hAnsi="Arial"/>
          <w:sz w:val="18"/>
          <w:szCs w:val="18"/>
          <w:u w:val="single" w:color="auto"/>
          <w:color w:val="auto"/>
        </w:rPr>
        <w:t>Section 9.01</w:t>
      </w:r>
      <w:r>
        <w:rPr>
          <w:rFonts w:ascii="Arial" w:cs="Arial" w:eastAsia="Arial" w:hAnsi="Arial"/>
          <w:sz w:val="18"/>
          <w:szCs w:val="18"/>
          <w:color w:val="auto"/>
        </w:rPr>
        <w:t xml:space="preserve"> is sufficient to</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40"/>
          </w:cols>
          <w:pgMar w:left="320" w:top="274" w:right="339" w:bottom="1440" w:gutter="0" w:footer="0" w:header="0"/>
        </w:sectPr>
      </w:pPr>
    </w:p>
    <w:bookmarkStart w:id="130" w:name="page131"/>
    <w:bookmarkEnd w:id="130"/>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confer personal jurisdiction over such party in any proceeding in any court and otherwise constitutes effective and binding service in every respect. Nothing in this Agreement will affect the right of any party to this Agreement to serve process in any other manner permitted by law.</w:t>
      </w:r>
    </w:p>
    <w:p>
      <w:pPr>
        <w:spacing w:after="0" w:line="170" w:lineRule="exact"/>
        <w:rPr>
          <w:sz w:val="20"/>
          <w:szCs w:val="20"/>
          <w:color w:val="auto"/>
        </w:rPr>
      </w:pPr>
    </w:p>
    <w:p>
      <w:pPr>
        <w:ind w:right="40" w:firstLine="898"/>
        <w:spacing w:after="0" w:line="254" w:lineRule="auto"/>
        <w:rPr>
          <w:sz w:val="20"/>
          <w:szCs w:val="20"/>
          <w:color w:val="auto"/>
        </w:rPr>
      </w:pPr>
      <w:r>
        <w:rPr>
          <w:rFonts w:ascii="Arial" w:cs="Arial" w:eastAsia="Arial" w:hAnsi="Arial"/>
          <w:sz w:val="18"/>
          <w:szCs w:val="18"/>
          <w:color w:val="auto"/>
        </w:rPr>
        <w:t xml:space="preserve">SECTION 9.10.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PARTY HERETO HEREBY WAIVES, TO THE FULLEST EXTENT PERMITTED BY APPLICABLE LAW, ANY RIGHT IT MAY HAVE TO A TRIAL BY JURY IN ANY LEGAL PROCEEDING DIRECTLY OR INDIRECTLY ARISING OUT OF OR RELATING TO THIS AGREEMENT, ANY LOAN DOCUMENT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92" w:lineRule="exact"/>
        <w:rPr>
          <w:sz w:val="20"/>
          <w:szCs w:val="20"/>
          <w:color w:val="auto"/>
        </w:rPr>
      </w:pPr>
    </w:p>
    <w:p>
      <w:pPr>
        <w:ind w:right="20" w:firstLine="898"/>
        <w:spacing w:after="0" w:line="285" w:lineRule="auto"/>
        <w:rPr>
          <w:sz w:val="20"/>
          <w:szCs w:val="20"/>
          <w:color w:val="auto"/>
        </w:rPr>
      </w:pPr>
      <w:r>
        <w:rPr>
          <w:rFonts w:ascii="Arial" w:cs="Arial" w:eastAsia="Arial" w:hAnsi="Arial"/>
          <w:sz w:val="16"/>
          <w:szCs w:val="16"/>
          <w:color w:val="auto"/>
        </w:rPr>
        <w:t xml:space="preserve">SECTION 9.11. </w:t>
      </w:r>
      <w:r>
        <w:rPr>
          <w:rFonts w:ascii="Arial" w:cs="Arial" w:eastAsia="Arial" w:hAnsi="Arial"/>
          <w:sz w:val="16"/>
          <w:szCs w:val="16"/>
          <w:u w:val="single" w:color="auto"/>
          <w:color w:val="auto"/>
        </w:rPr>
        <w:t>Judgment Currency</w:t>
      </w:r>
      <w:r>
        <w:rPr>
          <w:rFonts w:ascii="Arial" w:cs="Arial" w:eastAsia="Arial" w:hAnsi="Arial"/>
          <w:sz w:val="16"/>
          <w:szCs w:val="16"/>
          <w:color w:val="auto"/>
        </w:rPr>
        <w:t>. This is an international loan transaction in which the specification of Dollars or any Foreign Currency, as the case may be (the “</w:t>
      </w:r>
      <w:r>
        <w:rPr>
          <w:rFonts w:ascii="Arial" w:cs="Arial" w:eastAsia="Arial" w:hAnsi="Arial"/>
          <w:sz w:val="16"/>
          <w:szCs w:val="16"/>
          <w:u w:val="single" w:color="auto"/>
          <w:color w:val="auto"/>
        </w:rPr>
        <w:t>Specified Currency</w:t>
      </w:r>
      <w:r>
        <w:rPr>
          <w:rFonts w:ascii="Arial" w:cs="Arial" w:eastAsia="Arial" w:hAnsi="Arial"/>
          <w:sz w:val="16"/>
          <w:szCs w:val="16"/>
          <w:color w:val="auto"/>
        </w:rPr>
        <w:t>”), and payment in New York City or the country of the Specified Currency, as the case may be (the “</w:t>
      </w:r>
      <w:r>
        <w:rPr>
          <w:rFonts w:ascii="Arial" w:cs="Arial" w:eastAsia="Arial" w:hAnsi="Arial"/>
          <w:sz w:val="16"/>
          <w:szCs w:val="16"/>
          <w:u w:val="single" w:color="auto"/>
          <w:color w:val="auto"/>
        </w:rPr>
        <w:t>Specified</w:t>
      </w:r>
      <w:r>
        <w:rPr>
          <w:rFonts w:ascii="Arial" w:cs="Arial" w:eastAsia="Arial" w:hAnsi="Arial"/>
          <w:sz w:val="16"/>
          <w:szCs w:val="16"/>
          <w:color w:val="auto"/>
        </w:rPr>
        <w:t xml:space="preserve"> </w:t>
      </w:r>
      <w:r>
        <w:rPr>
          <w:rFonts w:ascii="Arial" w:cs="Arial" w:eastAsia="Arial" w:hAnsi="Arial"/>
          <w:sz w:val="16"/>
          <w:szCs w:val="16"/>
          <w:u w:val="single" w:color="auto"/>
          <w:color w:val="auto"/>
        </w:rPr>
        <w:t>Place</w:t>
      </w:r>
      <w:r>
        <w:rPr>
          <w:rFonts w:ascii="Arial" w:cs="Arial" w:eastAsia="Arial" w:hAnsi="Arial"/>
          <w:sz w:val="16"/>
          <w:szCs w:val="16"/>
          <w:color w:val="auto"/>
        </w:rPr>
        <w:t>”), is of the essence, and the Specified Currency shall be the currency of account in all events relating to Loans denominated in the Specified Currency. The payment obligations of the Borrower under this Agreement shall not be discharged or satisfied by an amount paid in another currency or in another place, whether pursuant to a judgment or otherwise, to the extent that the amount so paid on conversion to the Specified Currency and transfer to the Specified Place under normal banking procedures does not yield the amount of the Specified Currency at the Specified Place due hereunder. If for the purpose of obtaining judgment in any court it is necessary to convert a sum due hereunder in the Specified Currency into another currency (the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w:t>
      </w:r>
      <w:r>
        <w:rPr>
          <w:rFonts w:ascii="Arial" w:cs="Arial" w:eastAsia="Arial" w:hAnsi="Arial"/>
          <w:sz w:val="16"/>
          <w:szCs w:val="16"/>
          <w:u w:val="single" w:color="auto"/>
          <w:color w:val="auto"/>
        </w:rPr>
        <w:t>Currency</w:t>
      </w:r>
      <w:r>
        <w:rPr>
          <w:rFonts w:ascii="Arial" w:cs="Arial" w:eastAsia="Arial" w:hAnsi="Arial"/>
          <w:sz w:val="16"/>
          <w:szCs w:val="16"/>
          <w:color w:val="auto"/>
        </w:rPr>
        <w:t>”), the rate of exchange that shall be applied shall be the rate at which in accordance with normal banking procedures the Administrative Agent could purchase the Specified Currency with the Second Currency on the Business Day next preceding the day on which such judgment is rendered. The obligation of the Borrower in respect of any such sum due from it to the Administrative Agent or any Lender hereunder or under any other Loan Document (in this Section called an “</w:t>
      </w:r>
      <w:r>
        <w:rPr>
          <w:rFonts w:ascii="Arial" w:cs="Arial" w:eastAsia="Arial" w:hAnsi="Arial"/>
          <w:sz w:val="16"/>
          <w:szCs w:val="16"/>
          <w:u w:val="single" w:color="auto"/>
          <w:color w:val="auto"/>
        </w:rPr>
        <w:t>Entitled Person</w:t>
      </w:r>
      <w:r>
        <w:rPr>
          <w:rFonts w:ascii="Arial" w:cs="Arial" w:eastAsia="Arial" w:hAnsi="Arial"/>
          <w:sz w:val="16"/>
          <w:szCs w:val="16"/>
          <w:color w:val="auto"/>
        </w:rPr>
        <w:t>”) shall, notwithstanding the rate of exchange actually applied in rendering such judgment be discharged only to the extent that on the Business Day following receipt by such Entitled Person of any sum adjudged to be due hereunder in the Second Currency such Entitled Person may in accordance with normal banking procedures purchase and transfer to the Specified Place the Specified Currency with the amount of the Second Currency so adjudged to be due; and the Borrower hereby, as a separate obligation and notwithstanding any such judgment, agrees to indemnify such Entitled Person against, and to pay such Entitled Person on demand, in the Specified Currency, the amount (if any) by which the sum originally due to such Entitled Person in the Specified Currency hereunder exceeds the amount of the Specified Currency so purchased and transferred.</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40"/>
          </w:cols>
          <w:pgMar w:left="320" w:top="274" w:right="339" w:bottom="1440" w:gutter="0" w:footer="0" w:header="0"/>
        </w:sectPr>
      </w:pPr>
    </w:p>
    <w:bookmarkStart w:id="131" w:name="page132"/>
    <w:bookmarkEnd w:id="131"/>
    <w:p>
      <w:pPr>
        <w:ind w:right="220" w:firstLine="898"/>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9.12. </w:t>
      </w:r>
      <w:r>
        <w:rPr>
          <w:rFonts w:ascii="Arial" w:cs="Arial" w:eastAsia="Arial" w:hAnsi="Arial"/>
          <w:sz w:val="17"/>
          <w:szCs w:val="17"/>
          <w:u w:val="single" w:color="auto"/>
          <w:color w:val="auto"/>
        </w:rPr>
        <w:t>Headings</w:t>
      </w:r>
      <w:r>
        <w:rPr>
          <w:rFonts w:ascii="Arial" w:cs="Arial" w:eastAsia="Arial" w:hAnsi="Arial"/>
          <w:sz w:val="17"/>
          <w:szCs w:val="17"/>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4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9.13. </w:t>
      </w:r>
      <w:r>
        <w:rPr>
          <w:rFonts w:ascii="Arial" w:cs="Arial" w:eastAsia="Arial" w:hAnsi="Arial"/>
          <w:sz w:val="18"/>
          <w:szCs w:val="18"/>
          <w:u w:val="single" w:color="auto"/>
          <w:color w:val="auto"/>
        </w:rPr>
        <w:t>Treatment of Certain Information; No Fiduciary Duty; Confidentiality</w:t>
      </w:r>
      <w:r>
        <w:rPr>
          <w:rFonts w:ascii="Arial" w:cs="Arial" w:eastAsia="Arial" w:hAnsi="Arial"/>
          <w:sz w:val="18"/>
          <w:szCs w:val="18"/>
          <w:color w:val="auto"/>
        </w:rPr>
        <w:t>.</w:t>
      </w:r>
    </w:p>
    <w:p>
      <w:pPr>
        <w:spacing w:after="0" w:line="225" w:lineRule="exact"/>
        <w:rPr>
          <w:sz w:val="20"/>
          <w:szCs w:val="20"/>
          <w:color w:val="auto"/>
        </w:rPr>
      </w:pPr>
    </w:p>
    <w:p>
      <w:pPr>
        <w:ind w:firstLine="906"/>
        <w:spacing w:after="0" w:line="284" w:lineRule="auto"/>
        <w:tabs>
          <w:tab w:leader="none" w:pos="1143" w:val="left"/>
        </w:tabs>
        <w:numPr>
          <w:ilvl w:val="0"/>
          <w:numId w:val="167"/>
        </w:numPr>
        <w:rPr>
          <w:rFonts w:ascii="Arial" w:cs="Arial" w:eastAsia="Arial" w:hAnsi="Arial"/>
          <w:sz w:val="16"/>
          <w:szCs w:val="16"/>
          <w:color w:val="auto"/>
        </w:rPr>
      </w:pPr>
      <w:r>
        <w:rPr>
          <w:rFonts w:ascii="Arial" w:cs="Arial" w:eastAsia="Arial" w:hAnsi="Arial"/>
          <w:sz w:val="16"/>
          <w:szCs w:val="16"/>
          <w:u w:val="single" w:color="auto"/>
          <w:color w:val="auto"/>
        </w:rPr>
        <w:t>Treatment of Certain Information</w:t>
      </w:r>
      <w:r>
        <w:rPr>
          <w:rFonts w:ascii="Arial" w:cs="Arial" w:eastAsia="Arial" w:hAnsi="Arial"/>
          <w:sz w:val="16"/>
          <w:szCs w:val="16"/>
          <w:color w:val="auto"/>
        </w:rPr>
        <w:t xml:space="preserve">. The Borrower acknowledges that from time to time financial advisory, investment banking and other services may be offered or provided to the Borrower or one or more of its Subsidiaries (in connection with this Agreement or otherwise) by any Lender or by one or more subsidiaries or affiliates of such Lender and the Borrower hereby authorizes each Lender to share any information delivered to such Lender by the Borrower and its Subsidiaries pursuant to this Agreement, or in connection with the decision of such Lender to enter into this Agreement, to any such subsidiary or affiliate, it being understood that any such subsidiary or affiliate receiving such information shall be bound by the provisions of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of this Section as if it were a Lender hereunder. Such authorization shall survive the repayment of the Loans, the expiration or termination of the Letters of Credit and the Commitments or the termination of this Agreement or any provision hereof. Each Lender shall use all information delivered to such Lender by the Borrower and its Subsidiaries pursuant to this Agreement, or in connection with the decision of such Lender to enter into this Agreement, in connection with providing services to the Borrower. The Administrative Agent, each Lender and their Affiliates (collectively, solely for purposes of this paragraph, the “Lenders”), may have economic interests that conflict with those of the Borrower or any of its Subsidiaries, their stockholders and/or their affiliates. The Borrower, on behalf of itself and each of its Subsidiaries, agrees that nothing in the Loan Documents or otherwise will be deemed to create an advisory, fiduciary or agency relationship or fiduciary or other implied duty between any Lender, on the one hand, and the Borrower or any of its Subsidiaries, its stockholders or its affiliates, on the other. The Borrower and each of its Subsidiaries each acknowledge and agree that (i) the transactions contemplated by the Loan Documents (including the exercise of rights and remedies hereunder and thereunder) are arm’s-length commercial transactions between the Lenders, on the one hand, and the Borrower and its Subsidiaries, on the other, and (ii) in connection therewith and with the process leading thereto, (x) no Lender has assumed an advisory or fiduciary responsibility in favor of the Borrower or any of its Subsidiaries, any of their stockholders or affiliates with respect to the transactions contemplated hereby (or the exercise of rights or remedies with respect thereto) or the process leading thereto (irrespective of whether any Lender has advised, is currently advising or will advise the Borrower or any of its Subsidiaries, their stockholders or their affiliates on other matters) or any other obligation to the Borrower or any of its Subsidiaries except the obligations expressly set forth in the Loan Documents and (y) each Lender is acting solely as principal and not as the agent or fiduciary of the Borrower or any of its Subsidiaries, their management, stockholders, creditors or any other Person. The Borrower and each of its Subsidiaries each acknowledge and agree that it has consulted its own legal and financial advisors to the extent it deemed appropriate and that it is responsible for making its own independent judgment with respect to such transactions and the process leading thereto. The Borrower and each of its Subsidiaries each agree that it will not claim that any Lender has rendered advisory services of any nature or respect, or owes a fiduciary or similar duty to the Borrower or any of its Subsidiaries, in connection with such transaction or the process leading thereto.</w:t>
      </w:r>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40"/>
          </w:cols>
          <w:pgMar w:left="320" w:top="274" w:right="339" w:bottom="1440" w:gutter="0" w:footer="0" w:header="0"/>
        </w:sectPr>
      </w:pPr>
    </w:p>
    <w:bookmarkStart w:id="132" w:name="page133"/>
    <w:bookmarkEnd w:id="132"/>
    <w:p>
      <w:pPr>
        <w:ind w:firstLine="906"/>
        <w:spacing w:after="0" w:line="268" w:lineRule="auto"/>
        <w:tabs>
          <w:tab w:leader="none" w:pos="1153" w:val="left"/>
        </w:tabs>
        <w:numPr>
          <w:ilvl w:val="0"/>
          <w:numId w:val="168"/>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Confidentiality</w:t>
      </w:r>
      <w:r>
        <w:rPr>
          <w:rFonts w:ascii="Arial" w:cs="Arial" w:eastAsia="Arial" w:hAnsi="Arial"/>
          <w:sz w:val="17"/>
          <w:szCs w:val="17"/>
          <w:color w:val="auto"/>
        </w:rPr>
        <w:t>. Each of the Administrative Agent, the Lenders, the Swingline Lender and the Issuing Bank agrees to maintain the confidentiality of the Information (as defined below), except that Information may be disclosed (i) to its Affiliates and to its and its Affiliates’ respective partners, directors, officers, employees, agents, advisors and other representatives (it being understood that the Persons to whom such disclosure is made will be informed of the confidential nature of such Information and instructed to keep such Information confidential), (ii) to the extent requested by any regulatory authority purporting to have jurisdiction over it (including any self-regulatory authority), (iii) to the extent required by applicable laws or regulations or by any subpoena or similar legal process, (iv) to any other party hereto, (v) in connection with the exercise of any remedies hereunder or under any other Loan Document or any action or proceeding relating to this Agreement or any other Loan Document or the enforcement of rights hereunder or thereunder, (vi) other than to any Person listed in the Prohibited Assignees and Participants Side Letter, subject to an agreement containing provisions substantially the same as those of this Section, to (x) any assignee of or Participant in, or any prospective assignee of or Participant in, any of its rights or obligations under this Agreement or (y) any actual or prospective counterparty (or its advisors) to any swap or derivative transaction relating to the Borrower and its obligations, (vii) with the consent of the Borrower or (viii) to the extent such Information (x) becomes publicly available other than as a result of a breach of this Section or (y) becomes available to the Administrative Agent, any Lender, the Issuing Bank or any of their respective Affiliates on a nonconfidential basis from a source other than the Borrower.</w:t>
      </w:r>
    </w:p>
    <w:p>
      <w:pPr>
        <w:spacing w:after="0" w:line="186" w:lineRule="exact"/>
        <w:rPr>
          <w:sz w:val="20"/>
          <w:szCs w:val="20"/>
          <w:color w:val="auto"/>
        </w:rPr>
      </w:pPr>
    </w:p>
    <w:p>
      <w:pPr>
        <w:ind w:right="60" w:firstLine="898"/>
        <w:spacing w:after="0" w:line="254" w:lineRule="auto"/>
        <w:rPr>
          <w:sz w:val="20"/>
          <w:szCs w:val="20"/>
          <w:color w:val="auto"/>
        </w:rPr>
      </w:pPr>
      <w:r>
        <w:rPr>
          <w:rFonts w:ascii="Arial" w:cs="Arial" w:eastAsia="Arial" w:hAnsi="Arial"/>
          <w:sz w:val="18"/>
          <w:szCs w:val="18"/>
          <w:color w:val="auto"/>
        </w:rPr>
        <w:t>For purposes of this Section, “</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means all information received from the Borrower or any of its Subsidiaries relating to the Borrower or any of its Subsidiaries or any of their respective businesses, other than any such information that is available to the Administrative Agent any Lender or the Issuing Bank on a nonconfidential basis prior to disclosure by the Borrower or any of its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information received from the Borrower or any of its Subsidiaries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95" w:lineRule="exact"/>
        <w:rPr>
          <w:sz w:val="20"/>
          <w:szCs w:val="20"/>
          <w:color w:val="auto"/>
        </w:rPr>
      </w:pPr>
    </w:p>
    <w:p>
      <w:pPr>
        <w:ind w:right="40" w:firstLine="898"/>
        <w:spacing w:after="0" w:line="259" w:lineRule="auto"/>
        <w:rPr>
          <w:sz w:val="20"/>
          <w:szCs w:val="20"/>
          <w:color w:val="auto"/>
        </w:rPr>
      </w:pPr>
      <w:r>
        <w:rPr>
          <w:rFonts w:ascii="Arial" w:cs="Arial" w:eastAsia="Arial" w:hAnsi="Arial"/>
          <w:sz w:val="18"/>
          <w:szCs w:val="18"/>
          <w:color w:val="auto"/>
        </w:rPr>
        <w:t xml:space="preserve">SECTION 9.14. </w:t>
      </w:r>
      <w:r>
        <w:rPr>
          <w:rFonts w:ascii="Arial" w:cs="Arial" w:eastAsia="Arial" w:hAnsi="Arial"/>
          <w:sz w:val="18"/>
          <w:szCs w:val="18"/>
          <w:u w:val="single" w:color="auto"/>
          <w:color w:val="auto"/>
        </w:rPr>
        <w:t>USA PATRIOT Act</w:t>
      </w:r>
      <w:r>
        <w:rPr>
          <w:rFonts w:ascii="Arial" w:cs="Arial" w:eastAsia="Arial" w:hAnsi="Arial"/>
          <w:sz w:val="18"/>
          <w:szCs w:val="18"/>
          <w:color w:val="auto"/>
        </w:rPr>
        <w:t>. Each Lender hereby notifies the Borrower that pursuant to the requirements of the USA PATRIOT Act (Title III of Pub. L. 107-56 (signed into law October 26, 2001)), it is required to obtain, verify and record information that identifies the Borrower and each other Obligor , which information includes the name and address of the Borrower and each other Obligor and other information that will allow such Lender to identify the Borrower and each other Obligor in accordance with said Act.</w:t>
      </w:r>
    </w:p>
    <w:p>
      <w:pPr>
        <w:spacing w:after="0" w:line="187" w:lineRule="exact"/>
        <w:rPr>
          <w:sz w:val="20"/>
          <w:szCs w:val="20"/>
          <w:color w:val="auto"/>
        </w:rPr>
      </w:pPr>
    </w:p>
    <w:p>
      <w:pPr>
        <w:ind w:right="20" w:firstLine="898"/>
        <w:spacing w:after="0" w:line="257" w:lineRule="auto"/>
        <w:rPr>
          <w:sz w:val="20"/>
          <w:szCs w:val="20"/>
          <w:color w:val="auto"/>
        </w:rPr>
      </w:pPr>
      <w:r>
        <w:rPr>
          <w:rFonts w:ascii="Arial" w:cs="Arial" w:eastAsia="Arial" w:hAnsi="Arial"/>
          <w:sz w:val="18"/>
          <w:szCs w:val="18"/>
          <w:color w:val="auto"/>
        </w:rPr>
        <w:t xml:space="preserve">SECTION 9.15. </w:t>
      </w:r>
      <w:r>
        <w:rPr>
          <w:rFonts w:ascii="Arial" w:cs="Arial" w:eastAsia="Arial" w:hAnsi="Arial"/>
          <w:sz w:val="18"/>
          <w:szCs w:val="18"/>
          <w:u w:val="single" w:color="auto"/>
          <w:color w:val="auto"/>
        </w:rPr>
        <w:t>Effect of Amendment and Restatement of the Existing Agreement</w:t>
      </w:r>
      <w:r>
        <w:rPr>
          <w:rFonts w:ascii="Arial" w:cs="Arial" w:eastAsia="Arial" w:hAnsi="Arial"/>
          <w:sz w:val="18"/>
          <w:szCs w:val="18"/>
          <w:color w:val="auto"/>
        </w:rPr>
        <w:t>. On the Effective Date, the Existing Credit Agreement shall be amended and restated in its entirety. The parties hereto acknowledge and agree that (a) this Agreement and the other Loan Documents, whether executed and delivered in connection herewith or otherwise, do not constitute a novation or termination of the obligations for principal, interest or fees of the Borrower under the Existing Agreement as in effect immediately prior to the Effective Date and which remain outstanding; and (b) except for any of the Borrower’s obligations under the Existing</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40"/>
          </w:cols>
          <w:pgMar w:left="320" w:top="274" w:right="339" w:bottom="1440" w:gutter="0" w:footer="0" w:header="0"/>
        </w:sectPr>
      </w:pPr>
    </w:p>
    <w:bookmarkStart w:id="133" w:name="page134"/>
    <w:bookmarkEnd w:id="133"/>
    <w:p>
      <w:pPr>
        <w:ind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Credit Agreement which are expressly contemplated to be repaid on the Effective Date and to the extent are in fact so repaid, the obligations of the Borrower under the Existing Credit Agreement (as amended and restated hereby and which are on and after the date hereof subject to the terms herein) are in all respects continuing, and shall continue to be secured as provided in the Security Documents.</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40"/>
          </w:cols>
          <w:pgMar w:left="320" w:top="274" w:right="339" w:bottom="1440" w:gutter="0" w:footer="0" w:header="0"/>
        </w:sectPr>
      </w:pPr>
    </w:p>
    <w:bookmarkStart w:id="134" w:name="page135"/>
    <w:bookmarkEnd w:id="134"/>
    <w:p>
      <w:pPr>
        <w:ind w:right="300" w:firstLine="449"/>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caused this Agreement to be duly executed by their respective authorized officers as of the day and year first above written.</w:t>
      </w:r>
    </w:p>
    <w:p>
      <w:pPr>
        <w:spacing w:after="0" w:line="19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PENNANTPARK INVESTMENT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151765</wp:posOffset>
            </wp:positionV>
            <wp:extent cx="1174115" cy="7626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174115" cy="76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Aviv Efrat</w:t>
      </w:r>
    </w:p>
    <w:p>
      <w:pPr>
        <w:spacing w:after="0" w:line="23" w:lineRule="exact"/>
        <w:rPr>
          <w:sz w:val="20"/>
          <w:szCs w:val="20"/>
          <w:color w:val="auto"/>
        </w:rPr>
      </w:pPr>
    </w:p>
    <w:p>
      <w:pPr>
        <w:ind w:left="7100"/>
        <w:spacing w:after="0"/>
        <w:tabs>
          <w:tab w:leader="none" w:pos="7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40"/>
          </w:cols>
          <w:pgMar w:left="320" w:top="274" w:right="339" w:bottom="1440" w:gutter="0" w:footer="0" w:header="0"/>
        </w:sectPr>
      </w:pPr>
    </w:p>
    <w:bookmarkStart w:id="135" w:name="page136"/>
    <w:bookmarkEnd w:id="135"/>
    <w:p>
      <w:pPr>
        <w:ind w:left="56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SUNTRUST BANK, as Administrative Agent, Swingline</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Lender, Issuing Bank and a Lender</w:t>
      </w:r>
    </w:p>
    <w:p>
      <w:pPr>
        <w:spacing w:after="0" w:line="20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sz w:val="1"/>
          <w:szCs w:val="1"/>
          <w:color w:val="auto"/>
        </w:rPr>
        <w:drawing>
          <wp:inline distT="0" distB="0" distL="0" distR="0">
            <wp:extent cx="1105535" cy="316865"/>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105535" cy="31686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0</wp:posOffset>
            </wp:positionV>
            <wp:extent cx="263144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ind w:left="5980"/>
        <w:spacing w:after="0"/>
        <w:rPr>
          <w:sz w:val="20"/>
          <w:szCs w:val="20"/>
          <w:color w:val="auto"/>
        </w:rPr>
      </w:pPr>
      <w:r>
        <w:rPr>
          <w:rFonts w:ascii="Arial" w:cs="Arial" w:eastAsia="Arial" w:hAnsi="Arial"/>
          <w:sz w:val="18"/>
          <w:szCs w:val="18"/>
          <w:color w:val="auto"/>
        </w:rPr>
        <w:t>Name: Doug Kennedy</w:t>
      </w:r>
    </w:p>
    <w:p>
      <w:pPr>
        <w:spacing w:after="0" w:line="23" w:lineRule="exact"/>
        <w:rPr>
          <w:sz w:val="20"/>
          <w:szCs w:val="20"/>
          <w:color w:val="auto"/>
        </w:rPr>
      </w:pPr>
    </w:p>
    <w:p>
      <w:pPr>
        <w:ind w:left="5980"/>
        <w:spacing w:after="0"/>
        <w:tabs>
          <w:tab w:leader="none" w:pos="6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0120"/>
          </w:cols>
          <w:pgMar w:left="1440" w:top="274" w:right="339" w:bottom="1440" w:gutter="0" w:footer="0" w:header="0"/>
        </w:sectPr>
      </w:pPr>
    </w:p>
    <w:bookmarkStart w:id="136" w:name="page137"/>
    <w:bookmarkEnd w:id="136"/>
    <w:p>
      <w:pPr>
        <w:ind w:left="56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JPMorgan Chase Bank, N.A., as a Lender</w:t>
      </w:r>
    </w:p>
    <w:p>
      <w:pPr>
        <w:spacing w:after="0" w:line="20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sz w:val="1"/>
          <w:szCs w:val="1"/>
          <w:color w:val="auto"/>
        </w:rPr>
        <w:drawing>
          <wp:inline distT="0" distB="0" distL="0" distR="0">
            <wp:extent cx="2160270" cy="282575"/>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160270" cy="282575"/>
                    </a:xfrm>
                    <a:prstGeom prst="rect">
                      <a:avLst/>
                    </a:prstGeom>
                    <a:noFill/>
                    <a:ln>
                      <a:noFill/>
                    </a:ln>
                  </pic:spPr>
                </pic:pic>
              </a:graphicData>
            </a:graphic>
          </wp:inline>
        </w:drawing>
      </w:r>
    </w:p>
    <w:p>
      <w:pPr>
        <w:ind w:left="5980"/>
        <w:spacing w:after="0"/>
        <w:rPr>
          <w:sz w:val="20"/>
          <w:szCs w:val="20"/>
          <w:color w:val="auto"/>
        </w:rPr>
      </w:pPr>
      <w:r>
        <w:rPr>
          <w:rFonts w:ascii="Arial" w:cs="Arial" w:eastAsia="Arial" w:hAnsi="Arial"/>
          <w:sz w:val="18"/>
          <w:szCs w:val="18"/>
          <w:color w:val="auto"/>
        </w:rPr>
        <w:t>Name: Michael Kusner</w:t>
      </w:r>
    </w:p>
    <w:p>
      <w:pPr>
        <w:spacing w:after="0" w:line="9" w:lineRule="exact"/>
        <w:rPr>
          <w:sz w:val="20"/>
          <w:szCs w:val="20"/>
          <w:color w:val="auto"/>
        </w:rPr>
      </w:pPr>
    </w:p>
    <w:p>
      <w:pPr>
        <w:ind w:left="5980"/>
        <w:spacing w:after="0"/>
        <w:tabs>
          <w:tab w:leader="none" w:pos="6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J.P. Morgan</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0120"/>
          </w:cols>
          <w:pgMar w:left="1440" w:top="274" w:right="339" w:bottom="1440" w:gutter="0" w:footer="0" w:header="0"/>
        </w:sectPr>
      </w:pPr>
    </w:p>
    <w:bookmarkStart w:id="137" w:name="page138"/>
    <w:bookmarkEnd w:id="137"/>
    <w:p>
      <w:pPr>
        <w:ind w:left="56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State Street Bank and Trust Company, as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151765</wp:posOffset>
            </wp:positionV>
            <wp:extent cx="1680210" cy="6940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680210"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66573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Janet B. Nolin</w:t>
      </w:r>
    </w:p>
    <w:p>
      <w:pPr>
        <w:spacing w:after="0" w:line="23" w:lineRule="exact"/>
        <w:rPr>
          <w:sz w:val="20"/>
          <w:szCs w:val="20"/>
          <w:color w:val="auto"/>
        </w:rPr>
      </w:pPr>
    </w:p>
    <w:p>
      <w:pPr>
        <w:ind w:left="5980"/>
        <w:spacing w:after="0"/>
        <w:tabs>
          <w:tab w:leader="none" w:pos="6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0120"/>
          </w:cols>
          <w:pgMar w:left="1440" w:top="274" w:right="339" w:bottom="1440" w:gutter="0" w:footer="0" w:header="0"/>
        </w:sectPr>
      </w:pPr>
    </w:p>
    <w:bookmarkStart w:id="138" w:name="page139"/>
    <w:bookmarkEnd w:id="138"/>
    <w:p>
      <w:pPr>
        <w:ind w:left="56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MORGAN STANLEY BANK, N.A., as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151765</wp:posOffset>
            </wp:positionV>
            <wp:extent cx="2665730" cy="7112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665730"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Michael King</w:t>
      </w:r>
    </w:p>
    <w:p>
      <w:pPr>
        <w:spacing w:after="0" w:line="23" w:lineRule="exact"/>
        <w:rPr>
          <w:sz w:val="20"/>
          <w:szCs w:val="20"/>
          <w:color w:val="auto"/>
        </w:rPr>
      </w:pPr>
    </w:p>
    <w:p>
      <w:pPr>
        <w:ind w:left="5980"/>
        <w:spacing w:after="0"/>
        <w:tabs>
          <w:tab w:leader="none" w:pos="6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0120"/>
          </w:cols>
          <w:pgMar w:left="1440" w:top="274" w:right="339" w:bottom="1440" w:gutter="0" w:footer="0" w:header="0"/>
        </w:sectPr>
      </w:pPr>
    </w:p>
    <w:bookmarkStart w:id="139" w:name="page140"/>
    <w:bookmarkEnd w:id="139"/>
    <w:p>
      <w:pPr>
        <w:ind w:left="56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ING CAPITAL LLC, as a Lender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66573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Kunduck Moon</w:t>
      </w:r>
    </w:p>
    <w:p>
      <w:pPr>
        <w:spacing w:after="0" w:line="23" w:lineRule="exact"/>
        <w:rPr>
          <w:sz w:val="20"/>
          <w:szCs w:val="20"/>
          <w:color w:val="auto"/>
        </w:rPr>
      </w:pPr>
    </w:p>
    <w:p>
      <w:pPr>
        <w:ind w:left="5980"/>
        <w:spacing w:after="0"/>
        <w:tabs>
          <w:tab w:leader="none" w:pos="6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142875</wp:posOffset>
            </wp:positionV>
            <wp:extent cx="2665730" cy="676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665730" cy="67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Grace Fu</w:t>
      </w:r>
    </w:p>
    <w:p>
      <w:pPr>
        <w:spacing w:after="0" w:line="23" w:lineRule="exact"/>
        <w:rPr>
          <w:sz w:val="20"/>
          <w:szCs w:val="20"/>
          <w:color w:val="auto"/>
        </w:rPr>
      </w:pPr>
    </w:p>
    <w:p>
      <w:pPr>
        <w:ind w:left="5980"/>
        <w:spacing w:after="0"/>
        <w:tabs>
          <w:tab w:leader="none" w:pos="6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0120"/>
          </w:cols>
          <w:pgMar w:left="1440" w:top="274" w:right="339" w:bottom="1440" w:gutter="0" w:footer="0" w:header="0"/>
        </w:sectPr>
      </w:pPr>
    </w:p>
    <w:bookmarkStart w:id="140" w:name="page141"/>
    <w:bookmarkEnd w:id="140"/>
    <w:p>
      <w:pPr>
        <w:ind w:left="56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Goldman Sachs Bank USA, as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151765</wp:posOffset>
            </wp:positionV>
            <wp:extent cx="2665730" cy="3511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665730" cy="3511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Mark Walton</w:t>
      </w:r>
    </w:p>
    <w:p>
      <w:pPr>
        <w:spacing w:after="0" w:line="23" w:lineRule="exact"/>
        <w:rPr>
          <w:sz w:val="20"/>
          <w:szCs w:val="20"/>
          <w:color w:val="auto"/>
        </w:rPr>
      </w:pPr>
    </w:p>
    <w:p>
      <w:pPr>
        <w:ind w:left="5980"/>
        <w:spacing w:after="0"/>
        <w:tabs>
          <w:tab w:leader="none" w:pos="6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0120"/>
          </w:cols>
          <w:pgMar w:left="1440" w:top="274" w:right="339" w:bottom="1440" w:gutter="0" w:footer="0" w:header="0"/>
        </w:sectPr>
      </w:pPr>
    </w:p>
    <w:bookmarkStart w:id="141" w:name="page142"/>
    <w:bookmarkEnd w:id="141"/>
    <w:p>
      <w:pPr>
        <w:ind w:left="56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EVERBANK COMMERICAL FINANCE, INC., as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159385</wp:posOffset>
            </wp:positionV>
            <wp:extent cx="2665730" cy="5829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66573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David D’ Antonio</w:t>
      </w:r>
    </w:p>
    <w:p>
      <w:pPr>
        <w:spacing w:after="0" w:line="23" w:lineRule="exact"/>
        <w:rPr>
          <w:sz w:val="20"/>
          <w:szCs w:val="20"/>
          <w:color w:val="auto"/>
        </w:rPr>
      </w:pPr>
    </w:p>
    <w:p>
      <w:pPr>
        <w:ind w:left="5960"/>
        <w:spacing w:after="0"/>
        <w:tabs>
          <w:tab w:leader="none" w:pos="6560" w:val="left"/>
        </w:tabs>
        <w:rPr>
          <w:sz w:val="20"/>
          <w:szCs w:val="20"/>
          <w:color w:val="auto"/>
        </w:rPr>
      </w:pPr>
      <w:r>
        <w:rPr>
          <w:rFonts w:ascii="Arial" w:cs="Arial" w:eastAsia="Arial" w:hAnsi="Arial"/>
          <w:sz w:val="18"/>
          <w:szCs w:val="18"/>
          <w:color w:val="auto"/>
        </w:rPr>
        <w:t>Title:</w:t>
        <w:tab/>
        <w:t>Managing Director</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0120"/>
          </w:cols>
          <w:pgMar w:left="1440" w:top="274" w:right="339" w:bottom="1440" w:gutter="0" w:footer="0" w:header="0"/>
        </w:sectPr>
      </w:pPr>
    </w:p>
    <w:bookmarkStart w:id="142" w:name="page143"/>
    <w:bookmarkEnd w:id="142"/>
    <w:p>
      <w:pPr>
        <w:ind w:left="56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CIT FINANCE LLC, as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151765</wp:posOffset>
            </wp:positionV>
            <wp:extent cx="2674620" cy="8483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674620" cy="848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Renee M. Singer</w:t>
      </w:r>
    </w:p>
    <w:p>
      <w:pPr>
        <w:spacing w:after="0" w:line="23" w:lineRule="exact"/>
        <w:rPr>
          <w:sz w:val="20"/>
          <w:szCs w:val="20"/>
          <w:color w:val="auto"/>
        </w:rPr>
      </w:pPr>
    </w:p>
    <w:p>
      <w:pPr>
        <w:ind w:left="5940"/>
        <w:spacing w:after="0"/>
        <w:tabs>
          <w:tab w:leader="none" w:pos="64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0120"/>
          </w:cols>
          <w:pgMar w:left="1440" w:top="274" w:right="339" w:bottom="1440" w:gutter="0" w:footer="0" w:header="0"/>
        </w:sectPr>
      </w:pPr>
    </w:p>
    <w:bookmarkStart w:id="143" w:name="page144"/>
    <w:bookmarkEnd w:id="143"/>
    <w:p>
      <w:pPr>
        <w:ind w:left="56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City National Bank, as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151765</wp:posOffset>
            </wp:positionV>
            <wp:extent cx="2665730" cy="4629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66573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Jeffrey Feinberg</w:t>
      </w:r>
    </w:p>
    <w:p>
      <w:pPr>
        <w:spacing w:after="0" w:line="23" w:lineRule="exact"/>
        <w:rPr>
          <w:sz w:val="20"/>
          <w:szCs w:val="20"/>
          <w:color w:val="auto"/>
        </w:rPr>
      </w:pPr>
    </w:p>
    <w:p>
      <w:pPr>
        <w:ind w:left="5980"/>
        <w:spacing w:after="0"/>
        <w:tabs>
          <w:tab w:leader="none" w:pos="6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0120"/>
          </w:cols>
          <w:pgMar w:left="1440" w:top="274" w:right="339" w:bottom="1440" w:gutter="0" w:footer="0" w:header="0"/>
        </w:sectPr>
      </w:pPr>
    </w:p>
    <w:bookmarkStart w:id="144" w:name="page145"/>
    <w:bookmarkEnd w:id="144"/>
    <w:p>
      <w:pPr>
        <w:ind w:left="56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Royal Bank of Canada, as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151765</wp:posOffset>
            </wp:positionV>
            <wp:extent cx="2665730" cy="402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66573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Greg DeRise</w:t>
      </w:r>
    </w:p>
    <w:p>
      <w:pPr>
        <w:spacing w:after="0" w:line="23" w:lineRule="exact"/>
        <w:rPr>
          <w:sz w:val="20"/>
          <w:szCs w:val="20"/>
          <w:color w:val="auto"/>
        </w:rPr>
      </w:pPr>
    </w:p>
    <w:p>
      <w:pPr>
        <w:ind w:left="5980"/>
        <w:spacing w:after="0"/>
        <w:tabs>
          <w:tab w:leader="none" w:pos="6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0120"/>
          </w:cols>
          <w:pgMar w:left="1440" w:top="274" w:right="339" w:bottom="1440" w:gutter="0" w:footer="0" w:header="0"/>
        </w:sectPr>
      </w:pPr>
    </w:p>
    <w:bookmarkStart w:id="145" w:name="page146"/>
    <w:bookmarkEnd w:id="145"/>
    <w:p>
      <w:pPr>
        <w:ind w:left="564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Bank of New York Mellon</w:t>
      </w:r>
      <w:r>
        <w:rPr>
          <w:rFonts w:ascii="Arial" w:cs="Arial" w:eastAsia="Arial" w:hAnsi="Arial"/>
          <w:sz w:val="18"/>
          <w:szCs w:val="18"/>
          <w:color w:val="auto"/>
        </w:rPr>
        <w:t>, as a Lender</w:t>
      </w:r>
    </w:p>
    <w:p>
      <w:pPr>
        <w:spacing w:after="0" w:line="20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sz w:val="1"/>
          <w:szCs w:val="1"/>
          <w:color w:val="auto"/>
        </w:rPr>
        <w:drawing>
          <wp:inline distT="0" distB="0" distL="0" distR="0">
            <wp:extent cx="1525905" cy="334010"/>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525905" cy="33401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0</wp:posOffset>
            </wp:positionV>
            <wp:extent cx="266573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ind w:left="5980"/>
        <w:spacing w:after="0"/>
        <w:rPr>
          <w:sz w:val="20"/>
          <w:szCs w:val="20"/>
          <w:color w:val="auto"/>
        </w:rPr>
      </w:pPr>
      <w:r>
        <w:rPr>
          <w:rFonts w:ascii="Arial" w:cs="Arial" w:eastAsia="Arial" w:hAnsi="Arial"/>
          <w:sz w:val="18"/>
          <w:szCs w:val="18"/>
          <w:color w:val="auto"/>
        </w:rPr>
        <w:t>Name: Jean Earley</w:t>
      </w:r>
    </w:p>
    <w:p>
      <w:pPr>
        <w:spacing w:after="0" w:line="23" w:lineRule="exact"/>
        <w:rPr>
          <w:sz w:val="20"/>
          <w:szCs w:val="20"/>
          <w:color w:val="auto"/>
        </w:rPr>
      </w:pPr>
    </w:p>
    <w:p>
      <w:pPr>
        <w:ind w:left="5980"/>
        <w:spacing w:after="0"/>
        <w:tabs>
          <w:tab w:leader="none" w:pos="6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0120"/>
          </w:cols>
          <w:pgMar w:left="1440" w:top="274" w:right="339" w:bottom="1440" w:gutter="0" w:footer="0" w:header="0"/>
        </w:sectPr>
      </w:pPr>
    </w:p>
    <w:bookmarkStart w:id="146" w:name="page147"/>
    <w:bookmarkEnd w:id="146"/>
    <w:p>
      <w:pPr>
        <w:ind w:left="56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Comerica Bank, as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151765</wp:posOffset>
            </wp:positionV>
            <wp:extent cx="2665730" cy="5314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66573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Timothy O’Rourke</w:t>
      </w:r>
    </w:p>
    <w:p>
      <w:pPr>
        <w:spacing w:after="0" w:line="23" w:lineRule="exact"/>
        <w:rPr>
          <w:sz w:val="20"/>
          <w:szCs w:val="20"/>
          <w:color w:val="auto"/>
        </w:rPr>
      </w:pPr>
    </w:p>
    <w:p>
      <w:pPr>
        <w:ind w:left="5960"/>
        <w:spacing w:after="0"/>
        <w:tabs>
          <w:tab w:leader="none" w:pos="656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0120"/>
          </w:cols>
          <w:pgMar w:left="1440" w:top="274" w:right="339" w:bottom="1440" w:gutter="0" w:footer="0" w:header="0"/>
        </w:sectPr>
      </w:pPr>
    </w:p>
    <w:bookmarkStart w:id="147" w:name="page148"/>
    <w:bookmarkEnd w:id="147"/>
    <w:p>
      <w:pPr>
        <w:ind w:left="5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Stifel Bank &amp; Trust, as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3631565</wp:posOffset>
            </wp:positionH>
            <wp:positionV relativeFrom="paragraph">
              <wp:posOffset>151765</wp:posOffset>
            </wp:positionV>
            <wp:extent cx="2794635" cy="6597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794635"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Name: Joseph L. Sooter, Jr.</w:t>
      </w:r>
    </w:p>
    <w:p>
      <w:pPr>
        <w:spacing w:after="0" w:line="23" w:lineRule="exact"/>
        <w:rPr>
          <w:sz w:val="20"/>
          <w:szCs w:val="20"/>
          <w:color w:val="auto"/>
        </w:rPr>
      </w:pPr>
    </w:p>
    <w:p>
      <w:pPr>
        <w:ind w:left="576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0120"/>
          </w:cols>
          <w:pgMar w:left="1440" w:top="274" w:right="339" w:bottom="1440" w:gutter="0" w:footer="0" w:header="0"/>
        </w:sectPr>
      </w:pPr>
    </w:p>
    <w:bookmarkStart w:id="148" w:name="page149"/>
    <w:bookmarkEnd w:id="148"/>
    <w:p>
      <w:pPr>
        <w:jc w:val="center"/>
        <w:ind w:right="-11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1.01(a)</w:t>
      </w:r>
    </w:p>
    <w:p>
      <w:pPr>
        <w:spacing w:after="0" w:line="225" w:lineRule="exact"/>
        <w:rPr>
          <w:sz w:val="20"/>
          <w:szCs w:val="20"/>
          <w:color w:val="auto"/>
        </w:rPr>
      </w:pPr>
    </w:p>
    <w:p>
      <w:pPr>
        <w:jc w:val="right"/>
        <w:ind w:right="2599"/>
        <w:spacing w:after="0"/>
        <w:rPr>
          <w:sz w:val="20"/>
          <w:szCs w:val="20"/>
          <w:color w:val="auto"/>
        </w:rPr>
      </w:pPr>
      <w:r>
        <w:rPr>
          <w:rFonts w:ascii="Arial" w:cs="Arial" w:eastAsia="Arial" w:hAnsi="Arial"/>
          <w:sz w:val="18"/>
          <w:szCs w:val="18"/>
          <w:b w:val="1"/>
          <w:bCs w:val="1"/>
          <w:u w:val="single" w:color="auto"/>
          <w:color w:val="auto"/>
        </w:rPr>
        <w:t>Approved Dealers and Approved Pricing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Approved Dealers:</w:t>
      </w:r>
    </w:p>
    <w:p>
      <w:pPr>
        <w:spacing w:after="0" w:line="131" w:lineRule="exact"/>
        <w:rPr>
          <w:sz w:val="20"/>
          <w:szCs w:val="20"/>
          <w:color w:val="auto"/>
        </w:rPr>
      </w:pPr>
    </w:p>
    <w:p>
      <w:pPr>
        <w:ind w:left="900" w:hanging="447"/>
        <w:spacing w:after="0"/>
        <w:tabs>
          <w:tab w:leader="none" w:pos="9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ABN</w:t>
      </w:r>
    </w:p>
    <w:p>
      <w:pPr>
        <w:spacing w:after="0" w:line="23" w:lineRule="exact"/>
        <w:rPr>
          <w:rFonts w:ascii="Arial" w:cs="Arial" w:eastAsia="Arial" w:hAnsi="Arial"/>
          <w:sz w:val="18"/>
          <w:szCs w:val="18"/>
          <w:color w:val="auto"/>
        </w:rPr>
      </w:pPr>
    </w:p>
    <w:p>
      <w:pPr>
        <w:ind w:left="900" w:hanging="447"/>
        <w:spacing w:after="0"/>
        <w:tabs>
          <w:tab w:leader="none" w:pos="9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Banc of America</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Bank of Montreal</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Barclays</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BB&amp;T</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Bedrock Securities, LLC</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Cantor Fitzgerald &amp; Co.</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Capital Source</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Caylon/CL</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Chapdelaine &amp; Co.</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Churchill Financial</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CIBC</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Citigroup</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CommerzBank</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Credit Suisse/CSFB</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Deutsche Bank</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Dresdner</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Fortis</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Friedman Billings Ramsey</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GE</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Gleacher &amp; Company</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Global Hunter Securities</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Goldman Sachs</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HSBC</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Imperial Capital</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ING</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Jefferies &amp; Company</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JP Morgan</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Keefe, Bruyette &amp; Woods</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Knight Libertas LLC</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Lloyds</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Madison Capital</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Merrill Lynch</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Miller Tabak</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Morgan Stanley</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New Star</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Oppenheimer</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Robert W. Baird &amp; Co.</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Royal Bank of Canada</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Royal Bank of Scotland</w:t>
      </w:r>
    </w:p>
    <w:p>
      <w:pPr>
        <w:spacing w:after="0" w:line="14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0139"/>
          </w:cols>
          <w:pgMar w:left="320" w:top="270" w:right="1440" w:bottom="1440" w:gutter="0" w:footer="0" w:header="0"/>
        </w:sectPr>
      </w:pPr>
    </w:p>
    <w:bookmarkStart w:id="149" w:name="page150"/>
    <w:bookmarkEnd w:id="149"/>
    <w:p>
      <w:pPr>
        <w:ind w:left="900" w:hanging="447"/>
        <w:spacing w:after="0"/>
        <w:tabs>
          <w:tab w:leader="none" w:pos="9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RW Pressprich</w:t>
      </w:r>
    </w:p>
    <w:p>
      <w:pPr>
        <w:spacing w:after="0" w:line="23" w:lineRule="exact"/>
        <w:rPr>
          <w:rFonts w:ascii="Arial" w:cs="Arial" w:eastAsia="Arial" w:hAnsi="Arial"/>
          <w:sz w:val="18"/>
          <w:szCs w:val="18"/>
          <w:color w:val="auto"/>
        </w:rPr>
      </w:pPr>
    </w:p>
    <w:p>
      <w:pPr>
        <w:ind w:left="900" w:hanging="447"/>
        <w:spacing w:after="0"/>
        <w:tabs>
          <w:tab w:leader="none" w:pos="9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Scotia</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SunTrust Robinson Humphrey</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Bank of New York</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Toronto Dominion</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UBS</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Unicredit/ HVB</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VinsonForbes Capital LLC</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Wachovia</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Wells Fargo</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WestLB</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Approved Pricing Services:</w:t>
      </w:r>
    </w:p>
    <w:p>
      <w:pPr>
        <w:spacing w:after="0" w:line="131" w:lineRule="exact"/>
        <w:rPr>
          <w:sz w:val="20"/>
          <w:szCs w:val="20"/>
          <w:color w:val="auto"/>
        </w:rPr>
      </w:pPr>
    </w:p>
    <w:p>
      <w:pPr>
        <w:ind w:left="900" w:hanging="447"/>
        <w:spacing w:after="0"/>
        <w:tabs>
          <w:tab w:leader="none" w:pos="9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Bloomberg</w:t>
      </w:r>
    </w:p>
    <w:p>
      <w:pPr>
        <w:spacing w:after="0" w:line="23" w:lineRule="exact"/>
        <w:rPr>
          <w:rFonts w:ascii="Arial" w:cs="Arial" w:eastAsia="Arial" w:hAnsi="Arial"/>
          <w:sz w:val="18"/>
          <w:szCs w:val="18"/>
          <w:color w:val="auto"/>
        </w:rPr>
      </w:pPr>
    </w:p>
    <w:p>
      <w:pPr>
        <w:ind w:left="900" w:hanging="447"/>
        <w:spacing w:after="0"/>
        <w:tabs>
          <w:tab w:leader="none" w:pos="9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FT Interactive Data Corporation</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Lincoln Partners Advisors LLC</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Loan Pricing Corporation</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Markit Partners</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Valuation Research Corporation</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Murray Devine Valuation Advisers</w:t>
      </w:r>
    </w:p>
    <w:p>
      <w:pPr>
        <w:spacing w:after="0" w:line="143"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0139"/>
          </w:cols>
          <w:pgMar w:left="320" w:top="274" w:right="1440" w:bottom="1440" w:gutter="0" w:footer="0" w:header="0"/>
        </w:sectPr>
      </w:pPr>
    </w:p>
    <w:bookmarkStart w:id="150" w:name="page151"/>
    <w:bookmarkEnd w:id="150"/>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1.01(b)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Commitments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Lender</w:t>
            </w:r>
          </w:p>
        </w:tc>
        <w:tc>
          <w:tcPr>
            <w:tcW w:w="2720" w:type="dxa"/>
            <w:vAlign w:val="bottom"/>
          </w:tcPr>
          <w:p>
            <w:pPr>
              <w:spacing w:after="0"/>
              <w:rPr>
                <w:sz w:val="14"/>
                <w:szCs w:val="14"/>
                <w:color w:val="auto"/>
              </w:rPr>
            </w:pPr>
          </w:p>
        </w:tc>
        <w:tc>
          <w:tcPr>
            <w:tcW w:w="1240" w:type="dxa"/>
            <w:vAlign w:val="bottom"/>
            <w:vMerge w:val="restart"/>
          </w:tcPr>
          <w:p>
            <w:pPr>
              <w:spacing w:after="0"/>
              <w:rPr>
                <w:sz w:val="20"/>
                <w:szCs w:val="20"/>
                <w:color w:val="auto"/>
              </w:rPr>
            </w:pPr>
            <w:r>
              <w:rPr>
                <w:rFonts w:ascii="Arial" w:cs="Arial" w:eastAsia="Arial" w:hAnsi="Arial"/>
                <w:sz w:val="14"/>
                <w:szCs w:val="14"/>
                <w:b w:val="1"/>
                <w:bCs w:val="1"/>
                <w:color w:val="auto"/>
                <w:w w:val="94"/>
              </w:rPr>
              <w:t>Dollar Commitment</w:t>
            </w:r>
          </w:p>
        </w:tc>
        <w:tc>
          <w:tcPr>
            <w:tcW w:w="32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7"/>
              </w:rPr>
              <w:t>Multicurrency</w:t>
            </w:r>
          </w:p>
        </w:tc>
        <w:tc>
          <w:tcPr>
            <w:tcW w:w="320" w:type="dxa"/>
            <w:vAlign w:val="bottom"/>
          </w:tcPr>
          <w:p>
            <w:pPr>
              <w:spacing w:after="0"/>
              <w:rPr>
                <w:sz w:val="14"/>
                <w:szCs w:val="14"/>
                <w:color w:val="auto"/>
              </w:rPr>
            </w:pPr>
          </w:p>
        </w:tc>
        <w:tc>
          <w:tcPr>
            <w:tcW w:w="132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w w:val="95"/>
              </w:rPr>
              <w:t>Total Commitment</w:t>
            </w:r>
          </w:p>
        </w:tc>
        <w:tc>
          <w:tcPr>
            <w:tcW w:w="0" w:type="dxa"/>
            <w:vAlign w:val="bottom"/>
          </w:tcPr>
          <w:p>
            <w:pPr>
              <w:spacing w:after="0"/>
              <w:rPr>
                <w:sz w:val="1"/>
                <w:szCs w:val="1"/>
                <w:color w:val="auto"/>
              </w:rPr>
            </w:pPr>
          </w:p>
        </w:tc>
      </w:tr>
      <w:tr>
        <w:trPr>
          <w:trHeight w:val="158"/>
        </w:trPr>
        <w:tc>
          <w:tcPr>
            <w:tcW w:w="4100" w:type="dxa"/>
            <w:vAlign w:val="bottom"/>
            <w:gridSpan w:val="2"/>
            <w:vMerge w:val="continue"/>
          </w:tcPr>
          <w:p>
            <w:pPr>
              <w:spacing w:after="0"/>
              <w:rPr>
                <w:sz w:val="13"/>
                <w:szCs w:val="13"/>
                <w:color w:val="auto"/>
              </w:rPr>
            </w:pPr>
          </w:p>
        </w:tc>
        <w:tc>
          <w:tcPr>
            <w:tcW w:w="272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Commitment</w:t>
            </w:r>
          </w:p>
        </w:tc>
        <w:tc>
          <w:tcPr>
            <w:tcW w:w="320" w:type="dxa"/>
            <w:vAlign w:val="bottom"/>
          </w:tcPr>
          <w:p>
            <w:pPr>
              <w:spacing w:after="0"/>
              <w:rPr>
                <w:sz w:val="13"/>
                <w:szCs w:val="13"/>
                <w:color w:val="auto"/>
              </w:rPr>
            </w:pPr>
          </w:p>
        </w:tc>
        <w:tc>
          <w:tcPr>
            <w:tcW w:w="13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Borders>
              <w:bottom w:val="single" w:sz="8" w:color="CCEEFF"/>
            </w:tcBorders>
            <w:shd w:val="clear" w:color="auto" w:fill="000000"/>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27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SunTrust Bank</w:t>
            </w:r>
          </w:p>
        </w:tc>
        <w:tc>
          <w:tcPr>
            <w:tcW w:w="272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-$0-</w:t>
            </w: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$100,000,000</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100,000,000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JP Morgan Chase Bank, N.A.</w:t>
            </w:r>
          </w:p>
        </w:tc>
        <w:tc>
          <w:tcPr>
            <w:tcW w:w="3960" w:type="dxa"/>
            <w:vAlign w:val="bottom"/>
            <w:gridSpan w:val="2"/>
          </w:tcPr>
          <w:p>
            <w:pPr>
              <w:jc w:val="center"/>
              <w:ind w:left="2610"/>
              <w:spacing w:after="0"/>
              <w:rPr>
                <w:sz w:val="20"/>
                <w:szCs w:val="20"/>
                <w:color w:val="auto"/>
              </w:rPr>
            </w:pPr>
            <w:r>
              <w:rPr>
                <w:rFonts w:ascii="Arial" w:cs="Arial" w:eastAsia="Arial" w:hAnsi="Arial"/>
                <w:sz w:val="18"/>
                <w:szCs w:val="18"/>
                <w:color w:val="auto"/>
                <w:w w:val="93"/>
              </w:rPr>
              <w:t>-$0-</w:t>
            </w:r>
          </w:p>
        </w:tc>
        <w:tc>
          <w:tcPr>
            <w:tcW w:w="154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$85,000,000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85,000,000</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 Street Bank and Trust Company</w:t>
            </w:r>
          </w:p>
        </w:tc>
        <w:tc>
          <w:tcPr>
            <w:tcW w:w="3960" w:type="dxa"/>
            <w:vAlign w:val="bottom"/>
            <w:gridSpan w:val="2"/>
            <w:shd w:val="clear" w:color="auto" w:fill="CCEEFF"/>
          </w:tcPr>
          <w:p>
            <w:pPr>
              <w:jc w:val="center"/>
              <w:ind w:left="2610"/>
              <w:spacing w:after="0"/>
              <w:rPr>
                <w:sz w:val="20"/>
                <w:szCs w:val="20"/>
                <w:color w:val="auto"/>
              </w:rPr>
            </w:pPr>
            <w:r>
              <w:rPr>
                <w:rFonts w:ascii="Arial" w:cs="Arial" w:eastAsia="Arial" w:hAnsi="Arial"/>
                <w:sz w:val="18"/>
                <w:szCs w:val="18"/>
                <w:color w:val="auto"/>
                <w:w w:val="93"/>
              </w:rPr>
              <w:t>-$0-</w:t>
            </w:r>
          </w:p>
        </w:tc>
        <w:tc>
          <w:tcPr>
            <w:tcW w:w="154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89"/>
              </w:rPr>
              <w:t>$75,000,000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75,000,000</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Morgan Stanley Bank, N.A.</w:t>
            </w:r>
          </w:p>
        </w:tc>
        <w:tc>
          <w:tcPr>
            <w:tcW w:w="3960" w:type="dxa"/>
            <w:vAlign w:val="bottom"/>
            <w:gridSpan w:val="2"/>
          </w:tcPr>
          <w:p>
            <w:pPr>
              <w:jc w:val="center"/>
              <w:ind w:left="2610"/>
              <w:spacing w:after="0"/>
              <w:rPr>
                <w:sz w:val="20"/>
                <w:szCs w:val="20"/>
                <w:color w:val="auto"/>
              </w:rPr>
            </w:pPr>
            <w:r>
              <w:rPr>
                <w:rFonts w:ascii="Arial" w:cs="Arial" w:eastAsia="Arial" w:hAnsi="Arial"/>
                <w:sz w:val="18"/>
                <w:szCs w:val="18"/>
                <w:color w:val="auto"/>
                <w:w w:val="89"/>
              </w:rPr>
              <w:t>$60,000,000</w:t>
            </w:r>
          </w:p>
        </w:tc>
        <w:tc>
          <w:tcPr>
            <w:tcW w:w="1540" w:type="dxa"/>
            <w:vAlign w:val="bottom"/>
            <w:gridSpan w:val="2"/>
          </w:tcPr>
          <w:p>
            <w:pPr>
              <w:jc w:val="center"/>
              <w:ind w:left="230"/>
              <w:spacing w:after="0"/>
              <w:rPr>
                <w:sz w:val="20"/>
                <w:szCs w:val="20"/>
                <w:color w:val="auto"/>
              </w:rPr>
            </w:pPr>
            <w:r>
              <w:rPr>
                <w:rFonts w:ascii="Arial" w:cs="Arial" w:eastAsia="Arial" w:hAnsi="Arial"/>
                <w:sz w:val="18"/>
                <w:szCs w:val="18"/>
                <w:color w:val="auto"/>
                <w:w w:val="93"/>
              </w:rPr>
              <w:t>-$0-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60,000,000</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ING Capital LLC</w:t>
            </w:r>
          </w:p>
        </w:tc>
        <w:tc>
          <w:tcPr>
            <w:tcW w:w="3960" w:type="dxa"/>
            <w:vAlign w:val="bottom"/>
            <w:gridSpan w:val="2"/>
            <w:shd w:val="clear" w:color="auto" w:fill="CCEEFF"/>
          </w:tcPr>
          <w:p>
            <w:pPr>
              <w:jc w:val="center"/>
              <w:ind w:left="2610"/>
              <w:spacing w:after="0"/>
              <w:rPr>
                <w:sz w:val="20"/>
                <w:szCs w:val="20"/>
                <w:color w:val="auto"/>
              </w:rPr>
            </w:pPr>
            <w:r>
              <w:rPr>
                <w:rFonts w:ascii="Arial" w:cs="Arial" w:eastAsia="Arial" w:hAnsi="Arial"/>
                <w:sz w:val="18"/>
                <w:szCs w:val="18"/>
                <w:color w:val="auto"/>
                <w:w w:val="93"/>
              </w:rPr>
              <w:t>-$0-</w:t>
            </w:r>
          </w:p>
        </w:tc>
        <w:tc>
          <w:tcPr>
            <w:tcW w:w="154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89"/>
              </w:rPr>
              <w:t>$50,000,000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50,000,000</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Goldman Sachs Bank USA</w:t>
            </w:r>
          </w:p>
        </w:tc>
        <w:tc>
          <w:tcPr>
            <w:tcW w:w="3960" w:type="dxa"/>
            <w:vAlign w:val="bottom"/>
            <w:gridSpan w:val="2"/>
          </w:tcPr>
          <w:p>
            <w:pPr>
              <w:jc w:val="center"/>
              <w:ind w:left="2610"/>
              <w:spacing w:after="0"/>
              <w:rPr>
                <w:sz w:val="20"/>
                <w:szCs w:val="20"/>
                <w:color w:val="auto"/>
              </w:rPr>
            </w:pPr>
            <w:r>
              <w:rPr>
                <w:rFonts w:ascii="Arial" w:cs="Arial" w:eastAsia="Arial" w:hAnsi="Arial"/>
                <w:sz w:val="18"/>
                <w:szCs w:val="18"/>
                <w:color w:val="auto"/>
                <w:w w:val="93"/>
              </w:rPr>
              <w:t>-$0-</w:t>
            </w:r>
          </w:p>
        </w:tc>
        <w:tc>
          <w:tcPr>
            <w:tcW w:w="154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$45,000,000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45,000,000</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Everbank Commercial Finance</w:t>
            </w:r>
          </w:p>
        </w:tc>
        <w:tc>
          <w:tcPr>
            <w:tcW w:w="3960" w:type="dxa"/>
            <w:vAlign w:val="bottom"/>
            <w:gridSpan w:val="2"/>
            <w:shd w:val="clear" w:color="auto" w:fill="CCEEFF"/>
          </w:tcPr>
          <w:p>
            <w:pPr>
              <w:jc w:val="center"/>
              <w:ind w:left="2610"/>
              <w:spacing w:after="0"/>
              <w:rPr>
                <w:sz w:val="20"/>
                <w:szCs w:val="20"/>
                <w:color w:val="auto"/>
              </w:rPr>
            </w:pPr>
            <w:r>
              <w:rPr>
                <w:rFonts w:ascii="Arial" w:cs="Arial" w:eastAsia="Arial" w:hAnsi="Arial"/>
                <w:sz w:val="18"/>
                <w:szCs w:val="18"/>
                <w:color w:val="auto"/>
                <w:w w:val="89"/>
              </w:rPr>
              <w:t>$25,000,000</w:t>
            </w:r>
          </w:p>
        </w:tc>
        <w:tc>
          <w:tcPr>
            <w:tcW w:w="154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3"/>
              </w:rPr>
              <w:t>-$0-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25,000,000</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CIT Finance LLC</w:t>
            </w:r>
          </w:p>
        </w:tc>
        <w:tc>
          <w:tcPr>
            <w:tcW w:w="3960" w:type="dxa"/>
            <w:vAlign w:val="bottom"/>
            <w:gridSpan w:val="2"/>
          </w:tcPr>
          <w:p>
            <w:pPr>
              <w:jc w:val="center"/>
              <w:ind w:left="2610"/>
              <w:spacing w:after="0"/>
              <w:rPr>
                <w:sz w:val="20"/>
                <w:szCs w:val="20"/>
                <w:color w:val="auto"/>
              </w:rPr>
            </w:pPr>
            <w:r>
              <w:rPr>
                <w:rFonts w:ascii="Arial" w:cs="Arial" w:eastAsia="Arial" w:hAnsi="Arial"/>
                <w:sz w:val="18"/>
                <w:szCs w:val="18"/>
                <w:color w:val="auto"/>
                <w:w w:val="89"/>
              </w:rPr>
              <w:t>$20,000,000</w:t>
            </w:r>
          </w:p>
        </w:tc>
        <w:tc>
          <w:tcPr>
            <w:tcW w:w="1540" w:type="dxa"/>
            <w:vAlign w:val="bottom"/>
            <w:gridSpan w:val="2"/>
          </w:tcPr>
          <w:p>
            <w:pPr>
              <w:jc w:val="center"/>
              <w:ind w:left="230"/>
              <w:spacing w:after="0"/>
              <w:rPr>
                <w:sz w:val="20"/>
                <w:szCs w:val="20"/>
                <w:color w:val="auto"/>
              </w:rPr>
            </w:pPr>
            <w:r>
              <w:rPr>
                <w:rFonts w:ascii="Arial" w:cs="Arial" w:eastAsia="Arial" w:hAnsi="Arial"/>
                <w:sz w:val="18"/>
                <w:szCs w:val="18"/>
                <w:color w:val="auto"/>
                <w:w w:val="93"/>
              </w:rPr>
              <w:t>-$0-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20,000,000</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City National Bank</w:t>
            </w:r>
          </w:p>
        </w:tc>
        <w:tc>
          <w:tcPr>
            <w:tcW w:w="3960" w:type="dxa"/>
            <w:vAlign w:val="bottom"/>
            <w:gridSpan w:val="2"/>
            <w:shd w:val="clear" w:color="auto" w:fill="CCEEFF"/>
          </w:tcPr>
          <w:p>
            <w:pPr>
              <w:jc w:val="center"/>
              <w:ind w:left="2610"/>
              <w:spacing w:after="0"/>
              <w:rPr>
                <w:sz w:val="20"/>
                <w:szCs w:val="20"/>
                <w:color w:val="auto"/>
              </w:rPr>
            </w:pPr>
            <w:r>
              <w:rPr>
                <w:rFonts w:ascii="Arial" w:cs="Arial" w:eastAsia="Arial" w:hAnsi="Arial"/>
                <w:sz w:val="18"/>
                <w:szCs w:val="18"/>
                <w:color w:val="auto"/>
                <w:w w:val="93"/>
              </w:rPr>
              <w:t>-$0-</w:t>
            </w:r>
          </w:p>
        </w:tc>
        <w:tc>
          <w:tcPr>
            <w:tcW w:w="154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89"/>
              </w:rPr>
              <w:t>$20,000,000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20,000,000</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Royal Bank of Canada</w:t>
            </w:r>
          </w:p>
        </w:tc>
        <w:tc>
          <w:tcPr>
            <w:tcW w:w="3960" w:type="dxa"/>
            <w:vAlign w:val="bottom"/>
            <w:gridSpan w:val="2"/>
          </w:tcPr>
          <w:p>
            <w:pPr>
              <w:jc w:val="center"/>
              <w:ind w:left="2610"/>
              <w:spacing w:after="0"/>
              <w:rPr>
                <w:sz w:val="20"/>
                <w:szCs w:val="20"/>
                <w:color w:val="auto"/>
              </w:rPr>
            </w:pPr>
            <w:r>
              <w:rPr>
                <w:rFonts w:ascii="Arial" w:cs="Arial" w:eastAsia="Arial" w:hAnsi="Arial"/>
                <w:sz w:val="18"/>
                <w:szCs w:val="18"/>
                <w:color w:val="auto"/>
                <w:w w:val="93"/>
              </w:rPr>
              <w:t>-$0-</w:t>
            </w:r>
          </w:p>
        </w:tc>
        <w:tc>
          <w:tcPr>
            <w:tcW w:w="154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$20,000,000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20,000,000</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Bank of New York Mellon</w:t>
            </w:r>
          </w:p>
        </w:tc>
        <w:tc>
          <w:tcPr>
            <w:tcW w:w="3960" w:type="dxa"/>
            <w:vAlign w:val="bottom"/>
            <w:gridSpan w:val="2"/>
            <w:shd w:val="clear" w:color="auto" w:fill="CCEEFF"/>
          </w:tcPr>
          <w:p>
            <w:pPr>
              <w:jc w:val="center"/>
              <w:ind w:left="2610"/>
              <w:spacing w:after="0"/>
              <w:rPr>
                <w:sz w:val="20"/>
                <w:szCs w:val="20"/>
                <w:color w:val="auto"/>
              </w:rPr>
            </w:pPr>
            <w:r>
              <w:rPr>
                <w:rFonts w:ascii="Arial" w:cs="Arial" w:eastAsia="Arial" w:hAnsi="Arial"/>
                <w:sz w:val="18"/>
                <w:szCs w:val="18"/>
                <w:color w:val="auto"/>
                <w:w w:val="93"/>
              </w:rPr>
              <w:t>-$0-</w:t>
            </w:r>
          </w:p>
        </w:tc>
        <w:tc>
          <w:tcPr>
            <w:tcW w:w="154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89"/>
              </w:rPr>
              <w:t>$15,000,000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Comerica Bank</w:t>
            </w:r>
          </w:p>
        </w:tc>
        <w:tc>
          <w:tcPr>
            <w:tcW w:w="3960" w:type="dxa"/>
            <w:vAlign w:val="bottom"/>
            <w:gridSpan w:val="2"/>
          </w:tcPr>
          <w:p>
            <w:pPr>
              <w:jc w:val="center"/>
              <w:ind w:left="2610"/>
              <w:spacing w:after="0"/>
              <w:rPr>
                <w:sz w:val="20"/>
                <w:szCs w:val="20"/>
                <w:color w:val="auto"/>
              </w:rPr>
            </w:pPr>
            <w:r>
              <w:rPr>
                <w:rFonts w:ascii="Arial" w:cs="Arial" w:eastAsia="Arial" w:hAnsi="Arial"/>
                <w:sz w:val="18"/>
                <w:szCs w:val="18"/>
                <w:color w:val="auto"/>
                <w:w w:val="93"/>
              </w:rPr>
              <w:t>-$0-</w:t>
            </w:r>
          </w:p>
        </w:tc>
        <w:tc>
          <w:tcPr>
            <w:tcW w:w="154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$15,000,000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Stifel Bank &amp; Trust</w:t>
            </w:r>
          </w:p>
        </w:tc>
        <w:tc>
          <w:tcPr>
            <w:tcW w:w="27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$15,000,000</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0"/>
        </w:trPr>
        <w:tc>
          <w:tcPr>
            <w:tcW w:w="4100" w:type="dxa"/>
            <w:vAlign w:val="bottom"/>
            <w:gridSpan w:val="2"/>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1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7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$120,000,000</w:t>
            </w:r>
          </w:p>
        </w:tc>
        <w:tc>
          <w:tcPr>
            <w:tcW w:w="1540" w:type="dxa"/>
            <w:vAlign w:val="bottom"/>
            <w:gridSpan w:val="2"/>
          </w:tcPr>
          <w:p>
            <w:pPr>
              <w:jc w:val="center"/>
              <w:ind w:left="23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425,000,000.00</w:t>
            </w:r>
          </w:p>
        </w:tc>
        <w:tc>
          <w:tcPr>
            <w:tcW w:w="4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545,000,000.00</w:t>
            </w:r>
          </w:p>
        </w:tc>
        <w:tc>
          <w:tcPr>
            <w:tcW w:w="0" w:type="dxa"/>
            <w:vAlign w:val="bottom"/>
          </w:tcPr>
          <w:p>
            <w:pPr>
              <w:spacing w:after="0"/>
              <w:rPr>
                <w:sz w:val="1"/>
                <w:szCs w:val="1"/>
                <w:color w:val="auto"/>
              </w:rPr>
            </w:pPr>
          </w:p>
        </w:tc>
      </w:tr>
      <w:tr>
        <w:trPr>
          <w:trHeight w:val="372"/>
        </w:trPr>
        <w:tc>
          <w:tcPr>
            <w:tcW w:w="10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720" w:type="dxa"/>
            <w:vAlign w:val="bottom"/>
          </w:tcPr>
          <w:p>
            <w:pPr>
              <w:jc w:val="right"/>
              <w:ind w:right="970"/>
              <w:spacing w:after="0"/>
              <w:rPr>
                <w:sz w:val="20"/>
                <w:szCs w:val="20"/>
                <w:color w:val="auto"/>
              </w:rPr>
            </w:pPr>
            <w:r>
              <w:rPr>
                <w:rFonts w:ascii="Arial" w:cs="Arial" w:eastAsia="Arial" w:hAnsi="Arial"/>
                <w:sz w:val="18"/>
                <w:szCs w:val="18"/>
                <w:color w:val="auto"/>
              </w:rPr>
              <w:t>140</w:t>
            </w:r>
          </w:p>
        </w:tc>
        <w:tc>
          <w:tcPr>
            <w:tcW w:w="12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70" w:right="339" w:bottom="1440" w:gutter="0" w:footer="0" w:header="0"/>
        </w:sectPr>
      </w:pPr>
    </w:p>
    <w:bookmarkStart w:id="151" w:name="page152"/>
    <w:bookmarkEnd w:id="15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300" w:type="dxa"/>
            <w:vAlign w:val="bottom"/>
            <w:gridSpan w:val="4"/>
          </w:tcPr>
          <w:p>
            <w:pPr>
              <w:jc w:val="center"/>
              <w:ind w:right="1540"/>
              <w:spacing w:after="0"/>
              <w:rPr>
                <w:sz w:val="20"/>
                <w:szCs w:val="20"/>
                <w:color w:val="auto"/>
              </w:rPr>
            </w:pPr>
            <w:r>
              <w:rPr>
                <w:rFonts w:ascii="Arial" w:cs="Arial" w:eastAsia="Arial" w:hAnsi="Arial"/>
                <w:sz w:val="18"/>
                <w:szCs w:val="18"/>
                <w:b w:val="1"/>
                <w:bCs w:val="1"/>
                <w:color w:val="auto"/>
                <w:w w:val="87"/>
              </w:rPr>
              <w:t>Schedule 1.01(c)</w:t>
            </w:r>
          </w:p>
        </w:tc>
        <w:tc>
          <w:tcPr>
            <w:tcW w:w="26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20"/>
        </w:trPr>
        <w:tc>
          <w:tcPr>
            <w:tcW w:w="7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412"/>
        </w:trPr>
        <w:tc>
          <w:tcPr>
            <w:tcW w:w="7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280" w:type="dxa"/>
            <w:vAlign w:val="bottom"/>
            <w:gridSpan w:val="6"/>
          </w:tcPr>
          <w:p>
            <w:pPr>
              <w:jc w:val="center"/>
              <w:ind w:right="560"/>
              <w:spacing w:after="0"/>
              <w:rPr>
                <w:sz w:val="20"/>
                <w:szCs w:val="20"/>
                <w:color w:val="auto"/>
              </w:rPr>
            </w:pPr>
            <w:r>
              <w:rPr>
                <w:rFonts w:ascii="Arial" w:cs="Arial" w:eastAsia="Arial" w:hAnsi="Arial"/>
                <w:sz w:val="18"/>
                <w:szCs w:val="18"/>
                <w:b w:val="1"/>
                <w:bCs w:val="1"/>
                <w:color w:val="auto"/>
                <w:w w:val="91"/>
              </w:rPr>
              <w:t>Industry Classification Group List</w:t>
            </w:r>
          </w:p>
        </w:tc>
        <w:tc>
          <w:tcPr>
            <w:tcW w:w="26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453"/>
        </w:trPr>
        <w:tc>
          <w:tcPr>
            <w:tcW w:w="3760" w:type="dxa"/>
            <w:vAlign w:val="bottom"/>
            <w:gridSpan w:val="2"/>
          </w:tcPr>
          <w:p>
            <w:pPr>
              <w:spacing w:after="0"/>
              <w:rPr>
                <w:sz w:val="20"/>
                <w:szCs w:val="20"/>
                <w:color w:val="auto"/>
              </w:rPr>
            </w:pPr>
            <w:r>
              <w:rPr>
                <w:rFonts w:ascii="Arial" w:cs="Arial" w:eastAsia="Arial" w:hAnsi="Arial"/>
                <w:sz w:val="18"/>
                <w:szCs w:val="18"/>
                <w:color w:val="auto"/>
              </w:rPr>
              <w:t>Industry Classification Groups:</w:t>
            </w:r>
          </w:p>
        </w:tc>
        <w:tc>
          <w:tcPr>
            <w:tcW w:w="54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445"/>
        </w:trPr>
        <w:tc>
          <w:tcPr>
            <w:tcW w:w="760" w:type="dxa"/>
            <w:vAlign w:val="bottom"/>
          </w:tcPr>
          <w:p>
            <w:pPr>
              <w:ind w:left="580"/>
              <w:spacing w:after="0"/>
              <w:rPr>
                <w:sz w:val="20"/>
                <w:szCs w:val="20"/>
                <w:color w:val="auto"/>
              </w:rPr>
            </w:pPr>
            <w:r>
              <w:rPr>
                <w:rFonts w:ascii="Arial" w:cs="Arial" w:eastAsia="Arial" w:hAnsi="Arial"/>
                <w:sz w:val="18"/>
                <w:szCs w:val="18"/>
                <w:color w:val="auto"/>
              </w:rPr>
              <w:t>•</w:t>
            </w:r>
          </w:p>
        </w:tc>
        <w:tc>
          <w:tcPr>
            <w:tcW w:w="3000" w:type="dxa"/>
            <w:vAlign w:val="bottom"/>
          </w:tcPr>
          <w:p>
            <w:pPr>
              <w:ind w:left="140"/>
              <w:spacing w:after="0"/>
              <w:rPr>
                <w:sz w:val="20"/>
                <w:szCs w:val="20"/>
                <w:color w:val="auto"/>
              </w:rPr>
            </w:pPr>
            <w:r>
              <w:rPr>
                <w:rFonts w:ascii="Arial" w:cs="Arial" w:eastAsia="Arial" w:hAnsi="Arial"/>
                <w:sz w:val="18"/>
                <w:szCs w:val="18"/>
                <w:color w:val="auto"/>
              </w:rPr>
              <w:t>Aerospace and Defense</w:t>
            </w:r>
          </w:p>
        </w:tc>
        <w:tc>
          <w:tcPr>
            <w:tcW w:w="540" w:type="dxa"/>
            <w:vAlign w:val="bottom"/>
          </w:tcPr>
          <w:p>
            <w:pPr>
              <w:spacing w:after="0"/>
              <w:rPr>
                <w:sz w:val="24"/>
                <w:szCs w:val="24"/>
                <w:color w:val="auto"/>
              </w:rPr>
            </w:pPr>
          </w:p>
        </w:tc>
        <w:tc>
          <w:tcPr>
            <w:tcW w:w="440" w:type="dxa"/>
            <w:vAlign w:val="bottom"/>
          </w:tcPr>
          <w:p>
            <w:pPr>
              <w:ind w:left="240"/>
              <w:spacing w:after="0"/>
              <w:rPr>
                <w:sz w:val="20"/>
                <w:szCs w:val="20"/>
                <w:color w:val="auto"/>
              </w:rPr>
            </w:pPr>
            <w:r>
              <w:rPr>
                <w:rFonts w:ascii="Arial" w:cs="Arial" w:eastAsia="Arial" w:hAnsi="Arial"/>
                <w:sz w:val="18"/>
                <w:szCs w:val="18"/>
                <w:color w:val="auto"/>
              </w:rPr>
              <w:t>•</w:t>
            </w:r>
          </w:p>
        </w:tc>
        <w:tc>
          <w:tcPr>
            <w:tcW w:w="3300" w:type="dxa"/>
            <w:vAlign w:val="bottom"/>
            <w:gridSpan w:val="4"/>
          </w:tcPr>
          <w:p>
            <w:pPr>
              <w:ind w:left="140"/>
              <w:spacing w:after="0"/>
              <w:rPr>
                <w:sz w:val="20"/>
                <w:szCs w:val="20"/>
                <w:color w:val="auto"/>
              </w:rPr>
            </w:pPr>
            <w:r>
              <w:rPr>
                <w:rFonts w:ascii="Arial" w:cs="Arial" w:eastAsia="Arial" w:hAnsi="Arial"/>
                <w:sz w:val="18"/>
                <w:szCs w:val="18"/>
                <w:color w:val="auto"/>
                <w:w w:val="98"/>
              </w:rPr>
              <w:t>Diversified Natural Resources, Precious</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2840" w:type="dxa"/>
            <w:vAlign w:val="bottom"/>
          </w:tcPr>
          <w:p>
            <w:pPr>
              <w:ind w:left="120"/>
              <w:spacing w:after="0"/>
              <w:rPr>
                <w:sz w:val="20"/>
                <w:szCs w:val="20"/>
                <w:color w:val="auto"/>
              </w:rPr>
            </w:pPr>
            <w:r>
              <w:rPr>
                <w:rFonts w:ascii="Arial" w:cs="Arial" w:eastAsia="Arial" w:hAnsi="Arial"/>
                <w:sz w:val="18"/>
                <w:szCs w:val="18"/>
                <w:color w:val="auto"/>
              </w:rPr>
              <w:t>Machinery (Non-Agriculture, Non-</w:t>
            </w:r>
          </w:p>
        </w:tc>
      </w:tr>
      <w:tr>
        <w:trPr>
          <w:trHeight w:val="230"/>
        </w:trPr>
        <w:tc>
          <w:tcPr>
            <w:tcW w:w="76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300" w:type="dxa"/>
            <w:vAlign w:val="bottom"/>
            <w:gridSpan w:val="4"/>
          </w:tcPr>
          <w:p>
            <w:pPr>
              <w:jc w:val="center"/>
              <w:ind w:right="1500"/>
              <w:spacing w:after="0"/>
              <w:rPr>
                <w:sz w:val="20"/>
                <w:szCs w:val="20"/>
                <w:color w:val="auto"/>
              </w:rPr>
            </w:pPr>
            <w:r>
              <w:rPr>
                <w:rFonts w:ascii="Arial" w:cs="Arial" w:eastAsia="Arial" w:hAnsi="Arial"/>
                <w:sz w:val="18"/>
                <w:szCs w:val="18"/>
                <w:color w:val="auto"/>
                <w:w w:val="91"/>
              </w:rPr>
              <w:t>Metals and Minerals</w:t>
            </w:r>
          </w:p>
        </w:tc>
        <w:tc>
          <w:tcPr>
            <w:tcW w:w="260" w:type="dxa"/>
            <w:vAlign w:val="bottom"/>
          </w:tcPr>
          <w:p>
            <w:pPr>
              <w:spacing w:after="0"/>
              <w:rPr>
                <w:sz w:val="20"/>
                <w:szCs w:val="20"/>
                <w:color w:val="auto"/>
              </w:rPr>
            </w:pPr>
          </w:p>
        </w:tc>
        <w:tc>
          <w:tcPr>
            <w:tcW w:w="2840" w:type="dxa"/>
            <w:vAlign w:val="bottom"/>
          </w:tcPr>
          <w:p>
            <w:pPr>
              <w:ind w:left="160"/>
              <w:spacing w:after="0"/>
              <w:rPr>
                <w:sz w:val="20"/>
                <w:szCs w:val="20"/>
                <w:color w:val="auto"/>
              </w:rPr>
            </w:pPr>
            <w:r>
              <w:rPr>
                <w:rFonts w:ascii="Arial" w:cs="Arial" w:eastAsia="Arial" w:hAnsi="Arial"/>
                <w:sz w:val="18"/>
                <w:szCs w:val="18"/>
                <w:color w:val="auto"/>
              </w:rPr>
              <w:t>Construction and Non-Electronic)</w:t>
            </w:r>
          </w:p>
        </w:tc>
      </w:tr>
      <w:tr>
        <w:trPr>
          <w:trHeight w:val="324"/>
        </w:trPr>
        <w:tc>
          <w:tcPr>
            <w:tcW w:w="760" w:type="dxa"/>
            <w:vAlign w:val="bottom"/>
          </w:tcPr>
          <w:p>
            <w:pPr>
              <w:ind w:left="580"/>
              <w:spacing w:after="0"/>
              <w:rPr>
                <w:sz w:val="20"/>
                <w:szCs w:val="20"/>
                <w:color w:val="auto"/>
              </w:rPr>
            </w:pPr>
            <w:r>
              <w:rPr>
                <w:rFonts w:ascii="Arial" w:cs="Arial" w:eastAsia="Arial" w:hAnsi="Arial"/>
                <w:sz w:val="18"/>
                <w:szCs w:val="18"/>
                <w:color w:val="auto"/>
              </w:rPr>
              <w:t>•</w:t>
            </w:r>
          </w:p>
        </w:tc>
        <w:tc>
          <w:tcPr>
            <w:tcW w:w="3000" w:type="dxa"/>
            <w:vAlign w:val="bottom"/>
          </w:tcPr>
          <w:p>
            <w:pPr>
              <w:ind w:left="140"/>
              <w:spacing w:after="0"/>
              <w:rPr>
                <w:sz w:val="20"/>
                <w:szCs w:val="20"/>
                <w:color w:val="auto"/>
              </w:rPr>
            </w:pPr>
            <w:r>
              <w:rPr>
                <w:rFonts w:ascii="Arial" w:cs="Arial" w:eastAsia="Arial" w:hAnsi="Arial"/>
                <w:sz w:val="18"/>
                <w:szCs w:val="18"/>
                <w:color w:val="auto"/>
              </w:rPr>
              <w:t>Auto sector</w:t>
            </w:r>
          </w:p>
        </w:tc>
        <w:tc>
          <w:tcPr>
            <w:tcW w:w="540" w:type="dxa"/>
            <w:vAlign w:val="bottom"/>
          </w:tcPr>
          <w:p>
            <w:pPr>
              <w:spacing w:after="0"/>
              <w:rPr>
                <w:sz w:val="24"/>
                <w:szCs w:val="24"/>
                <w:color w:val="auto"/>
              </w:rPr>
            </w:pPr>
          </w:p>
        </w:tc>
        <w:tc>
          <w:tcPr>
            <w:tcW w:w="440" w:type="dxa"/>
            <w:vAlign w:val="bottom"/>
          </w:tcPr>
          <w:p>
            <w:pPr>
              <w:ind w:left="240"/>
              <w:spacing w:after="0"/>
              <w:rPr>
                <w:sz w:val="20"/>
                <w:szCs w:val="20"/>
                <w:color w:val="auto"/>
              </w:rPr>
            </w:pPr>
            <w:r>
              <w:rPr>
                <w:rFonts w:ascii="Arial" w:cs="Arial" w:eastAsia="Arial" w:hAnsi="Arial"/>
                <w:sz w:val="18"/>
                <w:szCs w:val="18"/>
                <w:color w:val="auto"/>
              </w:rPr>
              <w:t>•</w:t>
            </w:r>
          </w:p>
        </w:tc>
        <w:tc>
          <w:tcPr>
            <w:tcW w:w="3300" w:type="dxa"/>
            <w:vAlign w:val="bottom"/>
            <w:gridSpan w:val="4"/>
          </w:tcPr>
          <w:p>
            <w:pPr>
              <w:ind w:left="140"/>
              <w:spacing w:after="0"/>
              <w:rPr>
                <w:sz w:val="20"/>
                <w:szCs w:val="20"/>
                <w:color w:val="auto"/>
              </w:rPr>
            </w:pPr>
            <w:r>
              <w:rPr>
                <w:rFonts w:ascii="Arial" w:cs="Arial" w:eastAsia="Arial" w:hAnsi="Arial"/>
                <w:sz w:val="18"/>
                <w:szCs w:val="18"/>
                <w:color w:val="auto"/>
              </w:rPr>
              <w:t>Ecological</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2840" w:type="dxa"/>
            <w:vAlign w:val="bottom"/>
          </w:tcPr>
          <w:p>
            <w:pPr>
              <w:ind w:left="120"/>
              <w:spacing w:after="0"/>
              <w:rPr>
                <w:sz w:val="20"/>
                <w:szCs w:val="20"/>
                <w:color w:val="auto"/>
              </w:rPr>
            </w:pPr>
            <w:r>
              <w:rPr>
                <w:rFonts w:ascii="Arial" w:cs="Arial" w:eastAsia="Arial" w:hAnsi="Arial"/>
                <w:sz w:val="18"/>
                <w:szCs w:val="18"/>
                <w:color w:val="auto"/>
              </w:rPr>
              <w:t>Manufacturing/ Basic industry</w:t>
            </w:r>
          </w:p>
        </w:tc>
      </w:tr>
      <w:tr>
        <w:trPr>
          <w:trHeight w:val="324"/>
        </w:trPr>
        <w:tc>
          <w:tcPr>
            <w:tcW w:w="760" w:type="dxa"/>
            <w:vAlign w:val="bottom"/>
          </w:tcPr>
          <w:p>
            <w:pPr>
              <w:ind w:left="580"/>
              <w:spacing w:after="0"/>
              <w:rPr>
                <w:sz w:val="20"/>
                <w:szCs w:val="20"/>
                <w:color w:val="auto"/>
              </w:rPr>
            </w:pPr>
            <w:r>
              <w:rPr>
                <w:rFonts w:ascii="Arial" w:cs="Arial" w:eastAsia="Arial" w:hAnsi="Arial"/>
                <w:sz w:val="18"/>
                <w:szCs w:val="18"/>
                <w:color w:val="auto"/>
              </w:rPr>
              <w:t>•</w:t>
            </w:r>
          </w:p>
        </w:tc>
        <w:tc>
          <w:tcPr>
            <w:tcW w:w="3000" w:type="dxa"/>
            <w:vAlign w:val="bottom"/>
          </w:tcPr>
          <w:p>
            <w:pPr>
              <w:ind w:left="140"/>
              <w:spacing w:after="0"/>
              <w:rPr>
                <w:sz w:val="20"/>
                <w:szCs w:val="20"/>
                <w:color w:val="auto"/>
              </w:rPr>
            </w:pPr>
            <w:r>
              <w:rPr>
                <w:rFonts w:ascii="Arial" w:cs="Arial" w:eastAsia="Arial" w:hAnsi="Arial"/>
                <w:sz w:val="18"/>
                <w:szCs w:val="18"/>
                <w:color w:val="auto"/>
              </w:rPr>
              <w:t>Beverage, Food and Tobacco</w:t>
            </w:r>
          </w:p>
        </w:tc>
        <w:tc>
          <w:tcPr>
            <w:tcW w:w="540" w:type="dxa"/>
            <w:vAlign w:val="bottom"/>
          </w:tcPr>
          <w:p>
            <w:pPr>
              <w:spacing w:after="0"/>
              <w:rPr>
                <w:sz w:val="24"/>
                <w:szCs w:val="24"/>
                <w:color w:val="auto"/>
              </w:rPr>
            </w:pPr>
          </w:p>
        </w:tc>
        <w:tc>
          <w:tcPr>
            <w:tcW w:w="440" w:type="dxa"/>
            <w:vAlign w:val="bottom"/>
          </w:tcPr>
          <w:p>
            <w:pPr>
              <w:ind w:left="240"/>
              <w:spacing w:after="0"/>
              <w:rPr>
                <w:sz w:val="20"/>
                <w:szCs w:val="20"/>
                <w:color w:val="auto"/>
              </w:rPr>
            </w:pPr>
            <w:r>
              <w:rPr>
                <w:rFonts w:ascii="Arial" w:cs="Arial" w:eastAsia="Arial" w:hAnsi="Arial"/>
                <w:sz w:val="18"/>
                <w:szCs w:val="18"/>
                <w:color w:val="auto"/>
              </w:rPr>
              <w:t>•</w:t>
            </w:r>
          </w:p>
        </w:tc>
        <w:tc>
          <w:tcPr>
            <w:tcW w:w="3300" w:type="dxa"/>
            <w:vAlign w:val="bottom"/>
            <w:gridSpan w:val="4"/>
          </w:tcPr>
          <w:p>
            <w:pPr>
              <w:ind w:left="140"/>
              <w:spacing w:after="0"/>
              <w:rPr>
                <w:sz w:val="20"/>
                <w:szCs w:val="20"/>
                <w:color w:val="auto"/>
              </w:rPr>
            </w:pPr>
            <w:r>
              <w:rPr>
                <w:rFonts w:ascii="Arial" w:cs="Arial" w:eastAsia="Arial" w:hAnsi="Arial"/>
                <w:sz w:val="18"/>
                <w:szCs w:val="18"/>
                <w:color w:val="auto"/>
              </w:rPr>
              <w:t>Education</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2840" w:type="dxa"/>
            <w:vAlign w:val="bottom"/>
          </w:tcPr>
          <w:p>
            <w:pPr>
              <w:ind w:left="120"/>
              <w:spacing w:after="0"/>
              <w:rPr>
                <w:sz w:val="20"/>
                <w:szCs w:val="20"/>
                <w:color w:val="auto"/>
              </w:rPr>
            </w:pPr>
            <w:r>
              <w:rPr>
                <w:rFonts w:ascii="Arial" w:cs="Arial" w:eastAsia="Arial" w:hAnsi="Arial"/>
                <w:sz w:val="18"/>
                <w:szCs w:val="18"/>
                <w:color w:val="auto"/>
              </w:rPr>
              <w:t>Media</w:t>
            </w:r>
          </w:p>
        </w:tc>
      </w:tr>
      <w:tr>
        <w:trPr>
          <w:trHeight w:val="310"/>
        </w:trPr>
        <w:tc>
          <w:tcPr>
            <w:tcW w:w="760" w:type="dxa"/>
            <w:vAlign w:val="bottom"/>
          </w:tcPr>
          <w:p>
            <w:pPr>
              <w:ind w:left="580"/>
              <w:spacing w:after="0"/>
              <w:rPr>
                <w:sz w:val="20"/>
                <w:szCs w:val="20"/>
                <w:color w:val="auto"/>
              </w:rPr>
            </w:pPr>
            <w:r>
              <w:rPr>
                <w:rFonts w:ascii="Arial" w:cs="Arial" w:eastAsia="Arial" w:hAnsi="Arial"/>
                <w:sz w:val="18"/>
                <w:szCs w:val="18"/>
                <w:color w:val="auto"/>
              </w:rPr>
              <w:t>•</w:t>
            </w:r>
          </w:p>
        </w:tc>
        <w:tc>
          <w:tcPr>
            <w:tcW w:w="3000" w:type="dxa"/>
            <w:vAlign w:val="bottom"/>
          </w:tcPr>
          <w:p>
            <w:pPr>
              <w:ind w:left="140"/>
              <w:spacing w:after="0"/>
              <w:rPr>
                <w:sz w:val="20"/>
                <w:szCs w:val="20"/>
                <w:color w:val="auto"/>
              </w:rPr>
            </w:pPr>
            <w:r>
              <w:rPr>
                <w:rFonts w:ascii="Arial" w:cs="Arial" w:eastAsia="Arial" w:hAnsi="Arial"/>
                <w:sz w:val="18"/>
                <w:szCs w:val="18"/>
                <w:color w:val="auto"/>
              </w:rPr>
              <w:t>Broadcasting and entertainment</w:t>
            </w:r>
          </w:p>
        </w:tc>
        <w:tc>
          <w:tcPr>
            <w:tcW w:w="540" w:type="dxa"/>
            <w:vAlign w:val="bottom"/>
          </w:tcPr>
          <w:p>
            <w:pPr>
              <w:spacing w:after="0"/>
              <w:rPr>
                <w:sz w:val="24"/>
                <w:szCs w:val="24"/>
                <w:color w:val="auto"/>
              </w:rPr>
            </w:pPr>
          </w:p>
        </w:tc>
        <w:tc>
          <w:tcPr>
            <w:tcW w:w="440" w:type="dxa"/>
            <w:vAlign w:val="bottom"/>
          </w:tcPr>
          <w:p>
            <w:pPr>
              <w:ind w:left="240"/>
              <w:spacing w:after="0"/>
              <w:rPr>
                <w:sz w:val="20"/>
                <w:szCs w:val="20"/>
                <w:color w:val="auto"/>
              </w:rPr>
            </w:pPr>
            <w:r>
              <w:rPr>
                <w:rFonts w:ascii="Arial" w:cs="Arial" w:eastAsia="Arial" w:hAnsi="Arial"/>
                <w:sz w:val="18"/>
                <w:szCs w:val="18"/>
                <w:color w:val="auto"/>
              </w:rPr>
              <w:t>•</w:t>
            </w:r>
          </w:p>
        </w:tc>
        <w:tc>
          <w:tcPr>
            <w:tcW w:w="3300" w:type="dxa"/>
            <w:vAlign w:val="bottom"/>
            <w:gridSpan w:val="4"/>
          </w:tcPr>
          <w:p>
            <w:pPr>
              <w:ind w:left="140"/>
              <w:spacing w:after="0"/>
              <w:rPr>
                <w:sz w:val="20"/>
                <w:szCs w:val="20"/>
                <w:color w:val="auto"/>
              </w:rPr>
            </w:pPr>
            <w:r>
              <w:rPr>
                <w:rFonts w:ascii="Arial" w:cs="Arial" w:eastAsia="Arial" w:hAnsi="Arial"/>
                <w:sz w:val="18"/>
                <w:szCs w:val="18"/>
                <w:color w:val="auto"/>
              </w:rPr>
              <w:t>Electronics</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2840" w:type="dxa"/>
            <w:vAlign w:val="bottom"/>
          </w:tcPr>
          <w:p>
            <w:pPr>
              <w:ind w:left="120"/>
              <w:spacing w:after="0"/>
              <w:rPr>
                <w:sz w:val="20"/>
                <w:szCs w:val="20"/>
                <w:color w:val="auto"/>
              </w:rPr>
            </w:pPr>
            <w:r>
              <w:rPr>
                <w:rFonts w:ascii="Arial" w:cs="Arial" w:eastAsia="Arial" w:hAnsi="Arial"/>
                <w:sz w:val="18"/>
                <w:szCs w:val="18"/>
                <w:color w:val="auto"/>
                <w:w w:val="91"/>
              </w:rPr>
              <w:t>Mining, Steel, Iron and Non-Precious</w:t>
            </w:r>
          </w:p>
        </w:tc>
      </w:tr>
      <w:tr>
        <w:trPr>
          <w:trHeight w:val="230"/>
        </w:trPr>
        <w:tc>
          <w:tcPr>
            <w:tcW w:w="76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40" w:type="dxa"/>
            <w:vAlign w:val="bottom"/>
          </w:tcPr>
          <w:p>
            <w:pPr>
              <w:ind w:left="160"/>
              <w:spacing w:after="0"/>
              <w:rPr>
                <w:sz w:val="20"/>
                <w:szCs w:val="20"/>
                <w:color w:val="auto"/>
              </w:rPr>
            </w:pPr>
            <w:r>
              <w:rPr>
                <w:rFonts w:ascii="Arial" w:cs="Arial" w:eastAsia="Arial" w:hAnsi="Arial"/>
                <w:sz w:val="18"/>
                <w:szCs w:val="18"/>
                <w:color w:val="auto"/>
              </w:rPr>
              <w:t>Metals</w:t>
            </w:r>
          </w:p>
        </w:tc>
      </w:tr>
      <w:tr>
        <w:trPr>
          <w:trHeight w:val="324"/>
        </w:trPr>
        <w:tc>
          <w:tcPr>
            <w:tcW w:w="760" w:type="dxa"/>
            <w:vAlign w:val="bottom"/>
          </w:tcPr>
          <w:p>
            <w:pPr>
              <w:ind w:left="580"/>
              <w:spacing w:after="0"/>
              <w:rPr>
                <w:sz w:val="20"/>
                <w:szCs w:val="20"/>
                <w:color w:val="auto"/>
              </w:rPr>
            </w:pPr>
            <w:r>
              <w:rPr>
                <w:rFonts w:ascii="Arial" w:cs="Arial" w:eastAsia="Arial" w:hAnsi="Arial"/>
                <w:sz w:val="18"/>
                <w:szCs w:val="18"/>
                <w:color w:val="auto"/>
              </w:rPr>
              <w:t>•</w:t>
            </w:r>
          </w:p>
        </w:tc>
        <w:tc>
          <w:tcPr>
            <w:tcW w:w="3000" w:type="dxa"/>
            <w:vAlign w:val="bottom"/>
          </w:tcPr>
          <w:p>
            <w:pPr>
              <w:ind w:left="140"/>
              <w:spacing w:after="0"/>
              <w:rPr>
                <w:sz w:val="20"/>
                <w:szCs w:val="20"/>
                <w:color w:val="auto"/>
              </w:rPr>
            </w:pPr>
            <w:r>
              <w:rPr>
                <w:rFonts w:ascii="Arial" w:cs="Arial" w:eastAsia="Arial" w:hAnsi="Arial"/>
                <w:sz w:val="18"/>
                <w:szCs w:val="18"/>
                <w:color w:val="auto"/>
              </w:rPr>
              <w:t>Building materials</w:t>
            </w:r>
          </w:p>
        </w:tc>
        <w:tc>
          <w:tcPr>
            <w:tcW w:w="540" w:type="dxa"/>
            <w:vAlign w:val="bottom"/>
          </w:tcPr>
          <w:p>
            <w:pPr>
              <w:spacing w:after="0"/>
              <w:rPr>
                <w:sz w:val="24"/>
                <w:szCs w:val="24"/>
                <w:color w:val="auto"/>
              </w:rPr>
            </w:pPr>
          </w:p>
        </w:tc>
        <w:tc>
          <w:tcPr>
            <w:tcW w:w="440" w:type="dxa"/>
            <w:vAlign w:val="bottom"/>
          </w:tcPr>
          <w:p>
            <w:pPr>
              <w:ind w:left="240"/>
              <w:spacing w:after="0"/>
              <w:rPr>
                <w:sz w:val="20"/>
                <w:szCs w:val="20"/>
                <w:color w:val="auto"/>
              </w:rPr>
            </w:pPr>
            <w:r>
              <w:rPr>
                <w:rFonts w:ascii="Arial" w:cs="Arial" w:eastAsia="Arial" w:hAnsi="Arial"/>
                <w:sz w:val="18"/>
                <w:szCs w:val="18"/>
                <w:color w:val="auto"/>
              </w:rPr>
              <w:t>•</w:t>
            </w:r>
          </w:p>
        </w:tc>
        <w:tc>
          <w:tcPr>
            <w:tcW w:w="3300" w:type="dxa"/>
            <w:vAlign w:val="bottom"/>
            <w:gridSpan w:val="4"/>
          </w:tcPr>
          <w:p>
            <w:pPr>
              <w:ind w:left="140"/>
              <w:spacing w:after="0"/>
              <w:rPr>
                <w:sz w:val="20"/>
                <w:szCs w:val="20"/>
                <w:color w:val="auto"/>
              </w:rPr>
            </w:pPr>
            <w:r>
              <w:rPr>
                <w:rFonts w:ascii="Arial" w:cs="Arial" w:eastAsia="Arial" w:hAnsi="Arial"/>
                <w:sz w:val="18"/>
                <w:szCs w:val="18"/>
                <w:color w:val="auto"/>
              </w:rPr>
              <w:t>Energy/Utilities</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2840" w:type="dxa"/>
            <w:vAlign w:val="bottom"/>
          </w:tcPr>
          <w:p>
            <w:pPr>
              <w:ind w:left="120"/>
              <w:spacing w:after="0"/>
              <w:rPr>
                <w:sz w:val="20"/>
                <w:szCs w:val="20"/>
                <w:color w:val="auto"/>
              </w:rPr>
            </w:pPr>
            <w:r>
              <w:rPr>
                <w:rFonts w:ascii="Arial" w:cs="Arial" w:eastAsia="Arial" w:hAnsi="Arial"/>
                <w:sz w:val="18"/>
                <w:szCs w:val="18"/>
                <w:color w:val="auto"/>
              </w:rPr>
              <w:t>Oil and Gas</w:t>
            </w:r>
          </w:p>
        </w:tc>
      </w:tr>
      <w:tr>
        <w:trPr>
          <w:trHeight w:val="324"/>
        </w:trPr>
        <w:tc>
          <w:tcPr>
            <w:tcW w:w="760" w:type="dxa"/>
            <w:vAlign w:val="bottom"/>
          </w:tcPr>
          <w:p>
            <w:pPr>
              <w:ind w:left="580"/>
              <w:spacing w:after="0"/>
              <w:rPr>
                <w:sz w:val="20"/>
                <w:szCs w:val="20"/>
                <w:color w:val="auto"/>
              </w:rPr>
            </w:pPr>
            <w:r>
              <w:rPr>
                <w:rFonts w:ascii="Arial" w:cs="Arial" w:eastAsia="Arial" w:hAnsi="Arial"/>
                <w:sz w:val="18"/>
                <w:szCs w:val="18"/>
                <w:color w:val="auto"/>
              </w:rPr>
              <w:t>•</w:t>
            </w:r>
          </w:p>
        </w:tc>
        <w:tc>
          <w:tcPr>
            <w:tcW w:w="3000" w:type="dxa"/>
            <w:vAlign w:val="bottom"/>
          </w:tcPr>
          <w:p>
            <w:pPr>
              <w:ind w:left="140"/>
              <w:spacing w:after="0"/>
              <w:rPr>
                <w:sz w:val="20"/>
                <w:szCs w:val="20"/>
                <w:color w:val="auto"/>
              </w:rPr>
            </w:pPr>
            <w:r>
              <w:rPr>
                <w:rFonts w:ascii="Arial" w:cs="Arial" w:eastAsia="Arial" w:hAnsi="Arial"/>
                <w:sz w:val="18"/>
                <w:szCs w:val="18"/>
                <w:color w:val="auto"/>
              </w:rPr>
              <w:t>Buildings and real estate</w:t>
            </w:r>
          </w:p>
        </w:tc>
        <w:tc>
          <w:tcPr>
            <w:tcW w:w="540" w:type="dxa"/>
            <w:vAlign w:val="bottom"/>
          </w:tcPr>
          <w:p>
            <w:pPr>
              <w:spacing w:after="0"/>
              <w:rPr>
                <w:sz w:val="24"/>
                <w:szCs w:val="24"/>
                <w:color w:val="auto"/>
              </w:rPr>
            </w:pPr>
          </w:p>
        </w:tc>
        <w:tc>
          <w:tcPr>
            <w:tcW w:w="440" w:type="dxa"/>
            <w:vAlign w:val="bottom"/>
          </w:tcPr>
          <w:p>
            <w:pPr>
              <w:ind w:left="240"/>
              <w:spacing w:after="0"/>
              <w:rPr>
                <w:sz w:val="20"/>
                <w:szCs w:val="20"/>
                <w:color w:val="auto"/>
              </w:rPr>
            </w:pPr>
            <w:r>
              <w:rPr>
                <w:rFonts w:ascii="Arial" w:cs="Arial" w:eastAsia="Arial" w:hAnsi="Arial"/>
                <w:sz w:val="18"/>
                <w:szCs w:val="18"/>
                <w:color w:val="auto"/>
              </w:rPr>
              <w:t>•</w:t>
            </w:r>
          </w:p>
        </w:tc>
        <w:tc>
          <w:tcPr>
            <w:tcW w:w="3300" w:type="dxa"/>
            <w:vAlign w:val="bottom"/>
            <w:gridSpan w:val="4"/>
          </w:tcPr>
          <w:p>
            <w:pPr>
              <w:ind w:left="140"/>
              <w:spacing w:after="0"/>
              <w:rPr>
                <w:sz w:val="20"/>
                <w:szCs w:val="20"/>
                <w:color w:val="auto"/>
              </w:rPr>
            </w:pPr>
            <w:r>
              <w:rPr>
                <w:rFonts w:ascii="Arial" w:cs="Arial" w:eastAsia="Arial" w:hAnsi="Arial"/>
                <w:sz w:val="18"/>
                <w:szCs w:val="18"/>
                <w:color w:val="auto"/>
              </w:rPr>
              <w:t>Environmental services</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2840" w:type="dxa"/>
            <w:vAlign w:val="bottom"/>
          </w:tcPr>
          <w:p>
            <w:pPr>
              <w:ind w:left="120"/>
              <w:spacing w:after="0"/>
              <w:rPr>
                <w:sz w:val="20"/>
                <w:szCs w:val="20"/>
                <w:color w:val="auto"/>
              </w:rPr>
            </w:pPr>
            <w:r>
              <w:rPr>
                <w:rFonts w:ascii="Arial" w:cs="Arial" w:eastAsia="Arial" w:hAnsi="Arial"/>
                <w:sz w:val="18"/>
                <w:szCs w:val="18"/>
                <w:color w:val="auto"/>
              </w:rPr>
              <w:t>Other Media</w:t>
            </w:r>
          </w:p>
        </w:tc>
      </w:tr>
      <w:tr>
        <w:trPr>
          <w:trHeight w:val="324"/>
        </w:trPr>
        <w:tc>
          <w:tcPr>
            <w:tcW w:w="760" w:type="dxa"/>
            <w:vAlign w:val="bottom"/>
          </w:tcPr>
          <w:p>
            <w:pPr>
              <w:ind w:left="580"/>
              <w:spacing w:after="0"/>
              <w:rPr>
                <w:sz w:val="20"/>
                <w:szCs w:val="20"/>
                <w:color w:val="auto"/>
              </w:rPr>
            </w:pPr>
            <w:r>
              <w:rPr>
                <w:rFonts w:ascii="Arial" w:cs="Arial" w:eastAsia="Arial" w:hAnsi="Arial"/>
                <w:sz w:val="18"/>
                <w:szCs w:val="18"/>
                <w:color w:val="auto"/>
              </w:rPr>
              <w:t>•</w:t>
            </w:r>
          </w:p>
        </w:tc>
        <w:tc>
          <w:tcPr>
            <w:tcW w:w="3000" w:type="dxa"/>
            <w:vAlign w:val="bottom"/>
          </w:tcPr>
          <w:p>
            <w:pPr>
              <w:ind w:left="140"/>
              <w:spacing w:after="0"/>
              <w:rPr>
                <w:sz w:val="20"/>
                <w:szCs w:val="20"/>
                <w:color w:val="auto"/>
              </w:rPr>
            </w:pPr>
            <w:r>
              <w:rPr>
                <w:rFonts w:ascii="Arial" w:cs="Arial" w:eastAsia="Arial" w:hAnsi="Arial"/>
                <w:sz w:val="18"/>
                <w:szCs w:val="18"/>
                <w:color w:val="auto"/>
              </w:rPr>
              <w:t>Business services</w:t>
            </w:r>
          </w:p>
        </w:tc>
        <w:tc>
          <w:tcPr>
            <w:tcW w:w="540" w:type="dxa"/>
            <w:vAlign w:val="bottom"/>
          </w:tcPr>
          <w:p>
            <w:pPr>
              <w:spacing w:after="0"/>
              <w:rPr>
                <w:sz w:val="24"/>
                <w:szCs w:val="24"/>
                <w:color w:val="auto"/>
              </w:rPr>
            </w:pPr>
          </w:p>
        </w:tc>
        <w:tc>
          <w:tcPr>
            <w:tcW w:w="440" w:type="dxa"/>
            <w:vAlign w:val="bottom"/>
          </w:tcPr>
          <w:p>
            <w:pPr>
              <w:ind w:left="240"/>
              <w:spacing w:after="0"/>
              <w:rPr>
                <w:sz w:val="20"/>
                <w:szCs w:val="20"/>
                <w:color w:val="auto"/>
              </w:rPr>
            </w:pPr>
            <w:r>
              <w:rPr>
                <w:rFonts w:ascii="Arial" w:cs="Arial" w:eastAsia="Arial" w:hAnsi="Arial"/>
                <w:sz w:val="18"/>
                <w:szCs w:val="18"/>
                <w:color w:val="auto"/>
              </w:rPr>
              <w:t>•</w:t>
            </w:r>
          </w:p>
        </w:tc>
        <w:tc>
          <w:tcPr>
            <w:tcW w:w="3300" w:type="dxa"/>
            <w:vAlign w:val="bottom"/>
            <w:gridSpan w:val="4"/>
          </w:tcPr>
          <w:p>
            <w:pPr>
              <w:ind w:left="140"/>
              <w:spacing w:after="0"/>
              <w:rPr>
                <w:sz w:val="20"/>
                <w:szCs w:val="20"/>
                <w:color w:val="auto"/>
              </w:rPr>
            </w:pPr>
            <w:r>
              <w:rPr>
                <w:rFonts w:ascii="Arial" w:cs="Arial" w:eastAsia="Arial" w:hAnsi="Arial"/>
                <w:sz w:val="18"/>
                <w:szCs w:val="18"/>
                <w:color w:val="auto"/>
              </w:rPr>
              <w:t>Farming and Agriculture</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2840" w:type="dxa"/>
            <w:vAlign w:val="bottom"/>
          </w:tcPr>
          <w:p>
            <w:pPr>
              <w:ind w:left="120"/>
              <w:spacing w:after="0"/>
              <w:rPr>
                <w:sz w:val="20"/>
                <w:szCs w:val="20"/>
                <w:color w:val="auto"/>
              </w:rPr>
            </w:pPr>
            <w:r>
              <w:rPr>
                <w:rFonts w:ascii="Arial" w:cs="Arial" w:eastAsia="Arial" w:hAnsi="Arial"/>
                <w:sz w:val="18"/>
                <w:szCs w:val="18"/>
                <w:color w:val="auto"/>
              </w:rPr>
              <w:t>Packaging</w:t>
            </w:r>
          </w:p>
        </w:tc>
      </w:tr>
      <w:tr>
        <w:trPr>
          <w:trHeight w:val="310"/>
        </w:trPr>
        <w:tc>
          <w:tcPr>
            <w:tcW w:w="760" w:type="dxa"/>
            <w:vAlign w:val="bottom"/>
          </w:tcPr>
          <w:p>
            <w:pPr>
              <w:ind w:left="580"/>
              <w:spacing w:after="0"/>
              <w:rPr>
                <w:sz w:val="20"/>
                <w:szCs w:val="20"/>
                <w:color w:val="auto"/>
              </w:rPr>
            </w:pPr>
            <w:r>
              <w:rPr>
                <w:rFonts w:ascii="Arial" w:cs="Arial" w:eastAsia="Arial" w:hAnsi="Arial"/>
                <w:sz w:val="18"/>
                <w:szCs w:val="18"/>
                <w:color w:val="auto"/>
              </w:rPr>
              <w:t>•</w:t>
            </w:r>
          </w:p>
        </w:tc>
        <w:tc>
          <w:tcPr>
            <w:tcW w:w="3000" w:type="dxa"/>
            <w:vAlign w:val="bottom"/>
          </w:tcPr>
          <w:p>
            <w:pPr>
              <w:ind w:left="140"/>
              <w:spacing w:after="0"/>
              <w:rPr>
                <w:sz w:val="20"/>
                <w:szCs w:val="20"/>
                <w:color w:val="auto"/>
              </w:rPr>
            </w:pPr>
            <w:r>
              <w:rPr>
                <w:rFonts w:ascii="Arial" w:cs="Arial" w:eastAsia="Arial" w:hAnsi="Arial"/>
                <w:sz w:val="18"/>
                <w:szCs w:val="18"/>
                <w:color w:val="auto"/>
              </w:rPr>
              <w:t>Cable television</w:t>
            </w:r>
          </w:p>
        </w:tc>
        <w:tc>
          <w:tcPr>
            <w:tcW w:w="540" w:type="dxa"/>
            <w:vAlign w:val="bottom"/>
          </w:tcPr>
          <w:p>
            <w:pPr>
              <w:spacing w:after="0"/>
              <w:rPr>
                <w:sz w:val="24"/>
                <w:szCs w:val="24"/>
                <w:color w:val="auto"/>
              </w:rPr>
            </w:pPr>
          </w:p>
        </w:tc>
        <w:tc>
          <w:tcPr>
            <w:tcW w:w="440" w:type="dxa"/>
            <w:vAlign w:val="bottom"/>
          </w:tcPr>
          <w:p>
            <w:pPr>
              <w:ind w:left="240"/>
              <w:spacing w:after="0"/>
              <w:rPr>
                <w:sz w:val="20"/>
                <w:szCs w:val="20"/>
                <w:color w:val="auto"/>
              </w:rPr>
            </w:pPr>
            <w:r>
              <w:rPr>
                <w:rFonts w:ascii="Arial" w:cs="Arial" w:eastAsia="Arial" w:hAnsi="Arial"/>
                <w:sz w:val="18"/>
                <w:szCs w:val="18"/>
                <w:color w:val="auto"/>
              </w:rPr>
              <w:t>•</w:t>
            </w:r>
          </w:p>
        </w:tc>
        <w:tc>
          <w:tcPr>
            <w:tcW w:w="3300" w:type="dxa"/>
            <w:vAlign w:val="bottom"/>
            <w:gridSpan w:val="4"/>
          </w:tcPr>
          <w:p>
            <w:pPr>
              <w:ind w:left="140"/>
              <w:spacing w:after="0"/>
              <w:rPr>
                <w:sz w:val="20"/>
                <w:szCs w:val="20"/>
                <w:color w:val="auto"/>
              </w:rPr>
            </w:pPr>
            <w:r>
              <w:rPr>
                <w:rFonts w:ascii="Arial" w:cs="Arial" w:eastAsia="Arial" w:hAnsi="Arial"/>
                <w:sz w:val="18"/>
                <w:szCs w:val="18"/>
                <w:color w:val="auto"/>
              </w:rPr>
              <w:t>Finance</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2840" w:type="dxa"/>
            <w:vAlign w:val="bottom"/>
          </w:tcPr>
          <w:p>
            <w:pPr>
              <w:ind w:left="120"/>
              <w:spacing w:after="0"/>
              <w:rPr>
                <w:sz w:val="20"/>
                <w:szCs w:val="20"/>
                <w:color w:val="auto"/>
              </w:rPr>
            </w:pPr>
            <w:r>
              <w:rPr>
                <w:rFonts w:ascii="Arial" w:cs="Arial" w:eastAsia="Arial" w:hAnsi="Arial"/>
                <w:sz w:val="18"/>
                <w:szCs w:val="18"/>
                <w:color w:val="auto"/>
                <w:w w:val="89"/>
              </w:rPr>
              <w:t>Personal and Non-Durable Consumer</w:t>
            </w:r>
          </w:p>
        </w:tc>
      </w:tr>
      <w:tr>
        <w:trPr>
          <w:trHeight w:val="230"/>
        </w:trPr>
        <w:tc>
          <w:tcPr>
            <w:tcW w:w="76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40" w:type="dxa"/>
            <w:vAlign w:val="bottom"/>
          </w:tcPr>
          <w:p>
            <w:pPr>
              <w:ind w:left="160"/>
              <w:spacing w:after="0"/>
              <w:rPr>
                <w:sz w:val="20"/>
                <w:szCs w:val="20"/>
                <w:color w:val="auto"/>
              </w:rPr>
            </w:pPr>
            <w:r>
              <w:rPr>
                <w:rFonts w:ascii="Arial" w:cs="Arial" w:eastAsia="Arial" w:hAnsi="Arial"/>
                <w:sz w:val="18"/>
                <w:szCs w:val="18"/>
                <w:color w:val="auto"/>
              </w:rPr>
              <w:t>Products (Manufacturing Only)</w:t>
            </w:r>
          </w:p>
        </w:tc>
      </w:tr>
      <w:tr>
        <w:trPr>
          <w:trHeight w:val="310"/>
        </w:trPr>
        <w:tc>
          <w:tcPr>
            <w:tcW w:w="760" w:type="dxa"/>
            <w:vAlign w:val="bottom"/>
          </w:tcPr>
          <w:p>
            <w:pPr>
              <w:ind w:left="580"/>
              <w:spacing w:after="0"/>
              <w:rPr>
                <w:sz w:val="20"/>
                <w:szCs w:val="20"/>
                <w:color w:val="auto"/>
              </w:rPr>
            </w:pPr>
            <w:r>
              <w:rPr>
                <w:rFonts w:ascii="Arial" w:cs="Arial" w:eastAsia="Arial" w:hAnsi="Arial"/>
                <w:sz w:val="18"/>
                <w:szCs w:val="18"/>
                <w:color w:val="auto"/>
              </w:rPr>
              <w:t>•</w:t>
            </w:r>
          </w:p>
        </w:tc>
        <w:tc>
          <w:tcPr>
            <w:tcW w:w="3000" w:type="dxa"/>
            <w:vAlign w:val="bottom"/>
          </w:tcPr>
          <w:p>
            <w:pPr>
              <w:ind w:left="140"/>
              <w:spacing w:after="0"/>
              <w:rPr>
                <w:sz w:val="20"/>
                <w:szCs w:val="20"/>
                <w:color w:val="auto"/>
              </w:rPr>
            </w:pPr>
            <w:r>
              <w:rPr>
                <w:rFonts w:ascii="Arial" w:cs="Arial" w:eastAsia="Arial" w:hAnsi="Arial"/>
                <w:sz w:val="18"/>
                <w:szCs w:val="18"/>
                <w:color w:val="auto"/>
              </w:rPr>
              <w:t>Cargo Transport</w:t>
            </w:r>
          </w:p>
        </w:tc>
        <w:tc>
          <w:tcPr>
            <w:tcW w:w="540" w:type="dxa"/>
            <w:vAlign w:val="bottom"/>
          </w:tcPr>
          <w:p>
            <w:pPr>
              <w:spacing w:after="0"/>
              <w:rPr>
                <w:sz w:val="24"/>
                <w:szCs w:val="24"/>
                <w:color w:val="auto"/>
              </w:rPr>
            </w:pPr>
          </w:p>
        </w:tc>
        <w:tc>
          <w:tcPr>
            <w:tcW w:w="440" w:type="dxa"/>
            <w:vAlign w:val="bottom"/>
          </w:tcPr>
          <w:p>
            <w:pPr>
              <w:ind w:left="240"/>
              <w:spacing w:after="0"/>
              <w:rPr>
                <w:sz w:val="20"/>
                <w:szCs w:val="20"/>
                <w:color w:val="auto"/>
              </w:rPr>
            </w:pPr>
            <w:r>
              <w:rPr>
                <w:rFonts w:ascii="Arial" w:cs="Arial" w:eastAsia="Arial" w:hAnsi="Arial"/>
                <w:sz w:val="18"/>
                <w:szCs w:val="18"/>
                <w:color w:val="auto"/>
              </w:rPr>
              <w:t>•</w:t>
            </w:r>
          </w:p>
        </w:tc>
        <w:tc>
          <w:tcPr>
            <w:tcW w:w="3300" w:type="dxa"/>
            <w:vAlign w:val="bottom"/>
            <w:gridSpan w:val="4"/>
          </w:tcPr>
          <w:p>
            <w:pPr>
              <w:ind w:left="140"/>
              <w:spacing w:after="0"/>
              <w:rPr>
                <w:sz w:val="20"/>
                <w:szCs w:val="20"/>
                <w:color w:val="auto"/>
              </w:rPr>
            </w:pPr>
            <w:r>
              <w:rPr>
                <w:rFonts w:ascii="Arial" w:cs="Arial" w:eastAsia="Arial" w:hAnsi="Arial"/>
                <w:sz w:val="18"/>
                <w:szCs w:val="18"/>
                <w:color w:val="auto"/>
              </w:rPr>
              <w:t>Financial services</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2840" w:type="dxa"/>
            <w:vAlign w:val="bottom"/>
          </w:tcPr>
          <w:p>
            <w:pPr>
              <w:ind w:left="120"/>
              <w:spacing w:after="0"/>
              <w:rPr>
                <w:sz w:val="20"/>
                <w:szCs w:val="20"/>
                <w:color w:val="auto"/>
              </w:rPr>
            </w:pPr>
            <w:r>
              <w:rPr>
                <w:rFonts w:ascii="Arial" w:cs="Arial" w:eastAsia="Arial" w:hAnsi="Arial"/>
                <w:sz w:val="18"/>
                <w:szCs w:val="18"/>
                <w:color w:val="auto"/>
                <w:w w:val="97"/>
              </w:rPr>
              <w:t>Personal, Food and Miscellaneous</w:t>
            </w:r>
          </w:p>
        </w:tc>
      </w:tr>
      <w:tr>
        <w:trPr>
          <w:trHeight w:val="230"/>
        </w:trPr>
        <w:tc>
          <w:tcPr>
            <w:tcW w:w="76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40" w:type="dxa"/>
            <w:vAlign w:val="bottom"/>
          </w:tcPr>
          <w:p>
            <w:pPr>
              <w:ind w:left="160"/>
              <w:spacing w:after="0"/>
              <w:rPr>
                <w:sz w:val="20"/>
                <w:szCs w:val="20"/>
                <w:color w:val="auto"/>
              </w:rPr>
            </w:pPr>
            <w:r>
              <w:rPr>
                <w:rFonts w:ascii="Arial" w:cs="Arial" w:eastAsia="Arial" w:hAnsi="Arial"/>
                <w:sz w:val="18"/>
                <w:szCs w:val="18"/>
                <w:color w:val="auto"/>
              </w:rPr>
              <w:t>Services</w:t>
            </w:r>
          </w:p>
        </w:tc>
      </w:tr>
      <w:tr>
        <w:trPr>
          <w:trHeight w:val="324"/>
        </w:trPr>
        <w:tc>
          <w:tcPr>
            <w:tcW w:w="760" w:type="dxa"/>
            <w:vAlign w:val="bottom"/>
          </w:tcPr>
          <w:p>
            <w:pPr>
              <w:ind w:left="580"/>
              <w:spacing w:after="0"/>
              <w:rPr>
                <w:sz w:val="20"/>
                <w:szCs w:val="20"/>
                <w:color w:val="auto"/>
              </w:rPr>
            </w:pPr>
            <w:r>
              <w:rPr>
                <w:rFonts w:ascii="Arial" w:cs="Arial" w:eastAsia="Arial" w:hAnsi="Arial"/>
                <w:sz w:val="18"/>
                <w:szCs w:val="18"/>
                <w:color w:val="auto"/>
              </w:rPr>
              <w:t>•</w:t>
            </w:r>
          </w:p>
        </w:tc>
        <w:tc>
          <w:tcPr>
            <w:tcW w:w="3000" w:type="dxa"/>
            <w:vAlign w:val="bottom"/>
          </w:tcPr>
          <w:p>
            <w:pPr>
              <w:ind w:left="140"/>
              <w:spacing w:after="0"/>
              <w:rPr>
                <w:sz w:val="20"/>
                <w:szCs w:val="20"/>
                <w:color w:val="auto"/>
              </w:rPr>
            </w:pPr>
            <w:r>
              <w:rPr>
                <w:rFonts w:ascii="Arial" w:cs="Arial" w:eastAsia="Arial" w:hAnsi="Arial"/>
                <w:sz w:val="18"/>
                <w:szCs w:val="18"/>
                <w:color w:val="auto"/>
              </w:rPr>
              <w:t>Chemicals, Plastics and Rubber</w:t>
            </w:r>
          </w:p>
        </w:tc>
        <w:tc>
          <w:tcPr>
            <w:tcW w:w="540" w:type="dxa"/>
            <w:vAlign w:val="bottom"/>
          </w:tcPr>
          <w:p>
            <w:pPr>
              <w:spacing w:after="0"/>
              <w:rPr>
                <w:sz w:val="24"/>
                <w:szCs w:val="24"/>
                <w:color w:val="auto"/>
              </w:rPr>
            </w:pPr>
          </w:p>
        </w:tc>
        <w:tc>
          <w:tcPr>
            <w:tcW w:w="440" w:type="dxa"/>
            <w:vAlign w:val="bottom"/>
          </w:tcPr>
          <w:p>
            <w:pPr>
              <w:ind w:left="240"/>
              <w:spacing w:after="0"/>
              <w:rPr>
                <w:sz w:val="20"/>
                <w:szCs w:val="20"/>
                <w:color w:val="auto"/>
              </w:rPr>
            </w:pPr>
            <w:r>
              <w:rPr>
                <w:rFonts w:ascii="Arial" w:cs="Arial" w:eastAsia="Arial" w:hAnsi="Arial"/>
                <w:sz w:val="18"/>
                <w:szCs w:val="18"/>
                <w:color w:val="auto"/>
              </w:rPr>
              <w:t>•</w:t>
            </w:r>
          </w:p>
        </w:tc>
        <w:tc>
          <w:tcPr>
            <w:tcW w:w="3300" w:type="dxa"/>
            <w:vAlign w:val="bottom"/>
            <w:gridSpan w:val="4"/>
          </w:tcPr>
          <w:p>
            <w:pPr>
              <w:ind w:left="140"/>
              <w:spacing w:after="0"/>
              <w:rPr>
                <w:sz w:val="20"/>
                <w:szCs w:val="20"/>
                <w:color w:val="auto"/>
              </w:rPr>
            </w:pPr>
            <w:r>
              <w:rPr>
                <w:rFonts w:ascii="Arial" w:cs="Arial" w:eastAsia="Arial" w:hAnsi="Arial"/>
                <w:sz w:val="18"/>
                <w:szCs w:val="18"/>
                <w:color w:val="auto"/>
              </w:rPr>
              <w:t>Food</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2840" w:type="dxa"/>
            <w:vAlign w:val="bottom"/>
          </w:tcPr>
          <w:p>
            <w:pPr>
              <w:ind w:left="120"/>
              <w:spacing w:after="0"/>
              <w:rPr>
                <w:sz w:val="20"/>
                <w:szCs w:val="20"/>
                <w:color w:val="auto"/>
              </w:rPr>
            </w:pPr>
            <w:r>
              <w:rPr>
                <w:rFonts w:ascii="Arial" w:cs="Arial" w:eastAsia="Arial" w:hAnsi="Arial"/>
                <w:sz w:val="18"/>
                <w:szCs w:val="18"/>
                <w:color w:val="auto"/>
              </w:rPr>
              <w:t>Personal Transportation</w:t>
            </w:r>
          </w:p>
        </w:tc>
      </w:tr>
      <w:tr>
        <w:trPr>
          <w:trHeight w:val="324"/>
        </w:trPr>
        <w:tc>
          <w:tcPr>
            <w:tcW w:w="760" w:type="dxa"/>
            <w:vAlign w:val="bottom"/>
          </w:tcPr>
          <w:p>
            <w:pPr>
              <w:ind w:left="580"/>
              <w:spacing w:after="0"/>
              <w:rPr>
                <w:sz w:val="20"/>
                <w:szCs w:val="20"/>
                <w:color w:val="auto"/>
              </w:rPr>
            </w:pPr>
            <w:r>
              <w:rPr>
                <w:rFonts w:ascii="Arial" w:cs="Arial" w:eastAsia="Arial" w:hAnsi="Arial"/>
                <w:sz w:val="18"/>
                <w:szCs w:val="18"/>
                <w:color w:val="auto"/>
              </w:rPr>
              <w:t>•</w:t>
            </w:r>
          </w:p>
        </w:tc>
        <w:tc>
          <w:tcPr>
            <w:tcW w:w="3000" w:type="dxa"/>
            <w:vAlign w:val="bottom"/>
          </w:tcPr>
          <w:p>
            <w:pPr>
              <w:ind w:left="140"/>
              <w:spacing w:after="0"/>
              <w:rPr>
                <w:sz w:val="20"/>
                <w:szCs w:val="20"/>
                <w:color w:val="auto"/>
              </w:rPr>
            </w:pPr>
            <w:r>
              <w:rPr>
                <w:rFonts w:ascii="Arial" w:cs="Arial" w:eastAsia="Arial" w:hAnsi="Arial"/>
                <w:sz w:val="18"/>
                <w:szCs w:val="18"/>
                <w:color w:val="auto"/>
              </w:rPr>
              <w:t>Communications</w:t>
            </w:r>
          </w:p>
        </w:tc>
        <w:tc>
          <w:tcPr>
            <w:tcW w:w="540" w:type="dxa"/>
            <w:vAlign w:val="bottom"/>
          </w:tcPr>
          <w:p>
            <w:pPr>
              <w:spacing w:after="0"/>
              <w:rPr>
                <w:sz w:val="24"/>
                <w:szCs w:val="24"/>
                <w:color w:val="auto"/>
              </w:rPr>
            </w:pPr>
          </w:p>
        </w:tc>
        <w:tc>
          <w:tcPr>
            <w:tcW w:w="440" w:type="dxa"/>
            <w:vAlign w:val="bottom"/>
          </w:tcPr>
          <w:p>
            <w:pPr>
              <w:ind w:left="240"/>
              <w:spacing w:after="0"/>
              <w:rPr>
                <w:sz w:val="20"/>
                <w:szCs w:val="20"/>
                <w:color w:val="auto"/>
              </w:rPr>
            </w:pPr>
            <w:r>
              <w:rPr>
                <w:rFonts w:ascii="Arial" w:cs="Arial" w:eastAsia="Arial" w:hAnsi="Arial"/>
                <w:sz w:val="18"/>
                <w:szCs w:val="18"/>
                <w:color w:val="auto"/>
              </w:rPr>
              <w:t>•</w:t>
            </w:r>
          </w:p>
        </w:tc>
        <w:tc>
          <w:tcPr>
            <w:tcW w:w="3300" w:type="dxa"/>
            <w:vAlign w:val="bottom"/>
            <w:gridSpan w:val="4"/>
          </w:tcPr>
          <w:p>
            <w:pPr>
              <w:ind w:left="140"/>
              <w:spacing w:after="0"/>
              <w:rPr>
                <w:sz w:val="20"/>
                <w:szCs w:val="20"/>
                <w:color w:val="auto"/>
              </w:rPr>
            </w:pPr>
            <w:r>
              <w:rPr>
                <w:rFonts w:ascii="Arial" w:cs="Arial" w:eastAsia="Arial" w:hAnsi="Arial"/>
                <w:sz w:val="18"/>
                <w:szCs w:val="18"/>
                <w:color w:val="auto"/>
              </w:rPr>
              <w:t>Grocery</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2840" w:type="dxa"/>
            <w:vAlign w:val="bottom"/>
          </w:tcPr>
          <w:p>
            <w:pPr>
              <w:ind w:left="120"/>
              <w:spacing w:after="0"/>
              <w:rPr>
                <w:sz w:val="20"/>
                <w:szCs w:val="20"/>
                <w:color w:val="auto"/>
              </w:rPr>
            </w:pPr>
            <w:r>
              <w:rPr>
                <w:rFonts w:ascii="Arial" w:cs="Arial" w:eastAsia="Arial" w:hAnsi="Arial"/>
                <w:sz w:val="18"/>
                <w:szCs w:val="18"/>
                <w:color w:val="auto"/>
              </w:rPr>
              <w:t>Printing and Publishing</w:t>
            </w:r>
          </w:p>
        </w:tc>
      </w:tr>
      <w:tr>
        <w:trPr>
          <w:trHeight w:val="324"/>
        </w:trPr>
        <w:tc>
          <w:tcPr>
            <w:tcW w:w="760" w:type="dxa"/>
            <w:vAlign w:val="bottom"/>
          </w:tcPr>
          <w:p>
            <w:pPr>
              <w:ind w:left="580"/>
              <w:spacing w:after="0"/>
              <w:rPr>
                <w:sz w:val="20"/>
                <w:szCs w:val="20"/>
                <w:color w:val="auto"/>
              </w:rPr>
            </w:pPr>
            <w:r>
              <w:rPr>
                <w:rFonts w:ascii="Arial" w:cs="Arial" w:eastAsia="Arial" w:hAnsi="Arial"/>
                <w:sz w:val="18"/>
                <w:szCs w:val="18"/>
                <w:color w:val="auto"/>
              </w:rPr>
              <w:t>•</w:t>
            </w:r>
          </w:p>
        </w:tc>
        <w:tc>
          <w:tcPr>
            <w:tcW w:w="3000" w:type="dxa"/>
            <w:vAlign w:val="bottom"/>
          </w:tcPr>
          <w:p>
            <w:pPr>
              <w:ind w:left="140"/>
              <w:spacing w:after="0"/>
              <w:rPr>
                <w:sz w:val="20"/>
                <w:szCs w:val="20"/>
                <w:color w:val="auto"/>
              </w:rPr>
            </w:pPr>
            <w:r>
              <w:rPr>
                <w:rFonts w:ascii="Arial" w:cs="Arial" w:eastAsia="Arial" w:hAnsi="Arial"/>
                <w:sz w:val="18"/>
                <w:szCs w:val="18"/>
                <w:color w:val="auto"/>
              </w:rPr>
              <w:t>Containers, packaging and glass</w:t>
            </w:r>
          </w:p>
        </w:tc>
        <w:tc>
          <w:tcPr>
            <w:tcW w:w="540" w:type="dxa"/>
            <w:vAlign w:val="bottom"/>
          </w:tcPr>
          <w:p>
            <w:pPr>
              <w:spacing w:after="0"/>
              <w:rPr>
                <w:sz w:val="24"/>
                <w:szCs w:val="24"/>
                <w:color w:val="auto"/>
              </w:rPr>
            </w:pPr>
          </w:p>
        </w:tc>
        <w:tc>
          <w:tcPr>
            <w:tcW w:w="440" w:type="dxa"/>
            <w:vAlign w:val="bottom"/>
          </w:tcPr>
          <w:p>
            <w:pPr>
              <w:ind w:left="240"/>
              <w:spacing w:after="0"/>
              <w:rPr>
                <w:sz w:val="20"/>
                <w:szCs w:val="20"/>
                <w:color w:val="auto"/>
              </w:rPr>
            </w:pPr>
            <w:r>
              <w:rPr>
                <w:rFonts w:ascii="Arial" w:cs="Arial" w:eastAsia="Arial" w:hAnsi="Arial"/>
                <w:sz w:val="18"/>
                <w:szCs w:val="18"/>
                <w:color w:val="auto"/>
              </w:rPr>
              <w:t>•</w:t>
            </w:r>
          </w:p>
        </w:tc>
        <w:tc>
          <w:tcPr>
            <w:tcW w:w="3300" w:type="dxa"/>
            <w:vAlign w:val="bottom"/>
            <w:gridSpan w:val="4"/>
          </w:tcPr>
          <w:p>
            <w:pPr>
              <w:ind w:left="140"/>
              <w:spacing w:after="0"/>
              <w:rPr>
                <w:sz w:val="20"/>
                <w:szCs w:val="20"/>
                <w:color w:val="auto"/>
              </w:rPr>
            </w:pPr>
            <w:r>
              <w:rPr>
                <w:rFonts w:ascii="Arial" w:cs="Arial" w:eastAsia="Arial" w:hAnsi="Arial"/>
                <w:sz w:val="18"/>
                <w:szCs w:val="18"/>
                <w:color w:val="auto"/>
              </w:rPr>
              <w:t>Healthcare, Education and Childcare</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2840" w:type="dxa"/>
            <w:vAlign w:val="bottom"/>
          </w:tcPr>
          <w:p>
            <w:pPr>
              <w:ind w:left="120"/>
              <w:spacing w:after="0"/>
              <w:rPr>
                <w:sz w:val="20"/>
                <w:szCs w:val="20"/>
                <w:color w:val="auto"/>
              </w:rPr>
            </w:pPr>
            <w:r>
              <w:rPr>
                <w:rFonts w:ascii="Arial" w:cs="Arial" w:eastAsia="Arial" w:hAnsi="Arial"/>
                <w:sz w:val="18"/>
                <w:szCs w:val="18"/>
                <w:color w:val="auto"/>
              </w:rPr>
              <w:t>Restaurants</w:t>
            </w:r>
          </w:p>
        </w:tc>
      </w:tr>
      <w:tr>
        <w:trPr>
          <w:trHeight w:val="310"/>
        </w:trPr>
        <w:tc>
          <w:tcPr>
            <w:tcW w:w="760" w:type="dxa"/>
            <w:vAlign w:val="bottom"/>
          </w:tcPr>
          <w:p>
            <w:pPr>
              <w:ind w:left="580"/>
              <w:spacing w:after="0"/>
              <w:rPr>
                <w:sz w:val="20"/>
                <w:szCs w:val="20"/>
                <w:color w:val="auto"/>
              </w:rPr>
            </w:pPr>
            <w:r>
              <w:rPr>
                <w:rFonts w:ascii="Arial" w:cs="Arial" w:eastAsia="Arial" w:hAnsi="Arial"/>
                <w:sz w:val="18"/>
                <w:szCs w:val="18"/>
                <w:color w:val="auto"/>
              </w:rPr>
              <w:t>•</w:t>
            </w:r>
          </w:p>
        </w:tc>
        <w:tc>
          <w:tcPr>
            <w:tcW w:w="3000" w:type="dxa"/>
            <w:vAlign w:val="bottom"/>
          </w:tcPr>
          <w:p>
            <w:pPr>
              <w:ind w:left="140"/>
              <w:spacing w:after="0"/>
              <w:rPr>
                <w:sz w:val="20"/>
                <w:szCs w:val="20"/>
                <w:color w:val="auto"/>
              </w:rPr>
            </w:pPr>
            <w:r>
              <w:rPr>
                <w:rFonts w:ascii="Arial" w:cs="Arial" w:eastAsia="Arial" w:hAnsi="Arial"/>
                <w:sz w:val="18"/>
                <w:szCs w:val="18"/>
                <w:color w:val="auto"/>
              </w:rPr>
              <w:t>Consumer products</w:t>
            </w:r>
          </w:p>
        </w:tc>
        <w:tc>
          <w:tcPr>
            <w:tcW w:w="540" w:type="dxa"/>
            <w:vAlign w:val="bottom"/>
          </w:tcPr>
          <w:p>
            <w:pPr>
              <w:spacing w:after="0"/>
              <w:rPr>
                <w:sz w:val="24"/>
                <w:szCs w:val="24"/>
                <w:color w:val="auto"/>
              </w:rPr>
            </w:pPr>
          </w:p>
        </w:tc>
        <w:tc>
          <w:tcPr>
            <w:tcW w:w="440" w:type="dxa"/>
            <w:vAlign w:val="bottom"/>
          </w:tcPr>
          <w:p>
            <w:pPr>
              <w:ind w:left="240"/>
              <w:spacing w:after="0"/>
              <w:rPr>
                <w:sz w:val="20"/>
                <w:szCs w:val="20"/>
                <w:color w:val="auto"/>
              </w:rPr>
            </w:pPr>
            <w:r>
              <w:rPr>
                <w:rFonts w:ascii="Arial" w:cs="Arial" w:eastAsia="Arial" w:hAnsi="Arial"/>
                <w:sz w:val="18"/>
                <w:szCs w:val="18"/>
                <w:color w:val="auto"/>
              </w:rPr>
              <w:t>•</w:t>
            </w:r>
          </w:p>
        </w:tc>
        <w:tc>
          <w:tcPr>
            <w:tcW w:w="3300" w:type="dxa"/>
            <w:vAlign w:val="bottom"/>
            <w:gridSpan w:val="4"/>
          </w:tcPr>
          <w:p>
            <w:pPr>
              <w:ind w:left="140"/>
              <w:spacing w:after="0"/>
              <w:rPr>
                <w:sz w:val="20"/>
                <w:szCs w:val="20"/>
                <w:color w:val="auto"/>
              </w:rPr>
            </w:pPr>
            <w:r>
              <w:rPr>
                <w:rFonts w:ascii="Arial" w:cs="Arial" w:eastAsia="Arial" w:hAnsi="Arial"/>
                <w:sz w:val="18"/>
                <w:szCs w:val="18"/>
                <w:color w:val="auto"/>
                <w:w w:val="91"/>
              </w:rPr>
              <w:t>Home and Office Furnishings, Housewares</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2840" w:type="dxa"/>
            <w:vAlign w:val="bottom"/>
          </w:tcPr>
          <w:p>
            <w:pPr>
              <w:ind w:left="120"/>
              <w:spacing w:after="0"/>
              <w:rPr>
                <w:sz w:val="20"/>
                <w:szCs w:val="20"/>
                <w:color w:val="auto"/>
              </w:rPr>
            </w:pPr>
            <w:r>
              <w:rPr>
                <w:rFonts w:ascii="Arial" w:cs="Arial" w:eastAsia="Arial" w:hAnsi="Arial"/>
                <w:sz w:val="18"/>
                <w:szCs w:val="18"/>
                <w:color w:val="auto"/>
              </w:rPr>
              <w:t>Retail</w:t>
            </w:r>
          </w:p>
        </w:tc>
      </w:tr>
      <w:tr>
        <w:trPr>
          <w:trHeight w:val="230"/>
        </w:trPr>
        <w:tc>
          <w:tcPr>
            <w:tcW w:w="76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300" w:type="dxa"/>
            <w:vAlign w:val="bottom"/>
            <w:gridSpan w:val="4"/>
          </w:tcPr>
          <w:p>
            <w:pPr>
              <w:ind w:left="160"/>
              <w:spacing w:after="0"/>
              <w:rPr>
                <w:sz w:val="20"/>
                <w:szCs w:val="20"/>
                <w:color w:val="auto"/>
              </w:rPr>
            </w:pPr>
            <w:r>
              <w:rPr>
                <w:rFonts w:ascii="Arial" w:cs="Arial" w:eastAsia="Arial" w:hAnsi="Arial"/>
                <w:sz w:val="18"/>
                <w:szCs w:val="18"/>
                <w:color w:val="auto"/>
              </w:rPr>
              <w:t>and Durable Consumer Products</w:t>
            </w:r>
          </w:p>
        </w:tc>
        <w:tc>
          <w:tcPr>
            <w:tcW w:w="26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365"/>
        </w:trPr>
        <w:tc>
          <w:tcPr>
            <w:tcW w:w="7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gridSpan w:val="2"/>
          </w:tcPr>
          <w:p>
            <w:pPr>
              <w:jc w:val="center"/>
              <w:ind w:left="170"/>
              <w:spacing w:after="0"/>
              <w:rPr>
                <w:sz w:val="20"/>
                <w:szCs w:val="20"/>
                <w:color w:val="auto"/>
              </w:rPr>
            </w:pPr>
            <w:r>
              <w:rPr>
                <w:rFonts w:ascii="Arial" w:cs="Arial" w:eastAsia="Arial" w:hAnsi="Arial"/>
                <w:sz w:val="18"/>
                <w:szCs w:val="18"/>
                <w:color w:val="auto"/>
                <w:w w:val="93"/>
              </w:rPr>
              <w:t>141</w:t>
            </w: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40" w:type="dxa"/>
            <w:vAlign w:val="bottom"/>
          </w:tcPr>
          <w:p>
            <w:pPr>
              <w:spacing w:after="0"/>
              <w:rPr>
                <w:sz w:val="24"/>
                <w:szCs w:val="24"/>
                <w:color w:val="auto"/>
              </w:rPr>
            </w:pPr>
          </w:p>
        </w:tc>
      </w:tr>
    </w:tbl>
    <w:p>
      <w:pPr>
        <w:sectPr>
          <w:pgSz w:w="11900" w:h="16838" w:orient="portrait"/>
          <w:cols w:equalWidth="0" w:num="1">
            <w:col w:w="11140"/>
          </w:cols>
          <w:pgMar w:left="320" w:top="256" w:right="439" w:bottom="1440" w:gutter="0" w:footer="0" w:header="0"/>
        </w:sectPr>
      </w:pPr>
    </w:p>
    <w:bookmarkStart w:id="152" w:name="page153"/>
    <w:bookmarkEnd w:id="15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tbl>
      <w:tblPr>
        <w:tblLayout w:type="fixed"/>
        <w:tblInd w:w="580" w:type="dxa"/>
        <w:tblCellMar>
          <w:top w:w="0" w:type="dxa"/>
          <w:left w:w="0" w:type="dxa"/>
          <w:bottom w:w="0" w:type="dxa"/>
          <w:right w:w="0" w:type="dxa"/>
        </w:tblCellMar>
      </w:tblPr>
      <w:tr>
        <w:trPr>
          <w:trHeight w:val="230"/>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460" w:type="dxa"/>
            <w:vAlign w:val="bottom"/>
          </w:tcPr>
          <w:p>
            <w:pPr>
              <w:ind w:left="120"/>
              <w:spacing w:after="0"/>
              <w:rPr>
                <w:sz w:val="20"/>
                <w:szCs w:val="20"/>
                <w:color w:val="auto"/>
              </w:rPr>
            </w:pPr>
            <w:r>
              <w:rPr>
                <w:rFonts w:ascii="Arial" w:cs="Arial" w:eastAsia="Arial" w:hAnsi="Arial"/>
                <w:sz w:val="18"/>
                <w:szCs w:val="18"/>
                <w:color w:val="auto"/>
              </w:rPr>
              <w:t>Distribution</w:t>
            </w:r>
          </w:p>
        </w:tc>
        <w:tc>
          <w:tcPr>
            <w:tcW w:w="500" w:type="dxa"/>
            <w:vAlign w:val="bottom"/>
          </w:tcPr>
          <w:p>
            <w:pPr>
              <w:ind w:left="300"/>
              <w:spacing w:after="0"/>
              <w:rPr>
                <w:sz w:val="20"/>
                <w:szCs w:val="20"/>
                <w:color w:val="auto"/>
              </w:rPr>
            </w:pPr>
            <w:r>
              <w:rPr>
                <w:rFonts w:ascii="Arial" w:cs="Arial" w:eastAsia="Arial" w:hAnsi="Arial"/>
                <w:sz w:val="18"/>
                <w:szCs w:val="18"/>
                <w:color w:val="auto"/>
              </w:rPr>
              <w:t>•</w:t>
            </w:r>
          </w:p>
        </w:tc>
        <w:tc>
          <w:tcPr>
            <w:tcW w:w="3140" w:type="dxa"/>
            <w:vAlign w:val="bottom"/>
          </w:tcPr>
          <w:p>
            <w:pPr>
              <w:ind w:left="140"/>
              <w:spacing w:after="0"/>
              <w:rPr>
                <w:sz w:val="20"/>
                <w:szCs w:val="20"/>
                <w:color w:val="auto"/>
              </w:rPr>
            </w:pPr>
            <w:r>
              <w:rPr>
                <w:rFonts w:ascii="Arial" w:cs="Arial" w:eastAsia="Arial" w:hAnsi="Arial"/>
                <w:sz w:val="18"/>
                <w:szCs w:val="18"/>
                <w:color w:val="auto"/>
              </w:rPr>
              <w:t>Homebuilding</w:t>
            </w:r>
          </w:p>
        </w:tc>
        <w:tc>
          <w:tcPr>
            <w:tcW w:w="420" w:type="dxa"/>
            <w:vAlign w:val="bottom"/>
          </w:tcPr>
          <w:p>
            <w:pPr>
              <w:ind w:left="220"/>
              <w:spacing w:after="0"/>
              <w:rPr>
                <w:sz w:val="20"/>
                <w:szCs w:val="20"/>
                <w:color w:val="auto"/>
              </w:rPr>
            </w:pPr>
            <w:r>
              <w:rPr>
                <w:rFonts w:ascii="Arial" w:cs="Arial" w:eastAsia="Arial" w:hAnsi="Arial"/>
                <w:sz w:val="18"/>
                <w:szCs w:val="18"/>
                <w:color w:val="auto"/>
              </w:rPr>
              <w:t>•</w:t>
            </w:r>
          </w:p>
        </w:tc>
        <w:tc>
          <w:tcPr>
            <w:tcW w:w="1620" w:type="dxa"/>
            <w:vAlign w:val="bottom"/>
          </w:tcPr>
          <w:p>
            <w:pPr>
              <w:ind w:left="120"/>
              <w:spacing w:after="0"/>
              <w:rPr>
                <w:sz w:val="20"/>
                <w:szCs w:val="20"/>
                <w:color w:val="auto"/>
              </w:rPr>
            </w:pPr>
            <w:r>
              <w:rPr>
                <w:rFonts w:ascii="Arial" w:cs="Arial" w:eastAsia="Arial" w:hAnsi="Arial"/>
                <w:sz w:val="18"/>
                <w:szCs w:val="18"/>
                <w:color w:val="auto"/>
              </w:rPr>
              <w:t>Retail Store</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460" w:type="dxa"/>
            <w:vAlign w:val="bottom"/>
          </w:tcPr>
          <w:p>
            <w:pPr>
              <w:ind w:left="120"/>
              <w:spacing w:after="0"/>
              <w:rPr>
                <w:sz w:val="20"/>
                <w:szCs w:val="20"/>
                <w:color w:val="auto"/>
              </w:rPr>
            </w:pPr>
            <w:r>
              <w:rPr>
                <w:rFonts w:ascii="Arial" w:cs="Arial" w:eastAsia="Arial" w:hAnsi="Arial"/>
                <w:sz w:val="18"/>
                <w:szCs w:val="18"/>
                <w:color w:val="auto"/>
              </w:rPr>
              <w:t>Diversified/ Conglomerate Manufacturing</w:t>
            </w:r>
          </w:p>
        </w:tc>
        <w:tc>
          <w:tcPr>
            <w:tcW w:w="500" w:type="dxa"/>
            <w:vAlign w:val="bottom"/>
          </w:tcPr>
          <w:p>
            <w:pPr>
              <w:ind w:left="300"/>
              <w:spacing w:after="0"/>
              <w:rPr>
                <w:sz w:val="20"/>
                <w:szCs w:val="20"/>
                <w:color w:val="auto"/>
              </w:rPr>
            </w:pPr>
            <w:r>
              <w:rPr>
                <w:rFonts w:ascii="Arial" w:cs="Arial" w:eastAsia="Arial" w:hAnsi="Arial"/>
                <w:sz w:val="18"/>
                <w:szCs w:val="18"/>
                <w:color w:val="auto"/>
              </w:rPr>
              <w:t>•</w:t>
            </w:r>
          </w:p>
        </w:tc>
        <w:tc>
          <w:tcPr>
            <w:tcW w:w="3140" w:type="dxa"/>
            <w:vAlign w:val="bottom"/>
          </w:tcPr>
          <w:p>
            <w:pPr>
              <w:ind w:left="140"/>
              <w:spacing w:after="0"/>
              <w:rPr>
                <w:sz w:val="20"/>
                <w:szCs w:val="20"/>
                <w:color w:val="auto"/>
              </w:rPr>
            </w:pPr>
            <w:r>
              <w:rPr>
                <w:rFonts w:ascii="Arial" w:cs="Arial" w:eastAsia="Arial" w:hAnsi="Arial"/>
                <w:sz w:val="18"/>
                <w:szCs w:val="18"/>
                <w:color w:val="auto"/>
              </w:rPr>
              <w:t>Hotels, Motels, Inns and Gaming</w:t>
            </w:r>
          </w:p>
        </w:tc>
        <w:tc>
          <w:tcPr>
            <w:tcW w:w="420" w:type="dxa"/>
            <w:vAlign w:val="bottom"/>
          </w:tcPr>
          <w:p>
            <w:pPr>
              <w:ind w:left="220"/>
              <w:spacing w:after="0"/>
              <w:rPr>
                <w:sz w:val="20"/>
                <w:szCs w:val="20"/>
                <w:color w:val="auto"/>
              </w:rPr>
            </w:pPr>
            <w:r>
              <w:rPr>
                <w:rFonts w:ascii="Arial" w:cs="Arial" w:eastAsia="Arial" w:hAnsi="Arial"/>
                <w:sz w:val="18"/>
                <w:szCs w:val="18"/>
                <w:color w:val="auto"/>
              </w:rPr>
              <w:t>•</w:t>
            </w:r>
          </w:p>
        </w:tc>
        <w:tc>
          <w:tcPr>
            <w:tcW w:w="1620" w:type="dxa"/>
            <w:vAlign w:val="bottom"/>
          </w:tcPr>
          <w:p>
            <w:pPr>
              <w:ind w:left="120"/>
              <w:spacing w:after="0"/>
              <w:rPr>
                <w:sz w:val="20"/>
                <w:szCs w:val="20"/>
                <w:color w:val="auto"/>
              </w:rPr>
            </w:pPr>
            <w:r>
              <w:rPr>
                <w:rFonts w:ascii="Arial" w:cs="Arial" w:eastAsia="Arial" w:hAnsi="Arial"/>
                <w:sz w:val="18"/>
                <w:szCs w:val="18"/>
                <w:color w:val="auto"/>
                <w:w w:val="89"/>
              </w:rPr>
              <w:t>Telecommunications</w:t>
            </w:r>
          </w:p>
        </w:tc>
      </w:tr>
      <w:tr>
        <w:trPr>
          <w:trHeight w:val="310"/>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460" w:type="dxa"/>
            <w:vAlign w:val="bottom"/>
          </w:tcPr>
          <w:p>
            <w:pPr>
              <w:ind w:left="120"/>
              <w:spacing w:after="0"/>
              <w:rPr>
                <w:sz w:val="20"/>
                <w:szCs w:val="20"/>
                <w:color w:val="auto"/>
              </w:rPr>
            </w:pPr>
            <w:r>
              <w:rPr>
                <w:rFonts w:ascii="Arial" w:cs="Arial" w:eastAsia="Arial" w:hAnsi="Arial"/>
                <w:sz w:val="18"/>
                <w:szCs w:val="18"/>
                <w:color w:val="auto"/>
              </w:rPr>
              <w:t>Diversified/ Conglomerate Service</w:t>
            </w:r>
          </w:p>
        </w:tc>
        <w:tc>
          <w:tcPr>
            <w:tcW w:w="500" w:type="dxa"/>
            <w:vAlign w:val="bottom"/>
          </w:tcPr>
          <w:p>
            <w:pPr>
              <w:ind w:left="300"/>
              <w:spacing w:after="0"/>
              <w:rPr>
                <w:sz w:val="20"/>
                <w:szCs w:val="20"/>
                <w:color w:val="auto"/>
              </w:rPr>
            </w:pPr>
            <w:r>
              <w:rPr>
                <w:rFonts w:ascii="Arial" w:cs="Arial" w:eastAsia="Arial" w:hAnsi="Arial"/>
                <w:sz w:val="18"/>
                <w:szCs w:val="18"/>
                <w:color w:val="auto"/>
              </w:rPr>
              <w:t>•</w:t>
            </w:r>
          </w:p>
        </w:tc>
        <w:tc>
          <w:tcPr>
            <w:tcW w:w="3140" w:type="dxa"/>
            <w:vAlign w:val="bottom"/>
          </w:tcPr>
          <w:p>
            <w:pPr>
              <w:ind w:left="140"/>
              <w:spacing w:after="0"/>
              <w:rPr>
                <w:sz w:val="20"/>
                <w:szCs w:val="20"/>
                <w:color w:val="auto"/>
              </w:rPr>
            </w:pPr>
            <w:r>
              <w:rPr>
                <w:rFonts w:ascii="Arial" w:cs="Arial" w:eastAsia="Arial" w:hAnsi="Arial"/>
                <w:sz w:val="18"/>
                <w:szCs w:val="18"/>
                <w:color w:val="auto"/>
                <w:w w:val="97"/>
              </w:rPr>
              <w:t>Leisure, Amusement, Motion Pictures,</w:t>
            </w:r>
          </w:p>
        </w:tc>
        <w:tc>
          <w:tcPr>
            <w:tcW w:w="420" w:type="dxa"/>
            <w:vAlign w:val="bottom"/>
          </w:tcPr>
          <w:p>
            <w:pPr>
              <w:ind w:left="220"/>
              <w:spacing w:after="0"/>
              <w:rPr>
                <w:sz w:val="20"/>
                <w:szCs w:val="20"/>
                <w:color w:val="auto"/>
              </w:rPr>
            </w:pPr>
            <w:r>
              <w:rPr>
                <w:rFonts w:ascii="Arial" w:cs="Arial" w:eastAsia="Arial" w:hAnsi="Arial"/>
                <w:sz w:val="18"/>
                <w:szCs w:val="18"/>
                <w:color w:val="auto"/>
              </w:rPr>
              <w:t>•</w:t>
            </w:r>
          </w:p>
        </w:tc>
        <w:tc>
          <w:tcPr>
            <w:tcW w:w="1620" w:type="dxa"/>
            <w:vAlign w:val="bottom"/>
          </w:tcPr>
          <w:p>
            <w:pPr>
              <w:ind w:left="120"/>
              <w:spacing w:after="0"/>
              <w:rPr>
                <w:sz w:val="20"/>
                <w:szCs w:val="20"/>
                <w:color w:val="auto"/>
              </w:rPr>
            </w:pPr>
            <w:r>
              <w:rPr>
                <w:rFonts w:ascii="Arial" w:cs="Arial" w:eastAsia="Arial" w:hAnsi="Arial"/>
                <w:sz w:val="18"/>
                <w:szCs w:val="18"/>
                <w:color w:val="auto"/>
                <w:w w:val="90"/>
              </w:rPr>
              <w:t>Textiles and Leather</w:t>
            </w:r>
          </w:p>
        </w:tc>
      </w:tr>
      <w:tr>
        <w:trPr>
          <w:trHeight w:val="230"/>
        </w:trPr>
        <w:tc>
          <w:tcPr>
            <w:tcW w:w="2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140" w:type="dxa"/>
            <w:vAlign w:val="bottom"/>
          </w:tcPr>
          <w:p>
            <w:pPr>
              <w:ind w:left="160"/>
              <w:spacing w:after="0"/>
              <w:rPr>
                <w:sz w:val="20"/>
                <w:szCs w:val="20"/>
                <w:color w:val="auto"/>
              </w:rPr>
            </w:pPr>
            <w:r>
              <w:rPr>
                <w:rFonts w:ascii="Arial" w:cs="Arial" w:eastAsia="Arial" w:hAnsi="Arial"/>
                <w:sz w:val="18"/>
                <w:szCs w:val="18"/>
                <w:color w:val="auto"/>
              </w:rPr>
              <w:t>Entertainment</w:t>
            </w:r>
          </w:p>
        </w:tc>
        <w:tc>
          <w:tcPr>
            <w:tcW w:w="4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460" w:type="dxa"/>
            <w:vAlign w:val="bottom"/>
          </w:tcPr>
          <w:p>
            <w:pPr>
              <w:ind w:left="120"/>
              <w:spacing w:after="0"/>
              <w:rPr>
                <w:sz w:val="20"/>
                <w:szCs w:val="20"/>
                <w:color w:val="auto"/>
              </w:rPr>
            </w:pPr>
            <w:r>
              <w:rPr>
                <w:rFonts w:ascii="Arial" w:cs="Arial" w:eastAsia="Arial" w:hAnsi="Arial"/>
                <w:sz w:val="18"/>
                <w:szCs w:val="18"/>
                <w:color w:val="auto"/>
              </w:rPr>
              <w:t>Utilities</w:t>
            </w:r>
          </w:p>
        </w:tc>
        <w:tc>
          <w:tcPr>
            <w:tcW w:w="500" w:type="dxa"/>
            <w:vAlign w:val="bottom"/>
          </w:tcPr>
          <w:p>
            <w:pPr>
              <w:ind w:left="300"/>
              <w:spacing w:after="0"/>
              <w:rPr>
                <w:sz w:val="20"/>
                <w:szCs w:val="20"/>
                <w:color w:val="auto"/>
              </w:rPr>
            </w:pPr>
            <w:r>
              <w:rPr>
                <w:rFonts w:ascii="Arial" w:cs="Arial" w:eastAsia="Arial" w:hAnsi="Arial"/>
                <w:sz w:val="18"/>
                <w:szCs w:val="18"/>
                <w:color w:val="auto"/>
              </w:rPr>
              <w:t>•</w:t>
            </w:r>
          </w:p>
        </w:tc>
        <w:tc>
          <w:tcPr>
            <w:tcW w:w="3140" w:type="dxa"/>
            <w:vAlign w:val="bottom"/>
          </w:tcPr>
          <w:p>
            <w:pPr>
              <w:ind w:left="140"/>
              <w:spacing w:after="0"/>
              <w:rPr>
                <w:sz w:val="20"/>
                <w:szCs w:val="20"/>
                <w:color w:val="auto"/>
              </w:rPr>
            </w:pPr>
            <w:r>
              <w:rPr>
                <w:rFonts w:ascii="Arial" w:cs="Arial" w:eastAsia="Arial" w:hAnsi="Arial"/>
                <w:sz w:val="18"/>
                <w:szCs w:val="18"/>
                <w:color w:val="auto"/>
              </w:rPr>
              <w:t>Lodging, Leisure, Resorts</w:t>
            </w:r>
          </w:p>
        </w:tc>
        <w:tc>
          <w:tcPr>
            <w:tcW w:w="420" w:type="dxa"/>
            <w:vAlign w:val="bottom"/>
          </w:tcPr>
          <w:p>
            <w:pPr>
              <w:ind w:left="220"/>
              <w:spacing w:after="0"/>
              <w:rPr>
                <w:sz w:val="20"/>
                <w:szCs w:val="20"/>
                <w:color w:val="auto"/>
              </w:rPr>
            </w:pPr>
            <w:r>
              <w:rPr>
                <w:rFonts w:ascii="Arial" w:cs="Arial" w:eastAsia="Arial" w:hAnsi="Arial"/>
                <w:sz w:val="18"/>
                <w:szCs w:val="18"/>
                <w:color w:val="auto"/>
              </w:rPr>
              <w:t>•</w:t>
            </w:r>
          </w:p>
        </w:tc>
        <w:tc>
          <w:tcPr>
            <w:tcW w:w="1620" w:type="dxa"/>
            <w:vAlign w:val="bottom"/>
          </w:tcPr>
          <w:p>
            <w:pPr>
              <w:ind w:left="120"/>
              <w:spacing w:after="0"/>
              <w:rPr>
                <w:sz w:val="20"/>
                <w:szCs w:val="20"/>
                <w:color w:val="auto"/>
              </w:rPr>
            </w:pPr>
            <w:r>
              <w:rPr>
                <w:rFonts w:ascii="Arial" w:cs="Arial" w:eastAsia="Arial" w:hAnsi="Arial"/>
                <w:sz w:val="18"/>
                <w:szCs w:val="18"/>
                <w:color w:val="auto"/>
              </w:rPr>
              <w:t>Transportation</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Additional Industry Classification Group Designated Pursuant to Section 5.12 as of the Effective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0139"/>
          </w:cols>
          <w:pgMar w:left="320" w:top="382" w:right="1440" w:bottom="1440" w:gutter="0" w:footer="0" w:header="0"/>
        </w:sectPr>
      </w:pPr>
    </w:p>
    <w:bookmarkStart w:id="153" w:name="page154"/>
    <w:bookmarkEnd w:id="153"/>
    <w:p>
      <w:pPr>
        <w:jc w:val="center"/>
        <w:ind w:right="-6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3.11</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b w:val="1"/>
          <w:bCs w:val="1"/>
          <w:u w:val="single" w:color="auto"/>
          <w:color w:val="auto"/>
        </w:rPr>
        <w:t>Material Agreements and Liens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A</w:t>
      </w:r>
      <w:r>
        <w:rPr>
          <w:rFonts w:ascii="Arial" w:cs="Arial" w:eastAsia="Arial" w:hAnsi="Arial"/>
          <w:sz w:val="18"/>
          <w:szCs w:val="18"/>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Corporation’s 6.25% Senior Notes due 2025;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SBA debentures issued by PennantPark SBIC LP (the “SBA Debentures”);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B</w:t>
      </w:r>
      <w:r>
        <w:rPr>
          <w:rFonts w:ascii="Arial" w:cs="Arial" w:eastAsia="Arial" w:hAnsi="Arial"/>
          <w:sz w:val="18"/>
          <w:szCs w:val="18"/>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SBA Debentures are secured by all the investment portfolio assets of SBIC LP and have priority claim over such assets relative to all creditors.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Holdings of PennantPark SBIC LP which are pledged to the U.S. Government Small Business Administration: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Acentia,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AH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AKA Diversified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Credit Infonet,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Foundation Building Materials,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JF Acquisition,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K2 Pure Solutions NoCal,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Magnum Hunter Resources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Service Champ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MidOcean JF Holdings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Penton Media,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Ride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Service Champ,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 Well Services,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VText Holdings, Inc.</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0620"/>
          </w:cols>
          <w:pgMar w:left="320" w:top="270" w:right="959" w:bottom="1440" w:gutter="0" w:footer="0" w:header="0"/>
        </w:sectPr>
      </w:pPr>
    </w:p>
    <w:bookmarkStart w:id="154" w:name="page155"/>
    <w:bookmarkEnd w:id="15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Holdings of PennantPark SBIC II LP which are pledged to the U.S. Government Small Business Administration: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KIK Custom Products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Old Guard Risk Services,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Randall-Reilly Publishing Company, LLC</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0139"/>
          </w:cols>
          <w:pgMar w:left="320" w:top="274" w:right="1440" w:bottom="1440" w:gutter="0" w:footer="0" w:header="0"/>
        </w:sectPr>
      </w:pPr>
    </w:p>
    <w:bookmarkStart w:id="155" w:name="page156"/>
    <w:bookmarkEnd w:id="155"/>
    <w:p>
      <w:pPr>
        <w:jc w:val="center"/>
        <w:ind w:right="-1120"/>
        <w:spacing w:after="0"/>
        <w:rPr>
          <w:sz w:val="20"/>
          <w:szCs w:val="20"/>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3.12(a)</w:t>
      </w:r>
    </w:p>
    <w:p>
      <w:pPr>
        <w:spacing w:after="0" w:line="260" w:lineRule="exact"/>
        <w:rPr>
          <w:sz w:val="20"/>
          <w:szCs w:val="20"/>
          <w:color w:val="auto"/>
        </w:rPr>
      </w:pPr>
    </w:p>
    <w:p>
      <w:pPr>
        <w:ind w:left="5160"/>
        <w:spacing w:after="0"/>
        <w:rPr>
          <w:sz w:val="20"/>
          <w:szCs w:val="20"/>
          <w:color w:val="auto"/>
        </w:rPr>
      </w:pPr>
      <w:r>
        <w:rPr>
          <w:rFonts w:ascii="Arial" w:cs="Arial" w:eastAsia="Arial" w:hAnsi="Arial"/>
          <w:sz w:val="18"/>
          <w:szCs w:val="18"/>
          <w:b w:val="1"/>
          <w:bCs w:val="1"/>
          <w:u w:val="single" w:color="auto"/>
          <w:color w:val="auto"/>
        </w:rPr>
        <w:t>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PNNT Alabama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PNNT CI (GALLS) Prime Investment Holdings,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PNNT Transportation 100 Holdco,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PennantPark SBIC GP,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PennantPark SBIC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PNNT Acentia,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PennantPark SBIC GP II,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PennantPark SBIC II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PNNT Power Products Holdings,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PNNT New Gulf Resources,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PNNT ecoserve,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PNNT CI (FBM) Investment Holdings LLC</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0139"/>
          </w:cols>
          <w:pgMar w:left="320" w:top="270" w:right="1440" w:bottom="1440" w:gutter="0" w:footer="0" w:header="0"/>
        </w:sectPr>
      </w:pPr>
    </w:p>
    <w:bookmarkStart w:id="156" w:name="page157"/>
    <w:bookmarkEnd w:id="156"/>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9"/>
              </w:rPr>
              <w:t>Schedule 3.12(b)</w:t>
            </w:r>
          </w:p>
        </w:tc>
        <w:tc>
          <w:tcPr>
            <w:tcW w:w="2060" w:type="dxa"/>
            <w:vAlign w:val="bottom"/>
            <w:gridSpan w:val="2"/>
          </w:tcPr>
          <w:p>
            <w:pPr>
              <w:spacing w:after="0"/>
              <w:rPr>
                <w:sz w:val="17"/>
                <w:szCs w:val="17"/>
                <w:color w:val="auto"/>
              </w:rPr>
            </w:pPr>
          </w:p>
        </w:tc>
      </w:tr>
      <w:tr>
        <w:trPr>
          <w:trHeight w:val="412"/>
        </w:trPr>
        <w:tc>
          <w:tcPr>
            <w:tcW w:w="12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340" w:type="dxa"/>
            <w:vAlign w:val="bottom"/>
            <w:gridSpan w:val="6"/>
          </w:tcPr>
          <w:p>
            <w:pPr>
              <w:jc w:val="center"/>
              <w:ind w:right="1970"/>
              <w:spacing w:after="0"/>
              <w:rPr>
                <w:sz w:val="20"/>
                <w:szCs w:val="20"/>
                <w:color w:val="auto"/>
              </w:rPr>
            </w:pPr>
            <w:r>
              <w:rPr>
                <w:rFonts w:ascii="Arial" w:cs="Arial" w:eastAsia="Arial" w:hAnsi="Arial"/>
                <w:sz w:val="18"/>
                <w:szCs w:val="18"/>
                <w:b w:val="1"/>
                <w:bCs w:val="1"/>
                <w:color w:val="auto"/>
                <w:w w:val="87"/>
              </w:rPr>
              <w:t>Investments</w:t>
            </w:r>
          </w:p>
        </w:tc>
      </w:tr>
      <w:tr>
        <w:trPr>
          <w:trHeight w:val="20"/>
        </w:trPr>
        <w:tc>
          <w:tcPr>
            <w:tcW w:w="39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r>
      <w:tr>
        <w:trPr>
          <w:trHeight w:val="412"/>
        </w:trPr>
        <w:tc>
          <w:tcPr>
            <w:tcW w:w="3940" w:type="dxa"/>
            <w:vAlign w:val="bottom"/>
            <w:gridSpan w:val="2"/>
          </w:tcPr>
          <w:p>
            <w:pPr>
              <w:spacing w:after="0"/>
              <w:rPr>
                <w:sz w:val="20"/>
                <w:szCs w:val="20"/>
                <w:color w:val="auto"/>
              </w:rPr>
            </w:pPr>
            <w:r>
              <w:rPr>
                <w:rFonts w:ascii="Arial" w:cs="Arial" w:eastAsia="Arial" w:hAnsi="Arial"/>
                <w:sz w:val="14"/>
                <w:szCs w:val="14"/>
                <w:b w:val="1"/>
                <w:bCs w:val="1"/>
                <w:color w:val="auto"/>
              </w:rPr>
              <w:t>Name of Investment</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20" w:type="dxa"/>
            <w:vAlign w:val="bottom"/>
            <w:gridSpan w:val="4"/>
          </w:tcPr>
          <w:p>
            <w:pPr>
              <w:spacing w:after="0"/>
              <w:rPr>
                <w:sz w:val="20"/>
                <w:szCs w:val="20"/>
                <w:color w:val="auto"/>
              </w:rPr>
            </w:pPr>
            <w:r>
              <w:rPr>
                <w:rFonts w:ascii="Arial" w:cs="Arial" w:eastAsia="Arial" w:hAnsi="Arial"/>
                <w:sz w:val="14"/>
                <w:szCs w:val="14"/>
                <w:b w:val="1"/>
                <w:bCs w:val="1"/>
                <w:color w:val="auto"/>
              </w:rPr>
              <w:t>Person or Persons Holding the Investment</w:t>
            </w:r>
          </w:p>
        </w:tc>
      </w:tr>
      <w:tr>
        <w:trPr>
          <w:trHeight w:val="195"/>
        </w:trPr>
        <w:tc>
          <w:tcPr>
            <w:tcW w:w="1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6"/>
              </w:rPr>
              <w:t>Aircell Business</w:t>
            </w:r>
          </w:p>
        </w:tc>
        <w:tc>
          <w:tcPr>
            <w:tcW w:w="2700" w:type="dxa"/>
            <w:vAlign w:val="bottom"/>
          </w:tcPr>
          <w:p>
            <w:pPr>
              <w:spacing w:after="0" w:line="195" w:lineRule="exact"/>
              <w:rPr>
                <w:sz w:val="20"/>
                <w:szCs w:val="20"/>
                <w:color w:val="auto"/>
              </w:rPr>
            </w:pPr>
            <w:r>
              <w:rPr>
                <w:rFonts w:ascii="Arial" w:cs="Arial" w:eastAsia="Arial" w:hAnsi="Arial"/>
                <w:sz w:val="18"/>
                <w:szCs w:val="18"/>
                <w:color w:val="auto"/>
              </w:rPr>
              <w:t>Aviation Services LLC</w:t>
            </w: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PENNANTPARK INVESTMENT</w:t>
            </w:r>
          </w:p>
        </w:tc>
        <w:tc>
          <w:tcPr>
            <w:tcW w:w="420" w:type="dxa"/>
            <w:vAlign w:val="bottom"/>
          </w:tcPr>
          <w:p>
            <w:pPr>
              <w:spacing w:after="0" w:line="195" w:lineRule="exact"/>
              <w:rPr>
                <w:sz w:val="20"/>
                <w:szCs w:val="20"/>
                <w:color w:val="auto"/>
              </w:rPr>
            </w:pPr>
            <w:r>
              <w:rPr>
                <w:rFonts w:ascii="Arial" w:cs="Arial" w:eastAsia="Arial" w:hAnsi="Arial"/>
                <w:sz w:val="18"/>
                <w:szCs w:val="18"/>
                <w:color w:val="auto"/>
                <w:w w:val="76"/>
              </w:rPr>
              <w:t>CORP</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AKA Diversified Holdings, Inc.</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20" w:type="dxa"/>
            <w:vAlign w:val="bottom"/>
            <w:gridSpan w:val="4"/>
          </w:tcPr>
          <w:p>
            <w:pPr>
              <w:spacing w:after="0"/>
              <w:rPr>
                <w:sz w:val="20"/>
                <w:szCs w:val="20"/>
                <w:color w:val="auto"/>
              </w:rPr>
            </w:pPr>
            <w:r>
              <w:rPr>
                <w:rFonts w:ascii="Arial" w:cs="Arial" w:eastAsia="Arial" w:hAnsi="Arial"/>
                <w:sz w:val="18"/>
                <w:szCs w:val="18"/>
                <w:color w:val="auto"/>
                <w:w w:val="95"/>
              </w:rPr>
              <w:t>PENNANTPARK INVESTMENT CORP</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AP Gaming I, LLC</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20" w:type="dxa"/>
            <w:vAlign w:val="bottom"/>
            <w:gridSpan w:val="4"/>
          </w:tcPr>
          <w:p>
            <w:pPr>
              <w:spacing w:after="0"/>
              <w:rPr>
                <w:sz w:val="20"/>
                <w:szCs w:val="20"/>
                <w:color w:val="auto"/>
              </w:rPr>
            </w:pPr>
            <w:r>
              <w:rPr>
                <w:rFonts w:ascii="Arial" w:cs="Arial" w:eastAsia="Arial" w:hAnsi="Arial"/>
                <w:sz w:val="18"/>
                <w:szCs w:val="18"/>
                <w:color w:val="auto"/>
                <w:w w:val="95"/>
              </w:rPr>
              <w:t>PENNANTPARK INVESTMENT CORP</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Fox US Bidco Corporation</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20" w:type="dxa"/>
            <w:vAlign w:val="bottom"/>
            <w:gridSpan w:val="4"/>
          </w:tcPr>
          <w:p>
            <w:pPr>
              <w:spacing w:after="0"/>
              <w:rPr>
                <w:sz w:val="20"/>
                <w:szCs w:val="20"/>
                <w:color w:val="auto"/>
              </w:rPr>
            </w:pPr>
            <w:r>
              <w:rPr>
                <w:rFonts w:ascii="Arial" w:cs="Arial" w:eastAsia="Arial" w:hAnsi="Arial"/>
                <w:sz w:val="18"/>
                <w:szCs w:val="18"/>
                <w:color w:val="auto"/>
                <w:w w:val="95"/>
              </w:rPr>
              <w:t>PENNANTPARK INVESTMENT CORP</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IDQ Holdings, Inc.</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20" w:type="dxa"/>
            <w:vAlign w:val="bottom"/>
            <w:gridSpan w:val="4"/>
          </w:tcPr>
          <w:p>
            <w:pPr>
              <w:spacing w:after="0"/>
              <w:rPr>
                <w:sz w:val="20"/>
                <w:szCs w:val="20"/>
                <w:color w:val="auto"/>
              </w:rPr>
            </w:pPr>
            <w:r>
              <w:rPr>
                <w:rFonts w:ascii="Arial" w:cs="Arial" w:eastAsia="Arial" w:hAnsi="Arial"/>
                <w:sz w:val="18"/>
                <w:szCs w:val="18"/>
                <w:color w:val="auto"/>
                <w:w w:val="95"/>
              </w:rPr>
              <w:t>PENNANTPARK INVESTMENT CORP</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InfuSystem Holdings Inc.</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20" w:type="dxa"/>
            <w:vAlign w:val="bottom"/>
            <w:gridSpan w:val="4"/>
          </w:tcPr>
          <w:p>
            <w:pPr>
              <w:spacing w:after="0"/>
              <w:rPr>
                <w:sz w:val="20"/>
                <w:szCs w:val="20"/>
                <w:color w:val="auto"/>
              </w:rPr>
            </w:pPr>
            <w:r>
              <w:rPr>
                <w:rFonts w:ascii="Arial" w:cs="Arial" w:eastAsia="Arial" w:hAnsi="Arial"/>
                <w:sz w:val="18"/>
                <w:szCs w:val="18"/>
                <w:color w:val="auto"/>
                <w:w w:val="95"/>
              </w:rPr>
              <w:t>PENNANTPARK INVESTMENT CORP</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Jackson Hewitt Tax Service Inc.</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20" w:type="dxa"/>
            <w:vAlign w:val="bottom"/>
            <w:gridSpan w:val="4"/>
          </w:tcPr>
          <w:p>
            <w:pPr>
              <w:spacing w:after="0"/>
              <w:rPr>
                <w:sz w:val="20"/>
                <w:szCs w:val="20"/>
                <w:color w:val="auto"/>
              </w:rPr>
            </w:pPr>
            <w:r>
              <w:rPr>
                <w:rFonts w:ascii="Arial" w:cs="Arial" w:eastAsia="Arial" w:hAnsi="Arial"/>
                <w:sz w:val="18"/>
                <w:szCs w:val="18"/>
                <w:color w:val="auto"/>
                <w:w w:val="95"/>
              </w:rPr>
              <w:t>PENNANTPARK INVESTMENT CORP</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Old Guard Risk Services, Inc.</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20" w:type="dxa"/>
            <w:vAlign w:val="bottom"/>
            <w:gridSpan w:val="4"/>
          </w:tcPr>
          <w:p>
            <w:pPr>
              <w:spacing w:after="0"/>
              <w:rPr>
                <w:sz w:val="20"/>
                <w:szCs w:val="20"/>
                <w:color w:val="auto"/>
              </w:rPr>
            </w:pPr>
            <w:r>
              <w:rPr>
                <w:rFonts w:ascii="Arial" w:cs="Arial" w:eastAsia="Arial" w:hAnsi="Arial"/>
                <w:sz w:val="18"/>
                <w:szCs w:val="18"/>
                <w:color w:val="auto"/>
                <w:w w:val="95"/>
              </w:rPr>
              <w:t>PENNANTPARK INVESTMENT CORP</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Prince Mineral Holding Corp.</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20" w:type="dxa"/>
            <w:vAlign w:val="bottom"/>
            <w:gridSpan w:val="4"/>
          </w:tcPr>
          <w:p>
            <w:pPr>
              <w:spacing w:after="0"/>
              <w:rPr>
                <w:sz w:val="20"/>
                <w:szCs w:val="20"/>
                <w:color w:val="auto"/>
              </w:rPr>
            </w:pPr>
            <w:r>
              <w:rPr>
                <w:rFonts w:ascii="Arial" w:cs="Arial" w:eastAsia="Arial" w:hAnsi="Arial"/>
                <w:sz w:val="18"/>
                <w:szCs w:val="18"/>
                <w:color w:val="auto"/>
                <w:w w:val="95"/>
              </w:rPr>
              <w:t>PENNANTPARK INVESTMENT CORP</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Superior Digital Displays, LLC</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20" w:type="dxa"/>
            <w:vAlign w:val="bottom"/>
            <w:gridSpan w:val="4"/>
          </w:tcPr>
          <w:p>
            <w:pPr>
              <w:spacing w:after="0"/>
              <w:rPr>
                <w:sz w:val="20"/>
                <w:szCs w:val="20"/>
                <w:color w:val="auto"/>
              </w:rPr>
            </w:pPr>
            <w:r>
              <w:rPr>
                <w:rFonts w:ascii="Arial" w:cs="Arial" w:eastAsia="Arial" w:hAnsi="Arial"/>
                <w:sz w:val="18"/>
                <w:szCs w:val="18"/>
                <w:color w:val="auto"/>
                <w:w w:val="95"/>
              </w:rPr>
              <w:t>PENNANTPARK INVESTMENT CORP</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SuttonPark Holdings, Inc</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20" w:type="dxa"/>
            <w:vAlign w:val="bottom"/>
            <w:gridSpan w:val="4"/>
          </w:tcPr>
          <w:p>
            <w:pPr>
              <w:spacing w:after="0"/>
              <w:rPr>
                <w:sz w:val="20"/>
                <w:szCs w:val="20"/>
                <w:color w:val="auto"/>
              </w:rPr>
            </w:pPr>
            <w:r>
              <w:rPr>
                <w:rFonts w:ascii="Arial" w:cs="Arial" w:eastAsia="Arial" w:hAnsi="Arial"/>
                <w:sz w:val="18"/>
                <w:szCs w:val="18"/>
                <w:color w:val="auto"/>
                <w:w w:val="95"/>
              </w:rPr>
              <w:t>PENNANTPARK INVESTMENT CORP</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TRAK Acquisition Corp.</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20" w:type="dxa"/>
            <w:vAlign w:val="bottom"/>
            <w:gridSpan w:val="4"/>
          </w:tcPr>
          <w:p>
            <w:pPr>
              <w:spacing w:after="0"/>
              <w:rPr>
                <w:sz w:val="20"/>
                <w:szCs w:val="20"/>
                <w:color w:val="auto"/>
              </w:rPr>
            </w:pPr>
            <w:r>
              <w:rPr>
                <w:rFonts w:ascii="Arial" w:cs="Arial" w:eastAsia="Arial" w:hAnsi="Arial"/>
                <w:sz w:val="18"/>
                <w:szCs w:val="18"/>
                <w:color w:val="auto"/>
                <w:w w:val="95"/>
              </w:rPr>
              <w:t>PENNANTPARK INVESTMENT CORP</w:t>
            </w:r>
          </w:p>
        </w:tc>
      </w:tr>
      <w:tr>
        <w:trPr>
          <w:trHeight w:val="230"/>
        </w:trPr>
        <w:tc>
          <w:tcPr>
            <w:tcW w:w="3940" w:type="dxa"/>
            <w:vAlign w:val="bottom"/>
            <w:gridSpan w:val="2"/>
          </w:tcPr>
          <w:p>
            <w:pPr>
              <w:spacing w:after="0"/>
              <w:rPr>
                <w:sz w:val="20"/>
                <w:szCs w:val="20"/>
                <w:color w:val="auto"/>
              </w:rPr>
            </w:pPr>
            <w:r>
              <w:rPr>
                <w:rFonts w:ascii="Arial" w:cs="Arial" w:eastAsia="Arial" w:hAnsi="Arial"/>
                <w:sz w:val="18"/>
                <w:szCs w:val="18"/>
                <w:color w:val="auto"/>
              </w:rPr>
              <w:t>Trust Inns Limited</w:t>
            </w: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20" w:type="dxa"/>
            <w:vAlign w:val="bottom"/>
            <w:gridSpan w:val="4"/>
          </w:tcPr>
          <w:p>
            <w:pPr>
              <w:spacing w:after="0"/>
              <w:rPr>
                <w:sz w:val="20"/>
                <w:szCs w:val="20"/>
                <w:color w:val="auto"/>
              </w:rPr>
            </w:pPr>
            <w:r>
              <w:rPr>
                <w:rFonts w:ascii="Arial" w:cs="Arial" w:eastAsia="Arial" w:hAnsi="Arial"/>
                <w:sz w:val="18"/>
                <w:szCs w:val="18"/>
                <w:color w:val="auto"/>
                <w:w w:val="95"/>
              </w:rPr>
              <w:t>PENNANTPARK INVESTMENT CORP</w:t>
            </w:r>
          </w:p>
        </w:tc>
      </w:tr>
      <w:tr>
        <w:trPr>
          <w:trHeight w:val="365"/>
        </w:trPr>
        <w:tc>
          <w:tcPr>
            <w:tcW w:w="12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140" w:type="dxa"/>
            <w:vAlign w:val="bottom"/>
            <w:gridSpan w:val="4"/>
          </w:tcPr>
          <w:p>
            <w:pPr>
              <w:jc w:val="center"/>
              <w:ind w:left="1130"/>
              <w:spacing w:after="0"/>
              <w:rPr>
                <w:sz w:val="20"/>
                <w:szCs w:val="20"/>
                <w:color w:val="auto"/>
              </w:rPr>
            </w:pPr>
            <w:r>
              <w:rPr>
                <w:rFonts w:ascii="Arial" w:cs="Arial" w:eastAsia="Arial" w:hAnsi="Arial"/>
                <w:sz w:val="18"/>
                <w:szCs w:val="18"/>
                <w:color w:val="auto"/>
                <w:w w:val="93"/>
              </w:rPr>
              <w:t>146</w:t>
            </w: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Nature of the Investment</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First Lien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First Lien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First Lien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First Lien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First Lien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First Lien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First Lien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First Lien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First Lien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First Lien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First Lien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First Lien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First Lien</w:t>
      </w:r>
    </w:p>
    <w:p>
      <w:pPr>
        <w:sectPr>
          <w:pgSz w:w="11900" w:h="16838" w:orient="portrait"/>
          <w:cols w:equalWidth="0" w:num="2">
            <w:col w:w="8500" w:space="720"/>
            <w:col w:w="1540"/>
          </w:cols>
          <w:pgMar w:left="320" w:top="257" w:right="819" w:bottom="1440" w:gutter="0" w:footer="0" w:header="0"/>
        </w:sectPr>
      </w:pPr>
    </w:p>
    <w:bookmarkStart w:id="157" w:name="page158"/>
    <w:bookmarkEnd w:id="157"/>
    <w:p>
      <w:pPr>
        <w:spacing w:after="0"/>
        <w:tabs>
          <w:tab w:leader="none" w:pos="52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Worley Claims Services LLC</w:t>
      </w:r>
      <w:r>
        <w:rPr>
          <w:sz w:val="20"/>
          <w:szCs w:val="20"/>
          <w:color w:val="auto"/>
        </w:rPr>
        <w:tab/>
      </w:r>
      <w:r>
        <w:rPr>
          <w:rFonts w:ascii="Arial" w:cs="Arial" w:eastAsia="Arial" w:hAnsi="Arial"/>
          <w:sz w:val="17"/>
          <w:szCs w:val="17"/>
          <w:color w:val="auto"/>
        </w:rPr>
        <w:t>PENNANTPARK INVESTMENT CORP</w:t>
      </w:r>
    </w:p>
    <w:p>
      <w:pPr>
        <w:spacing w:after="0" w:line="23" w:lineRule="exact"/>
        <w:rPr>
          <w:sz w:val="20"/>
          <w:szCs w:val="20"/>
          <w:color w:val="auto"/>
        </w:rPr>
      </w:pPr>
    </w:p>
    <w:p>
      <w:pPr>
        <w:spacing w:after="0"/>
        <w:tabs>
          <w:tab w:leader="none" w:pos="5280" w:val="left"/>
        </w:tabs>
        <w:rPr>
          <w:sz w:val="20"/>
          <w:szCs w:val="20"/>
          <w:color w:val="auto"/>
        </w:rPr>
      </w:pPr>
      <w:r>
        <w:rPr>
          <w:rFonts w:ascii="Arial" w:cs="Arial" w:eastAsia="Arial" w:hAnsi="Arial"/>
          <w:sz w:val="18"/>
          <w:szCs w:val="18"/>
          <w:color w:val="auto"/>
        </w:rPr>
        <w:t>American Gilsonite Company</w:t>
      </w:r>
      <w:r>
        <w:rPr>
          <w:sz w:val="20"/>
          <w:szCs w:val="20"/>
          <w:color w:val="auto"/>
        </w:rPr>
        <w:tab/>
      </w:r>
      <w:r>
        <w:rPr>
          <w:rFonts w:ascii="Arial" w:cs="Arial" w:eastAsia="Arial" w:hAnsi="Arial"/>
          <w:sz w:val="17"/>
          <w:szCs w:val="17"/>
          <w:color w:val="auto"/>
        </w:rPr>
        <w:t>PENNANTPARK INVESTMENT CORP</w:t>
      </w:r>
    </w:p>
    <w:p>
      <w:pPr>
        <w:spacing w:after="0" w:line="9" w:lineRule="exact"/>
        <w:rPr>
          <w:sz w:val="20"/>
          <w:szCs w:val="20"/>
          <w:color w:val="auto"/>
        </w:rPr>
      </w:pPr>
    </w:p>
    <w:p>
      <w:pPr>
        <w:spacing w:after="0"/>
        <w:tabs>
          <w:tab w:leader="none" w:pos="5280" w:val="left"/>
        </w:tabs>
        <w:rPr>
          <w:sz w:val="20"/>
          <w:szCs w:val="20"/>
          <w:color w:val="auto"/>
        </w:rPr>
      </w:pPr>
      <w:r>
        <w:rPr>
          <w:rFonts w:ascii="Arial" w:cs="Arial" w:eastAsia="Arial" w:hAnsi="Arial"/>
          <w:sz w:val="18"/>
          <w:szCs w:val="18"/>
          <w:color w:val="auto"/>
        </w:rPr>
        <w:t>Arsloane Acquisition, LLC</w:t>
      </w:r>
      <w:r>
        <w:rPr>
          <w:sz w:val="20"/>
          <w:szCs w:val="20"/>
          <w:color w:val="auto"/>
        </w:rPr>
        <w:tab/>
      </w:r>
      <w:r>
        <w:rPr>
          <w:rFonts w:ascii="Arial" w:cs="Arial" w:eastAsia="Arial" w:hAnsi="Arial"/>
          <w:sz w:val="17"/>
          <w:szCs w:val="17"/>
          <w:color w:val="auto"/>
        </w:rPr>
        <w:t>PENNANTPARK INVESTMENT CORP</w:t>
      </w:r>
    </w:p>
    <w:p>
      <w:pPr>
        <w:spacing w:after="0" w:line="9" w:lineRule="exact"/>
        <w:rPr>
          <w:sz w:val="20"/>
          <w:szCs w:val="20"/>
          <w:color w:val="auto"/>
        </w:rPr>
      </w:pPr>
    </w:p>
    <w:p>
      <w:pPr>
        <w:spacing w:after="0"/>
        <w:tabs>
          <w:tab w:leader="none" w:pos="5280" w:val="left"/>
        </w:tabs>
        <w:rPr>
          <w:sz w:val="20"/>
          <w:szCs w:val="20"/>
          <w:color w:val="auto"/>
        </w:rPr>
      </w:pPr>
      <w:r>
        <w:rPr>
          <w:rFonts w:ascii="Arial" w:cs="Arial" w:eastAsia="Arial" w:hAnsi="Arial"/>
          <w:sz w:val="18"/>
          <w:szCs w:val="18"/>
          <w:color w:val="auto"/>
        </w:rPr>
        <w:t>Ascensus, Inc.</w:t>
      </w:r>
      <w:r>
        <w:rPr>
          <w:sz w:val="20"/>
          <w:szCs w:val="20"/>
          <w:color w:val="auto"/>
        </w:rPr>
        <w:tab/>
      </w:r>
      <w:r>
        <w:rPr>
          <w:rFonts w:ascii="Arial" w:cs="Arial" w:eastAsia="Arial" w:hAnsi="Arial"/>
          <w:sz w:val="17"/>
          <w:szCs w:val="17"/>
          <w:color w:val="auto"/>
        </w:rPr>
        <w:t>PENNANTPARK INVESTMENT CORP</w:t>
      </w:r>
    </w:p>
    <w:p>
      <w:pPr>
        <w:spacing w:after="0" w:line="9" w:lineRule="exact"/>
        <w:rPr>
          <w:sz w:val="20"/>
          <w:szCs w:val="20"/>
          <w:color w:val="auto"/>
        </w:rPr>
      </w:pPr>
    </w:p>
    <w:p>
      <w:pPr>
        <w:spacing w:after="0"/>
        <w:tabs>
          <w:tab w:leader="none" w:pos="5280" w:val="left"/>
        </w:tabs>
        <w:rPr>
          <w:sz w:val="20"/>
          <w:szCs w:val="20"/>
          <w:color w:val="auto"/>
        </w:rPr>
      </w:pPr>
      <w:r>
        <w:rPr>
          <w:rFonts w:ascii="Arial" w:cs="Arial" w:eastAsia="Arial" w:hAnsi="Arial"/>
          <w:sz w:val="18"/>
          <w:szCs w:val="18"/>
          <w:color w:val="auto"/>
        </w:rPr>
        <w:t>Bennu Oil &amp; Gas, LLC</w:t>
      </w:r>
      <w:r>
        <w:rPr>
          <w:sz w:val="20"/>
          <w:szCs w:val="20"/>
          <w:color w:val="auto"/>
        </w:rPr>
        <w:tab/>
      </w:r>
      <w:r>
        <w:rPr>
          <w:rFonts w:ascii="Arial" w:cs="Arial" w:eastAsia="Arial" w:hAnsi="Arial"/>
          <w:sz w:val="17"/>
          <w:szCs w:val="17"/>
          <w:color w:val="auto"/>
        </w:rPr>
        <w:t>PENNANTPARK INVESTMENT CORP</w:t>
      </w:r>
    </w:p>
    <w:p>
      <w:pPr>
        <w:spacing w:after="0" w:line="9" w:lineRule="exact"/>
        <w:rPr>
          <w:sz w:val="20"/>
          <w:szCs w:val="20"/>
          <w:color w:val="auto"/>
        </w:rPr>
      </w:pPr>
    </w:p>
    <w:p>
      <w:pPr>
        <w:spacing w:after="0"/>
        <w:tabs>
          <w:tab w:leader="none" w:pos="5280" w:val="left"/>
        </w:tabs>
        <w:rPr>
          <w:sz w:val="20"/>
          <w:szCs w:val="20"/>
          <w:color w:val="auto"/>
        </w:rPr>
      </w:pPr>
      <w:r>
        <w:rPr>
          <w:rFonts w:ascii="Arial" w:cs="Arial" w:eastAsia="Arial" w:hAnsi="Arial"/>
          <w:sz w:val="18"/>
          <w:szCs w:val="18"/>
          <w:color w:val="auto"/>
        </w:rPr>
        <w:t>Carolina Beverage Group, LLC</w:t>
      </w:r>
      <w:r>
        <w:rPr>
          <w:sz w:val="20"/>
          <w:szCs w:val="20"/>
          <w:color w:val="auto"/>
        </w:rPr>
        <w:tab/>
      </w:r>
      <w:r>
        <w:rPr>
          <w:rFonts w:ascii="Arial" w:cs="Arial" w:eastAsia="Arial" w:hAnsi="Arial"/>
          <w:sz w:val="17"/>
          <w:szCs w:val="17"/>
          <w:color w:val="auto"/>
        </w:rPr>
        <w:t>PENNANTPARK INVESTMENT CORP</w:t>
      </w:r>
    </w:p>
    <w:p>
      <w:pPr>
        <w:spacing w:after="0" w:line="9" w:lineRule="exact"/>
        <w:rPr>
          <w:sz w:val="20"/>
          <w:szCs w:val="20"/>
          <w:color w:val="auto"/>
        </w:rPr>
      </w:pPr>
    </w:p>
    <w:p>
      <w:pPr>
        <w:spacing w:after="0"/>
        <w:tabs>
          <w:tab w:leader="none" w:pos="5280" w:val="left"/>
        </w:tabs>
        <w:rPr>
          <w:sz w:val="20"/>
          <w:szCs w:val="20"/>
          <w:color w:val="auto"/>
        </w:rPr>
      </w:pPr>
      <w:r>
        <w:rPr>
          <w:rFonts w:ascii="Arial" w:cs="Arial" w:eastAsia="Arial" w:hAnsi="Arial"/>
          <w:sz w:val="18"/>
          <w:szCs w:val="18"/>
          <w:color w:val="auto"/>
        </w:rPr>
        <w:t>CT Technologies Holdings, LLC</w:t>
      </w:r>
      <w:r>
        <w:rPr>
          <w:sz w:val="20"/>
          <w:szCs w:val="20"/>
          <w:color w:val="auto"/>
        </w:rPr>
        <w:tab/>
      </w:r>
      <w:r>
        <w:rPr>
          <w:rFonts w:ascii="Arial" w:cs="Arial" w:eastAsia="Arial" w:hAnsi="Arial"/>
          <w:sz w:val="17"/>
          <w:szCs w:val="17"/>
          <w:color w:val="auto"/>
        </w:rPr>
        <w:t>PENNANTPARK INVESTMENT CORP</w:t>
      </w:r>
    </w:p>
    <w:p>
      <w:pPr>
        <w:spacing w:after="0" w:line="9" w:lineRule="exact"/>
        <w:rPr>
          <w:sz w:val="20"/>
          <w:szCs w:val="20"/>
          <w:color w:val="auto"/>
        </w:rPr>
      </w:pPr>
    </w:p>
    <w:p>
      <w:pPr>
        <w:spacing w:after="0"/>
        <w:tabs>
          <w:tab w:leader="none" w:pos="5280" w:val="left"/>
        </w:tabs>
        <w:rPr>
          <w:sz w:val="20"/>
          <w:szCs w:val="20"/>
          <w:color w:val="auto"/>
        </w:rPr>
      </w:pPr>
      <w:r>
        <w:rPr>
          <w:rFonts w:ascii="Arial" w:cs="Arial" w:eastAsia="Arial" w:hAnsi="Arial"/>
          <w:sz w:val="18"/>
          <w:szCs w:val="18"/>
          <w:color w:val="auto"/>
        </w:rPr>
        <w:t>EnviroSolutions Holdings, Inc.</w:t>
      </w:r>
      <w:r>
        <w:rPr>
          <w:sz w:val="20"/>
          <w:szCs w:val="20"/>
          <w:color w:val="auto"/>
        </w:rPr>
        <w:tab/>
      </w:r>
      <w:r>
        <w:rPr>
          <w:rFonts w:ascii="Arial" w:cs="Arial" w:eastAsia="Arial" w:hAnsi="Arial"/>
          <w:sz w:val="17"/>
          <w:szCs w:val="17"/>
          <w:color w:val="auto"/>
        </w:rPr>
        <w:t>PENNANTPARK INVESTMENT CORP</w:t>
      </w:r>
    </w:p>
    <w:p>
      <w:pPr>
        <w:spacing w:after="0" w:line="9" w:lineRule="exact"/>
        <w:rPr>
          <w:sz w:val="20"/>
          <w:szCs w:val="20"/>
          <w:color w:val="auto"/>
        </w:rPr>
      </w:pPr>
    </w:p>
    <w:p>
      <w:pPr>
        <w:spacing w:after="0"/>
        <w:tabs>
          <w:tab w:leader="none" w:pos="5280" w:val="left"/>
        </w:tabs>
        <w:rPr>
          <w:sz w:val="20"/>
          <w:szCs w:val="20"/>
          <w:color w:val="auto"/>
        </w:rPr>
      </w:pPr>
      <w:r>
        <w:rPr>
          <w:rFonts w:ascii="Arial" w:cs="Arial" w:eastAsia="Arial" w:hAnsi="Arial"/>
          <w:sz w:val="18"/>
          <w:szCs w:val="18"/>
          <w:color w:val="auto"/>
        </w:rPr>
        <w:t>Envision Acquisition Company, LLC</w:t>
      </w:r>
      <w:r>
        <w:rPr>
          <w:sz w:val="20"/>
          <w:szCs w:val="20"/>
          <w:color w:val="auto"/>
        </w:rPr>
        <w:tab/>
      </w:r>
      <w:r>
        <w:rPr>
          <w:rFonts w:ascii="Arial" w:cs="Arial" w:eastAsia="Arial" w:hAnsi="Arial"/>
          <w:sz w:val="17"/>
          <w:szCs w:val="17"/>
          <w:color w:val="auto"/>
        </w:rPr>
        <w:t>PENNANTPARK INVESTMENT CORP</w:t>
      </w:r>
    </w:p>
    <w:p>
      <w:pPr>
        <w:spacing w:after="0" w:line="9" w:lineRule="exact"/>
        <w:rPr>
          <w:sz w:val="20"/>
          <w:szCs w:val="20"/>
          <w:color w:val="auto"/>
        </w:rPr>
      </w:pPr>
    </w:p>
    <w:p>
      <w:pPr>
        <w:spacing w:after="0"/>
        <w:tabs>
          <w:tab w:leader="none" w:pos="5280" w:val="left"/>
        </w:tabs>
        <w:rPr>
          <w:sz w:val="20"/>
          <w:szCs w:val="20"/>
          <w:color w:val="auto"/>
        </w:rPr>
      </w:pPr>
      <w:r>
        <w:rPr>
          <w:rFonts w:ascii="Arial" w:cs="Arial" w:eastAsia="Arial" w:hAnsi="Arial"/>
          <w:sz w:val="18"/>
          <w:szCs w:val="18"/>
          <w:color w:val="auto"/>
        </w:rPr>
        <w:t>Foundation Building Materials, LLC</w:t>
      </w:r>
      <w:r>
        <w:rPr>
          <w:sz w:val="20"/>
          <w:szCs w:val="20"/>
          <w:color w:val="auto"/>
        </w:rPr>
        <w:tab/>
      </w:r>
      <w:r>
        <w:rPr>
          <w:rFonts w:ascii="Arial" w:cs="Arial" w:eastAsia="Arial" w:hAnsi="Arial"/>
          <w:sz w:val="17"/>
          <w:szCs w:val="17"/>
          <w:color w:val="auto"/>
        </w:rPr>
        <w:t>PENNANTPARK INVESTMENT CORP</w:t>
      </w:r>
    </w:p>
    <w:p>
      <w:pPr>
        <w:spacing w:after="0" w:line="9" w:lineRule="exact"/>
        <w:rPr>
          <w:sz w:val="20"/>
          <w:szCs w:val="20"/>
          <w:color w:val="auto"/>
        </w:rPr>
      </w:pPr>
    </w:p>
    <w:p>
      <w:pPr>
        <w:spacing w:after="0"/>
        <w:tabs>
          <w:tab w:leader="none" w:pos="5280" w:val="left"/>
        </w:tabs>
        <w:rPr>
          <w:sz w:val="20"/>
          <w:szCs w:val="20"/>
          <w:color w:val="auto"/>
        </w:rPr>
      </w:pPr>
      <w:r>
        <w:rPr>
          <w:rFonts w:ascii="Arial" w:cs="Arial" w:eastAsia="Arial" w:hAnsi="Arial"/>
          <w:sz w:val="18"/>
          <w:szCs w:val="18"/>
          <w:color w:val="auto"/>
        </w:rPr>
        <w:t>ILC Industries, LLC</w:t>
      </w:r>
      <w:r>
        <w:rPr>
          <w:sz w:val="20"/>
          <w:szCs w:val="20"/>
          <w:color w:val="auto"/>
        </w:rPr>
        <w:tab/>
      </w:r>
      <w:r>
        <w:rPr>
          <w:rFonts w:ascii="Arial" w:cs="Arial" w:eastAsia="Arial" w:hAnsi="Arial"/>
          <w:sz w:val="17"/>
          <w:szCs w:val="17"/>
          <w:color w:val="auto"/>
        </w:rPr>
        <w:t>PENNANTPARK INVESTMENT CORP</w:t>
      </w:r>
    </w:p>
    <w:p>
      <w:pPr>
        <w:spacing w:after="0" w:line="9" w:lineRule="exact"/>
        <w:rPr>
          <w:sz w:val="20"/>
          <w:szCs w:val="20"/>
          <w:color w:val="auto"/>
        </w:rPr>
      </w:pPr>
    </w:p>
    <w:p>
      <w:pPr>
        <w:spacing w:after="0"/>
        <w:tabs>
          <w:tab w:leader="none" w:pos="5280" w:val="left"/>
        </w:tabs>
        <w:rPr>
          <w:sz w:val="20"/>
          <w:szCs w:val="20"/>
          <w:color w:val="auto"/>
        </w:rPr>
      </w:pPr>
      <w:r>
        <w:rPr>
          <w:rFonts w:ascii="Arial" w:cs="Arial" w:eastAsia="Arial" w:hAnsi="Arial"/>
          <w:sz w:val="18"/>
          <w:szCs w:val="18"/>
          <w:color w:val="auto"/>
        </w:rPr>
        <w:t>Intermediate Transportation 100, LLC</w:t>
      </w:r>
      <w:r>
        <w:rPr>
          <w:sz w:val="20"/>
          <w:szCs w:val="20"/>
          <w:color w:val="auto"/>
        </w:rPr>
        <w:tab/>
      </w:r>
      <w:r>
        <w:rPr>
          <w:rFonts w:ascii="Arial" w:cs="Arial" w:eastAsia="Arial" w:hAnsi="Arial"/>
          <w:sz w:val="17"/>
          <w:szCs w:val="17"/>
          <w:color w:val="auto"/>
        </w:rPr>
        <w:t>PENNANTPARK INVESTMENT CORP</w:t>
      </w:r>
    </w:p>
    <w:p>
      <w:pPr>
        <w:spacing w:after="0" w:line="9" w:lineRule="exact"/>
        <w:rPr>
          <w:sz w:val="20"/>
          <w:szCs w:val="20"/>
          <w:color w:val="auto"/>
        </w:rPr>
      </w:pPr>
    </w:p>
    <w:p>
      <w:pPr>
        <w:spacing w:after="0"/>
        <w:tabs>
          <w:tab w:leader="none" w:pos="5280" w:val="left"/>
        </w:tabs>
        <w:rPr>
          <w:sz w:val="20"/>
          <w:szCs w:val="20"/>
          <w:color w:val="auto"/>
        </w:rPr>
      </w:pPr>
      <w:r>
        <w:rPr>
          <w:rFonts w:ascii="Arial" w:cs="Arial" w:eastAsia="Arial" w:hAnsi="Arial"/>
          <w:sz w:val="18"/>
          <w:szCs w:val="18"/>
          <w:color w:val="auto"/>
        </w:rPr>
        <w:t>J.A. Cosmetics Holdings, Inc.</w:t>
      </w:r>
      <w:r>
        <w:rPr>
          <w:sz w:val="20"/>
          <w:szCs w:val="20"/>
          <w:color w:val="auto"/>
        </w:rPr>
        <w:tab/>
      </w:r>
      <w:r>
        <w:rPr>
          <w:rFonts w:ascii="Arial" w:cs="Arial" w:eastAsia="Arial" w:hAnsi="Arial"/>
          <w:sz w:val="17"/>
          <w:szCs w:val="17"/>
          <w:color w:val="auto"/>
        </w:rPr>
        <w:t>PENNANTPARK INVESTMENT CORP</w:t>
      </w:r>
    </w:p>
    <w:p>
      <w:pPr>
        <w:spacing w:after="0" w:line="9" w:lineRule="exact"/>
        <w:rPr>
          <w:sz w:val="20"/>
          <w:szCs w:val="20"/>
          <w:color w:val="auto"/>
        </w:rPr>
      </w:pPr>
    </w:p>
    <w:p>
      <w:pPr>
        <w:spacing w:after="0"/>
        <w:tabs>
          <w:tab w:leader="none" w:pos="5280" w:val="left"/>
        </w:tabs>
        <w:rPr>
          <w:sz w:val="20"/>
          <w:szCs w:val="20"/>
          <w:color w:val="auto"/>
        </w:rPr>
      </w:pPr>
      <w:r>
        <w:rPr>
          <w:rFonts w:ascii="Arial" w:cs="Arial" w:eastAsia="Arial" w:hAnsi="Arial"/>
          <w:sz w:val="18"/>
          <w:szCs w:val="18"/>
          <w:color w:val="auto"/>
        </w:rPr>
        <w:t>Jacobs Entertainment, Inc.</w:t>
      </w:r>
      <w:r>
        <w:rPr>
          <w:sz w:val="20"/>
          <w:szCs w:val="20"/>
          <w:color w:val="auto"/>
        </w:rPr>
        <w:tab/>
      </w:r>
      <w:r>
        <w:rPr>
          <w:rFonts w:ascii="Arial" w:cs="Arial" w:eastAsia="Arial" w:hAnsi="Arial"/>
          <w:sz w:val="17"/>
          <w:szCs w:val="17"/>
          <w:color w:val="auto"/>
        </w:rPr>
        <w:t>PENNANTPARK INVESTMENT CORP</w:t>
      </w:r>
    </w:p>
    <w:p>
      <w:pPr>
        <w:spacing w:after="0" w:line="9" w:lineRule="exact"/>
        <w:rPr>
          <w:sz w:val="20"/>
          <w:szCs w:val="20"/>
          <w:color w:val="auto"/>
        </w:rPr>
      </w:pPr>
    </w:p>
    <w:p>
      <w:pPr>
        <w:spacing w:after="0"/>
        <w:tabs>
          <w:tab w:leader="none" w:pos="5280" w:val="left"/>
        </w:tabs>
        <w:rPr>
          <w:sz w:val="20"/>
          <w:szCs w:val="20"/>
          <w:color w:val="auto"/>
        </w:rPr>
      </w:pPr>
      <w:r>
        <w:rPr>
          <w:rFonts w:ascii="Arial" w:cs="Arial" w:eastAsia="Arial" w:hAnsi="Arial"/>
          <w:sz w:val="18"/>
          <w:szCs w:val="18"/>
          <w:color w:val="auto"/>
        </w:rPr>
        <w:t>Language Line, LLC</w:t>
      </w:r>
      <w:r>
        <w:rPr>
          <w:sz w:val="20"/>
          <w:szCs w:val="20"/>
          <w:color w:val="auto"/>
        </w:rPr>
        <w:tab/>
      </w:r>
      <w:r>
        <w:rPr>
          <w:rFonts w:ascii="Arial" w:cs="Arial" w:eastAsia="Arial" w:hAnsi="Arial"/>
          <w:sz w:val="17"/>
          <w:szCs w:val="17"/>
          <w:color w:val="auto"/>
        </w:rPr>
        <w:t>PENNANTPARK INVESTMENT CORP</w:t>
      </w:r>
    </w:p>
    <w:p>
      <w:pPr>
        <w:spacing w:after="0" w:line="9" w:lineRule="exact"/>
        <w:rPr>
          <w:sz w:val="20"/>
          <w:szCs w:val="20"/>
          <w:color w:val="auto"/>
        </w:rPr>
      </w:pPr>
    </w:p>
    <w:p>
      <w:pPr>
        <w:spacing w:after="0"/>
        <w:tabs>
          <w:tab w:leader="none" w:pos="5280" w:val="left"/>
        </w:tabs>
        <w:rPr>
          <w:sz w:val="20"/>
          <w:szCs w:val="20"/>
          <w:color w:val="auto"/>
        </w:rPr>
      </w:pPr>
      <w:r>
        <w:rPr>
          <w:rFonts w:ascii="Arial" w:cs="Arial" w:eastAsia="Arial" w:hAnsi="Arial"/>
          <w:sz w:val="18"/>
          <w:szCs w:val="18"/>
          <w:color w:val="auto"/>
        </w:rPr>
        <w:t>Linc USA GP and Linc Energy Finance (USA), Inc.</w:t>
      </w:r>
      <w:r>
        <w:rPr>
          <w:sz w:val="20"/>
          <w:szCs w:val="20"/>
          <w:color w:val="auto"/>
        </w:rPr>
        <w:tab/>
      </w:r>
      <w:r>
        <w:rPr>
          <w:rFonts w:ascii="Arial" w:cs="Arial" w:eastAsia="Arial" w:hAnsi="Arial"/>
          <w:sz w:val="17"/>
          <w:szCs w:val="17"/>
          <w:color w:val="auto"/>
        </w:rPr>
        <w:t>PENNANTPARK INVESTMENT CORP</w:t>
      </w:r>
    </w:p>
    <w:p>
      <w:pPr>
        <w:spacing w:after="0" w:line="14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First Lien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Second Lien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Second Lien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Second Lien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Second Lien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Second Lien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Second Lien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Second Lien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Second Lien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Second Lien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Second Lien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Second Lien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Second Lien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Second Lien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Second Lien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Second Lien</w:t>
      </w:r>
    </w:p>
    <w:p>
      <w:pPr>
        <w:sectPr>
          <w:pgSz w:w="11900" w:h="16838" w:orient="portrait"/>
          <w:cols w:equalWidth="0" w:num="2">
            <w:col w:w="8500" w:space="720"/>
            <w:col w:w="920"/>
          </w:cols>
          <w:pgMar w:left="320" w:top="274" w:right="1439" w:bottom="1440" w:gutter="0" w:footer="0" w:header="0"/>
        </w:sectPr>
      </w:pPr>
    </w:p>
    <w:bookmarkStart w:id="158" w:name="page159"/>
    <w:bookmarkEnd w:id="158"/>
    <w:p>
      <w:pPr>
        <w:spacing w:after="0"/>
        <w:tabs>
          <w:tab w:leader="none" w:pos="52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New Gulf Resources, LLC</w:t>
      </w:r>
      <w:r>
        <w:rPr>
          <w:sz w:val="20"/>
          <w:szCs w:val="20"/>
          <w:color w:val="auto"/>
        </w:rPr>
        <w:tab/>
      </w:r>
      <w:r>
        <w:rPr>
          <w:rFonts w:ascii="Arial" w:cs="Arial" w:eastAsia="Arial" w:hAnsi="Arial"/>
          <w:sz w:val="17"/>
          <w:szCs w:val="17"/>
          <w:color w:val="auto"/>
        </w:rPr>
        <w:t>PENNANTPARK INVESTMENT CORP</w:t>
      </w:r>
    </w:p>
    <w:p>
      <w:pPr>
        <w:spacing w:after="0" w:line="23" w:lineRule="exact"/>
        <w:rPr>
          <w:sz w:val="20"/>
          <w:szCs w:val="20"/>
          <w:color w:val="auto"/>
        </w:rPr>
      </w:pPr>
    </w:p>
    <w:p>
      <w:pPr>
        <w:spacing w:after="0"/>
        <w:tabs>
          <w:tab w:leader="none" w:pos="5280" w:val="left"/>
        </w:tabs>
        <w:rPr>
          <w:sz w:val="20"/>
          <w:szCs w:val="20"/>
          <w:color w:val="auto"/>
        </w:rPr>
      </w:pPr>
      <w:r>
        <w:rPr>
          <w:rFonts w:ascii="Arial" w:cs="Arial" w:eastAsia="Arial" w:hAnsi="Arial"/>
          <w:sz w:val="18"/>
          <w:szCs w:val="18"/>
          <w:color w:val="auto"/>
        </w:rPr>
        <w:t>Pre-Paid Legal Services, Inc.</w:t>
      </w:r>
      <w:r>
        <w:rPr>
          <w:sz w:val="20"/>
          <w:szCs w:val="20"/>
          <w:color w:val="auto"/>
        </w:rPr>
        <w:tab/>
      </w:r>
      <w:r>
        <w:rPr>
          <w:rFonts w:ascii="Arial" w:cs="Arial" w:eastAsia="Arial" w:hAnsi="Arial"/>
          <w:sz w:val="17"/>
          <w:szCs w:val="17"/>
          <w:color w:val="auto"/>
        </w:rPr>
        <w:t>PENNANTPARK INVESTMENT CORP</w:t>
      </w:r>
    </w:p>
    <w:p>
      <w:pPr>
        <w:spacing w:after="0" w:line="9" w:lineRule="exact"/>
        <w:rPr>
          <w:sz w:val="20"/>
          <w:szCs w:val="20"/>
          <w:color w:val="auto"/>
        </w:rPr>
      </w:pPr>
    </w:p>
    <w:p>
      <w:pPr>
        <w:spacing w:after="0"/>
        <w:tabs>
          <w:tab w:leader="none" w:pos="5280" w:val="left"/>
        </w:tabs>
        <w:rPr>
          <w:sz w:val="20"/>
          <w:szCs w:val="20"/>
          <w:color w:val="auto"/>
        </w:rPr>
      </w:pPr>
      <w:r>
        <w:rPr>
          <w:rFonts w:ascii="Arial" w:cs="Arial" w:eastAsia="Arial" w:hAnsi="Arial"/>
          <w:sz w:val="18"/>
          <w:szCs w:val="18"/>
          <w:color w:val="auto"/>
        </w:rPr>
        <w:t>Questex Media Group LLC</w:t>
      </w:r>
      <w:r>
        <w:rPr>
          <w:sz w:val="20"/>
          <w:szCs w:val="20"/>
          <w:color w:val="auto"/>
        </w:rPr>
        <w:tab/>
      </w:r>
      <w:r>
        <w:rPr>
          <w:rFonts w:ascii="Arial" w:cs="Arial" w:eastAsia="Arial" w:hAnsi="Arial"/>
          <w:sz w:val="17"/>
          <w:szCs w:val="17"/>
          <w:color w:val="auto"/>
        </w:rPr>
        <w:t>PENNANTPARK INVESTMENT CORP</w:t>
      </w:r>
    </w:p>
    <w:p>
      <w:pPr>
        <w:spacing w:after="0" w:line="9" w:lineRule="exact"/>
        <w:rPr>
          <w:sz w:val="20"/>
          <w:szCs w:val="20"/>
          <w:color w:val="auto"/>
        </w:rPr>
      </w:pPr>
    </w:p>
    <w:p>
      <w:pPr>
        <w:spacing w:after="0"/>
        <w:tabs>
          <w:tab w:leader="none" w:pos="5280" w:val="left"/>
        </w:tabs>
        <w:rPr>
          <w:sz w:val="20"/>
          <w:szCs w:val="20"/>
          <w:color w:val="auto"/>
        </w:rPr>
      </w:pPr>
      <w:r>
        <w:rPr>
          <w:rFonts w:ascii="Arial" w:cs="Arial" w:eastAsia="Arial" w:hAnsi="Arial"/>
          <w:sz w:val="18"/>
          <w:szCs w:val="18"/>
          <w:color w:val="auto"/>
        </w:rPr>
        <w:t>Affinion Group Holdings, Inc.</w:t>
      </w:r>
      <w:r>
        <w:rPr>
          <w:sz w:val="20"/>
          <w:szCs w:val="20"/>
          <w:color w:val="auto"/>
        </w:rPr>
        <w:tab/>
      </w:r>
      <w:r>
        <w:rPr>
          <w:rFonts w:ascii="Arial" w:cs="Arial" w:eastAsia="Arial" w:hAnsi="Arial"/>
          <w:sz w:val="17"/>
          <w:szCs w:val="17"/>
          <w:color w:val="auto"/>
        </w:rPr>
        <w:t>PENNANTPARK INVESTMENT CORP</w:t>
      </w:r>
    </w:p>
    <w:p>
      <w:pPr>
        <w:spacing w:after="0" w:line="9" w:lineRule="exact"/>
        <w:rPr>
          <w:sz w:val="20"/>
          <w:szCs w:val="20"/>
          <w:color w:val="auto"/>
        </w:rPr>
      </w:pPr>
    </w:p>
    <w:p>
      <w:pPr>
        <w:spacing w:after="0"/>
        <w:tabs>
          <w:tab w:leader="none" w:pos="5280" w:val="left"/>
        </w:tabs>
        <w:rPr>
          <w:sz w:val="20"/>
          <w:szCs w:val="20"/>
          <w:color w:val="auto"/>
        </w:rPr>
      </w:pPr>
      <w:r>
        <w:rPr>
          <w:rFonts w:ascii="Arial" w:cs="Arial" w:eastAsia="Arial" w:hAnsi="Arial"/>
          <w:sz w:val="18"/>
          <w:szCs w:val="18"/>
          <w:color w:val="auto"/>
        </w:rPr>
        <w:t>Affinion Investments LLC</w:t>
      </w:r>
      <w:r>
        <w:rPr>
          <w:sz w:val="20"/>
          <w:szCs w:val="20"/>
          <w:color w:val="auto"/>
        </w:rPr>
        <w:tab/>
      </w:r>
      <w:r>
        <w:rPr>
          <w:rFonts w:ascii="Arial" w:cs="Arial" w:eastAsia="Arial" w:hAnsi="Arial"/>
          <w:sz w:val="17"/>
          <w:szCs w:val="17"/>
          <w:color w:val="auto"/>
        </w:rPr>
        <w:t>PENNANTPARK INVESTMENT CORP</w:t>
      </w:r>
    </w:p>
    <w:p>
      <w:pPr>
        <w:spacing w:after="0" w:line="9" w:lineRule="exact"/>
        <w:rPr>
          <w:sz w:val="20"/>
          <w:szCs w:val="20"/>
          <w:color w:val="auto"/>
        </w:rPr>
      </w:pPr>
    </w:p>
    <w:p>
      <w:pPr>
        <w:spacing w:after="0"/>
        <w:tabs>
          <w:tab w:leader="none" w:pos="5280" w:val="left"/>
        </w:tabs>
        <w:rPr>
          <w:sz w:val="20"/>
          <w:szCs w:val="20"/>
          <w:color w:val="auto"/>
        </w:rPr>
      </w:pPr>
      <w:r>
        <w:rPr>
          <w:rFonts w:ascii="Arial" w:cs="Arial" w:eastAsia="Arial" w:hAnsi="Arial"/>
          <w:sz w:val="18"/>
          <w:szCs w:val="18"/>
          <w:color w:val="auto"/>
        </w:rPr>
        <w:t>Alegeus Technologies LLC</w:t>
      </w:r>
      <w:r>
        <w:rPr>
          <w:sz w:val="20"/>
          <w:szCs w:val="20"/>
          <w:color w:val="auto"/>
        </w:rPr>
        <w:tab/>
      </w:r>
      <w:r>
        <w:rPr>
          <w:rFonts w:ascii="Arial" w:cs="Arial" w:eastAsia="Arial" w:hAnsi="Arial"/>
          <w:sz w:val="17"/>
          <w:szCs w:val="17"/>
          <w:color w:val="auto"/>
        </w:rPr>
        <w:t>PENNANTPARK INVESTMENT CORP</w:t>
      </w:r>
    </w:p>
    <w:p>
      <w:pPr>
        <w:spacing w:after="0" w:line="9" w:lineRule="exact"/>
        <w:rPr>
          <w:sz w:val="20"/>
          <w:szCs w:val="20"/>
          <w:color w:val="auto"/>
        </w:rPr>
      </w:pPr>
    </w:p>
    <w:p>
      <w:pPr>
        <w:spacing w:after="0"/>
        <w:tabs>
          <w:tab w:leader="none" w:pos="5280" w:val="left"/>
        </w:tabs>
        <w:rPr>
          <w:sz w:val="20"/>
          <w:szCs w:val="20"/>
          <w:color w:val="auto"/>
        </w:rPr>
      </w:pPr>
      <w:r>
        <w:rPr>
          <w:rFonts w:ascii="Arial" w:cs="Arial" w:eastAsia="Arial" w:hAnsi="Arial"/>
          <w:sz w:val="18"/>
          <w:szCs w:val="18"/>
          <w:color w:val="auto"/>
        </w:rPr>
        <w:t>Convergint Technologies Holdings, LLC</w:t>
      </w:r>
      <w:r>
        <w:rPr>
          <w:sz w:val="20"/>
          <w:szCs w:val="20"/>
          <w:color w:val="auto"/>
        </w:rPr>
        <w:tab/>
      </w:r>
      <w:r>
        <w:rPr>
          <w:rFonts w:ascii="Arial" w:cs="Arial" w:eastAsia="Arial" w:hAnsi="Arial"/>
          <w:sz w:val="17"/>
          <w:szCs w:val="17"/>
          <w:color w:val="auto"/>
        </w:rPr>
        <w:t>PENNANTPARK INVESTMENT CORP</w:t>
      </w:r>
    </w:p>
    <w:p>
      <w:pPr>
        <w:spacing w:after="0" w:line="9" w:lineRule="exact"/>
        <w:rPr>
          <w:sz w:val="20"/>
          <w:szCs w:val="20"/>
          <w:color w:val="auto"/>
        </w:rPr>
      </w:pPr>
    </w:p>
    <w:p>
      <w:pPr>
        <w:spacing w:after="0"/>
        <w:tabs>
          <w:tab w:leader="none" w:pos="5280" w:val="left"/>
        </w:tabs>
        <w:rPr>
          <w:sz w:val="20"/>
          <w:szCs w:val="20"/>
          <w:color w:val="auto"/>
        </w:rPr>
      </w:pPr>
      <w:r>
        <w:rPr>
          <w:rFonts w:ascii="Arial" w:cs="Arial" w:eastAsia="Arial" w:hAnsi="Arial"/>
          <w:sz w:val="18"/>
          <w:szCs w:val="18"/>
          <w:color w:val="auto"/>
        </w:rPr>
        <w:t>DirectBuy Holdings, Inc.</w:t>
      </w:r>
      <w:r>
        <w:rPr>
          <w:sz w:val="20"/>
          <w:szCs w:val="20"/>
          <w:color w:val="auto"/>
        </w:rPr>
        <w:tab/>
      </w:r>
      <w:r>
        <w:rPr>
          <w:rFonts w:ascii="Arial" w:cs="Arial" w:eastAsia="Arial" w:hAnsi="Arial"/>
          <w:sz w:val="17"/>
          <w:szCs w:val="17"/>
          <w:color w:val="auto"/>
        </w:rPr>
        <w:t>PENNANTPARK INVESTMENT CORP</w:t>
      </w:r>
    </w:p>
    <w:p>
      <w:pPr>
        <w:spacing w:after="0" w:line="9" w:lineRule="exact"/>
        <w:rPr>
          <w:sz w:val="20"/>
          <w:szCs w:val="20"/>
          <w:color w:val="auto"/>
        </w:rPr>
      </w:pPr>
    </w:p>
    <w:p>
      <w:pPr>
        <w:spacing w:after="0"/>
        <w:tabs>
          <w:tab w:leader="none" w:pos="5280" w:val="left"/>
        </w:tabs>
        <w:rPr>
          <w:sz w:val="20"/>
          <w:szCs w:val="20"/>
          <w:color w:val="auto"/>
        </w:rPr>
      </w:pPr>
      <w:r>
        <w:rPr>
          <w:rFonts w:ascii="Arial" w:cs="Arial" w:eastAsia="Arial" w:hAnsi="Arial"/>
          <w:sz w:val="18"/>
          <w:szCs w:val="18"/>
          <w:color w:val="auto"/>
        </w:rPr>
        <w:t>MSPark, Inc.</w:t>
      </w:r>
      <w:r>
        <w:rPr>
          <w:sz w:val="20"/>
          <w:szCs w:val="20"/>
          <w:color w:val="auto"/>
        </w:rPr>
        <w:tab/>
      </w:r>
      <w:r>
        <w:rPr>
          <w:rFonts w:ascii="Arial" w:cs="Arial" w:eastAsia="Arial" w:hAnsi="Arial"/>
          <w:sz w:val="17"/>
          <w:szCs w:val="17"/>
          <w:color w:val="auto"/>
        </w:rPr>
        <w:t>PENNANTPARK INVESTMENT CORP</w:t>
      </w:r>
    </w:p>
    <w:p>
      <w:pPr>
        <w:spacing w:after="0" w:line="9" w:lineRule="exact"/>
        <w:rPr>
          <w:sz w:val="20"/>
          <w:szCs w:val="20"/>
          <w:color w:val="auto"/>
        </w:rPr>
      </w:pPr>
    </w:p>
    <w:p>
      <w:pPr>
        <w:spacing w:after="0"/>
        <w:tabs>
          <w:tab w:leader="none" w:pos="5280" w:val="left"/>
        </w:tabs>
        <w:rPr>
          <w:sz w:val="20"/>
          <w:szCs w:val="20"/>
          <w:color w:val="auto"/>
        </w:rPr>
      </w:pPr>
      <w:r>
        <w:rPr>
          <w:rFonts w:ascii="Arial" w:cs="Arial" w:eastAsia="Arial" w:hAnsi="Arial"/>
          <w:sz w:val="18"/>
          <w:szCs w:val="18"/>
          <w:color w:val="auto"/>
        </w:rPr>
        <w:t>New Gulf Resources, LLC</w:t>
      </w:r>
      <w:r>
        <w:rPr>
          <w:sz w:val="20"/>
          <w:szCs w:val="20"/>
          <w:color w:val="auto"/>
        </w:rPr>
        <w:tab/>
      </w:r>
      <w:r>
        <w:rPr>
          <w:rFonts w:ascii="Arial" w:cs="Arial" w:eastAsia="Arial" w:hAnsi="Arial"/>
          <w:sz w:val="17"/>
          <w:szCs w:val="17"/>
          <w:color w:val="auto"/>
        </w:rPr>
        <w:t>PENNANTPARK INVESTMENT CORP</w:t>
      </w:r>
    </w:p>
    <w:p>
      <w:pPr>
        <w:spacing w:after="0" w:line="9" w:lineRule="exact"/>
        <w:rPr>
          <w:sz w:val="20"/>
          <w:szCs w:val="20"/>
          <w:color w:val="auto"/>
        </w:rPr>
      </w:pPr>
    </w:p>
    <w:p>
      <w:pPr>
        <w:spacing w:after="0"/>
        <w:tabs>
          <w:tab w:leader="none" w:pos="5280" w:val="left"/>
        </w:tabs>
        <w:rPr>
          <w:sz w:val="20"/>
          <w:szCs w:val="20"/>
          <w:color w:val="auto"/>
        </w:rPr>
      </w:pPr>
      <w:r>
        <w:rPr>
          <w:rFonts w:ascii="Arial" w:cs="Arial" w:eastAsia="Arial" w:hAnsi="Arial"/>
          <w:sz w:val="18"/>
          <w:szCs w:val="18"/>
          <w:color w:val="auto"/>
        </w:rPr>
        <w:t>Power Products Holdings, LLC</w:t>
      </w:r>
      <w:r>
        <w:rPr>
          <w:sz w:val="20"/>
          <w:szCs w:val="20"/>
          <w:color w:val="auto"/>
        </w:rPr>
        <w:tab/>
      </w:r>
      <w:r>
        <w:rPr>
          <w:rFonts w:ascii="Arial" w:cs="Arial" w:eastAsia="Arial" w:hAnsi="Arial"/>
          <w:sz w:val="17"/>
          <w:szCs w:val="17"/>
          <w:color w:val="auto"/>
        </w:rPr>
        <w:t>PENNANTPARK INVESTMENT CORP</w:t>
      </w:r>
    </w:p>
    <w:p>
      <w:pPr>
        <w:spacing w:after="0" w:line="9" w:lineRule="exact"/>
        <w:rPr>
          <w:sz w:val="20"/>
          <w:szCs w:val="20"/>
          <w:color w:val="auto"/>
        </w:rPr>
      </w:pPr>
    </w:p>
    <w:p>
      <w:pPr>
        <w:spacing w:after="0"/>
        <w:tabs>
          <w:tab w:leader="none" w:pos="5280" w:val="left"/>
        </w:tabs>
        <w:rPr>
          <w:sz w:val="20"/>
          <w:szCs w:val="20"/>
          <w:color w:val="auto"/>
        </w:rPr>
      </w:pPr>
      <w:r>
        <w:rPr>
          <w:rFonts w:ascii="Arial" w:cs="Arial" w:eastAsia="Arial" w:hAnsi="Arial"/>
          <w:sz w:val="18"/>
          <w:szCs w:val="18"/>
          <w:color w:val="auto"/>
        </w:rPr>
        <w:t>Randall-Reilly Publishing Company, LLC</w:t>
      </w:r>
      <w:r>
        <w:rPr>
          <w:sz w:val="20"/>
          <w:szCs w:val="20"/>
          <w:color w:val="auto"/>
        </w:rPr>
        <w:tab/>
      </w:r>
      <w:r>
        <w:rPr>
          <w:rFonts w:ascii="Arial" w:cs="Arial" w:eastAsia="Arial" w:hAnsi="Arial"/>
          <w:sz w:val="17"/>
          <w:szCs w:val="17"/>
          <w:color w:val="auto"/>
        </w:rPr>
        <w:t>PENNANTPARK INVESTMENT CORP</w:t>
      </w:r>
    </w:p>
    <w:p>
      <w:pPr>
        <w:spacing w:after="0" w:line="9" w:lineRule="exact"/>
        <w:rPr>
          <w:sz w:val="20"/>
          <w:szCs w:val="20"/>
          <w:color w:val="auto"/>
        </w:rPr>
      </w:pPr>
    </w:p>
    <w:p>
      <w:pPr>
        <w:spacing w:after="0"/>
        <w:tabs>
          <w:tab w:leader="none" w:pos="5280" w:val="left"/>
        </w:tabs>
        <w:rPr>
          <w:sz w:val="20"/>
          <w:szCs w:val="20"/>
          <w:color w:val="auto"/>
        </w:rPr>
      </w:pPr>
      <w:r>
        <w:rPr>
          <w:rFonts w:ascii="Arial" w:cs="Arial" w:eastAsia="Arial" w:hAnsi="Arial"/>
          <w:sz w:val="18"/>
          <w:szCs w:val="18"/>
          <w:color w:val="auto"/>
        </w:rPr>
        <w:t>Service Champ, Inc.</w:t>
      </w:r>
      <w:r>
        <w:rPr>
          <w:sz w:val="20"/>
          <w:szCs w:val="20"/>
          <w:color w:val="auto"/>
        </w:rPr>
        <w:tab/>
      </w:r>
      <w:r>
        <w:rPr>
          <w:rFonts w:ascii="Arial" w:cs="Arial" w:eastAsia="Arial" w:hAnsi="Arial"/>
          <w:sz w:val="17"/>
          <w:szCs w:val="17"/>
          <w:color w:val="auto"/>
        </w:rPr>
        <w:t>PENNANTPARK INVESTMENT CORP</w:t>
      </w:r>
    </w:p>
    <w:p>
      <w:pPr>
        <w:spacing w:after="0" w:line="9" w:lineRule="exact"/>
        <w:rPr>
          <w:sz w:val="20"/>
          <w:szCs w:val="20"/>
          <w:color w:val="auto"/>
        </w:rPr>
      </w:pPr>
    </w:p>
    <w:p>
      <w:pPr>
        <w:spacing w:after="0"/>
        <w:tabs>
          <w:tab w:leader="none" w:pos="5280" w:val="left"/>
        </w:tabs>
        <w:rPr>
          <w:sz w:val="20"/>
          <w:szCs w:val="20"/>
          <w:color w:val="auto"/>
        </w:rPr>
      </w:pPr>
      <w:r>
        <w:rPr>
          <w:rFonts w:ascii="Arial" w:cs="Arial" w:eastAsia="Arial" w:hAnsi="Arial"/>
          <w:sz w:val="18"/>
          <w:szCs w:val="18"/>
          <w:color w:val="auto"/>
        </w:rPr>
        <w:t>SuttonPark Holdings, Inc</w:t>
      </w:r>
      <w:r>
        <w:rPr>
          <w:sz w:val="20"/>
          <w:szCs w:val="20"/>
          <w:color w:val="auto"/>
        </w:rPr>
        <w:tab/>
      </w:r>
      <w:r>
        <w:rPr>
          <w:rFonts w:ascii="Arial" w:cs="Arial" w:eastAsia="Arial" w:hAnsi="Arial"/>
          <w:sz w:val="17"/>
          <w:szCs w:val="17"/>
          <w:color w:val="auto"/>
        </w:rPr>
        <w:t>PENNANTPARK INVESTMENT CORP</w:t>
      </w:r>
    </w:p>
    <w:p>
      <w:pPr>
        <w:spacing w:after="0" w:line="9" w:lineRule="exact"/>
        <w:rPr>
          <w:sz w:val="20"/>
          <w:szCs w:val="20"/>
          <w:color w:val="auto"/>
        </w:rPr>
      </w:pPr>
    </w:p>
    <w:p>
      <w:pPr>
        <w:spacing w:after="0"/>
        <w:tabs>
          <w:tab w:leader="none" w:pos="5280" w:val="left"/>
        </w:tabs>
        <w:rPr>
          <w:sz w:val="20"/>
          <w:szCs w:val="20"/>
          <w:color w:val="auto"/>
        </w:rPr>
      </w:pPr>
      <w:r>
        <w:rPr>
          <w:rFonts w:ascii="Arial" w:cs="Arial" w:eastAsia="Arial" w:hAnsi="Arial"/>
          <w:sz w:val="18"/>
          <w:szCs w:val="18"/>
          <w:color w:val="auto"/>
        </w:rPr>
        <w:t>Vestcom International, Inc.</w:t>
      </w:r>
      <w:r>
        <w:rPr>
          <w:sz w:val="20"/>
          <w:szCs w:val="20"/>
          <w:color w:val="auto"/>
        </w:rPr>
        <w:tab/>
      </w:r>
      <w:r>
        <w:rPr>
          <w:rFonts w:ascii="Arial" w:cs="Arial" w:eastAsia="Arial" w:hAnsi="Arial"/>
          <w:sz w:val="17"/>
          <w:szCs w:val="17"/>
          <w:color w:val="auto"/>
        </w:rPr>
        <w:t>PENNANTPARK INVESTMENT CORP</w:t>
      </w:r>
    </w:p>
    <w:p>
      <w:pPr>
        <w:spacing w:after="0" w:line="9" w:lineRule="exact"/>
        <w:rPr>
          <w:sz w:val="20"/>
          <w:szCs w:val="20"/>
          <w:color w:val="auto"/>
        </w:rPr>
      </w:pPr>
    </w:p>
    <w:p>
      <w:pPr>
        <w:spacing w:after="0"/>
        <w:tabs>
          <w:tab w:leader="none" w:pos="5280" w:val="left"/>
        </w:tabs>
        <w:rPr>
          <w:sz w:val="20"/>
          <w:szCs w:val="20"/>
          <w:color w:val="auto"/>
        </w:rPr>
      </w:pPr>
      <w:r>
        <w:rPr>
          <w:rFonts w:ascii="Arial" w:cs="Arial" w:eastAsia="Arial" w:hAnsi="Arial"/>
          <w:sz w:val="18"/>
          <w:szCs w:val="18"/>
          <w:color w:val="auto"/>
        </w:rPr>
        <w:t>AH Holdings, Inc.</w:t>
      </w:r>
      <w:r>
        <w:rPr>
          <w:sz w:val="20"/>
          <w:szCs w:val="20"/>
          <w:color w:val="auto"/>
        </w:rPr>
        <w:tab/>
      </w:r>
      <w:r>
        <w:rPr>
          <w:rFonts w:ascii="Arial" w:cs="Arial" w:eastAsia="Arial" w:hAnsi="Arial"/>
          <w:sz w:val="17"/>
          <w:szCs w:val="17"/>
          <w:color w:val="auto"/>
        </w:rPr>
        <w:t>PENNANTPARK INVESTMENT CORP</w:t>
      </w:r>
    </w:p>
    <w:p>
      <w:pPr>
        <w:spacing w:after="0" w:line="211" w:lineRule="exact"/>
        <w:rPr>
          <w:sz w:val="20"/>
          <w:szCs w:val="20"/>
          <w:color w:val="auto"/>
        </w:rPr>
      </w:pPr>
    </w:p>
    <w:p>
      <w:pPr>
        <w:spacing w:after="0"/>
        <w:tabs>
          <w:tab w:leader="none" w:pos="5280" w:val="left"/>
        </w:tabs>
        <w:rPr>
          <w:sz w:val="20"/>
          <w:szCs w:val="20"/>
          <w:color w:val="auto"/>
        </w:rPr>
      </w:pPr>
      <w:r>
        <w:rPr>
          <w:rFonts w:ascii="Arial" w:cs="Arial" w:eastAsia="Arial" w:hAnsi="Arial"/>
          <w:sz w:val="18"/>
          <w:szCs w:val="18"/>
          <w:color w:val="auto"/>
        </w:rPr>
        <w:t>AHC Mezzanine LLC</w:t>
      </w:r>
      <w:r>
        <w:rPr>
          <w:sz w:val="20"/>
          <w:szCs w:val="20"/>
          <w:color w:val="auto"/>
        </w:rPr>
        <w:tab/>
      </w:r>
      <w:r>
        <w:rPr>
          <w:rFonts w:ascii="Arial" w:cs="Arial" w:eastAsia="Arial" w:hAnsi="Arial"/>
          <w:sz w:val="17"/>
          <w:szCs w:val="17"/>
          <w:color w:val="auto"/>
        </w:rPr>
        <w:t>PENNANTPARK INVESTMENT CORP</w:t>
      </w:r>
    </w:p>
    <w:p>
      <w:pPr>
        <w:spacing w:after="0" w:line="37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br w:type="column"/>
      </w:r>
    </w:p>
    <w:p>
      <w:pPr>
        <w:spacing w:after="0" w:line="285" w:lineRule="auto"/>
        <w:rPr>
          <w:sz w:val="20"/>
          <w:szCs w:val="20"/>
          <w:color w:val="auto"/>
        </w:rPr>
      </w:pPr>
      <w:r>
        <w:rPr>
          <w:rFonts w:ascii="Arial" w:cs="Arial" w:eastAsia="Arial" w:hAnsi="Arial"/>
          <w:sz w:val="16"/>
          <w:szCs w:val="16"/>
          <w:color w:val="auto"/>
        </w:rPr>
        <w:t>Second Lien Second Lien Second Lien Subordinate Debt Subordinate Debt Subordinate Debt Subordinate Debt Subordinate Debt Subordinate Debt Subordinate Debt Subordinate Debt Subordinate Debt Subordinate Debt Subordinate Debt Subordinate Debt Equity/ Preferred Cumulative Equity/ Preferred Cumulative</w:t>
      </w:r>
    </w:p>
    <w:p>
      <w:pPr>
        <w:sectPr>
          <w:pgSz w:w="11900" w:h="16838" w:orient="portrait"/>
          <w:cols w:equalWidth="0" w:num="2">
            <w:col w:w="8500" w:space="720"/>
            <w:col w:w="1280"/>
          </w:cols>
          <w:pgMar w:left="320" w:top="274" w:right="1079" w:bottom="1440" w:gutter="0" w:footer="0" w:header="0"/>
        </w:sectPr>
      </w:pPr>
    </w:p>
    <w:bookmarkStart w:id="159" w:name="page160"/>
    <w:bookmarkEnd w:id="159"/>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Alegeus Technologies Holdings Corp.</w:t>
            </w:r>
          </w:p>
        </w:tc>
        <w:tc>
          <w:tcPr>
            <w:tcW w:w="4500" w:type="dxa"/>
            <w:vAlign w:val="bottom"/>
          </w:tcPr>
          <w:p>
            <w:pPr>
              <w:ind w:left="1020"/>
              <w:spacing w:after="0"/>
              <w:rPr>
                <w:sz w:val="20"/>
                <w:szCs w:val="20"/>
                <w:color w:val="auto"/>
              </w:rPr>
            </w:pPr>
            <w:r>
              <w:rPr>
                <w:rFonts w:ascii="Arial" w:cs="Arial" w:eastAsia="Arial" w:hAnsi="Arial"/>
                <w:sz w:val="18"/>
                <w:szCs w:val="18"/>
                <w:color w:val="auto"/>
              </w:rPr>
              <w:t>PENNANTPARK INVESTMENT CORP</w:t>
            </w:r>
          </w:p>
        </w:tc>
        <w:tc>
          <w:tcPr>
            <w:tcW w:w="1700" w:type="dxa"/>
            <w:vAlign w:val="bottom"/>
          </w:tcPr>
          <w:p>
            <w:pPr>
              <w:ind w:left="440"/>
              <w:spacing w:after="0"/>
              <w:rPr>
                <w:sz w:val="20"/>
                <w:szCs w:val="20"/>
                <w:color w:val="auto"/>
              </w:rPr>
            </w:pPr>
            <w:r>
              <w:rPr>
                <w:rFonts w:ascii="Arial" w:cs="Arial" w:eastAsia="Arial" w:hAnsi="Arial"/>
                <w:sz w:val="18"/>
                <w:szCs w:val="18"/>
                <w:color w:val="auto"/>
                <w:w w:val="91"/>
              </w:rPr>
              <w:t>Equity/ Preferred</w:t>
            </w:r>
          </w:p>
        </w:tc>
      </w:tr>
      <w:tr>
        <w:trPr>
          <w:trHeight w:val="216"/>
        </w:trPr>
        <w:tc>
          <w:tcPr>
            <w:tcW w:w="42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700" w:type="dxa"/>
            <w:vAlign w:val="bottom"/>
          </w:tcPr>
          <w:p>
            <w:pPr>
              <w:ind w:left="440"/>
              <w:spacing w:after="0"/>
              <w:rPr>
                <w:sz w:val="20"/>
                <w:szCs w:val="20"/>
                <w:color w:val="auto"/>
              </w:rPr>
            </w:pPr>
            <w:r>
              <w:rPr>
                <w:rFonts w:ascii="Arial" w:cs="Arial" w:eastAsia="Arial" w:hAnsi="Arial"/>
                <w:sz w:val="18"/>
                <w:szCs w:val="18"/>
                <w:color w:val="auto"/>
              </w:rPr>
              <w:t>Cumulative</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Convergint Technologies Holdings, LLC</w:t>
            </w:r>
          </w:p>
        </w:tc>
        <w:tc>
          <w:tcPr>
            <w:tcW w:w="4500" w:type="dxa"/>
            <w:vAlign w:val="bottom"/>
          </w:tcPr>
          <w:p>
            <w:pPr>
              <w:ind w:left="1020"/>
              <w:spacing w:after="0"/>
              <w:rPr>
                <w:sz w:val="20"/>
                <w:szCs w:val="20"/>
                <w:color w:val="auto"/>
              </w:rPr>
            </w:pPr>
            <w:r>
              <w:rPr>
                <w:rFonts w:ascii="Arial" w:cs="Arial" w:eastAsia="Arial" w:hAnsi="Arial"/>
                <w:sz w:val="18"/>
                <w:szCs w:val="18"/>
                <w:color w:val="auto"/>
              </w:rPr>
              <w:t>PENNANTPARK INVESTMENT CORP</w:t>
            </w:r>
          </w:p>
        </w:tc>
        <w:tc>
          <w:tcPr>
            <w:tcW w:w="1700" w:type="dxa"/>
            <w:vAlign w:val="bottom"/>
          </w:tcPr>
          <w:p>
            <w:pPr>
              <w:ind w:left="440"/>
              <w:spacing w:after="0"/>
              <w:rPr>
                <w:sz w:val="20"/>
                <w:szCs w:val="20"/>
                <w:color w:val="auto"/>
              </w:rPr>
            </w:pPr>
            <w:r>
              <w:rPr>
                <w:rFonts w:ascii="Arial" w:cs="Arial" w:eastAsia="Arial" w:hAnsi="Arial"/>
                <w:sz w:val="18"/>
                <w:szCs w:val="18"/>
                <w:color w:val="auto"/>
                <w:w w:val="91"/>
              </w:rPr>
              <w:t>Equity/ Preferred</w:t>
            </w:r>
          </w:p>
        </w:tc>
      </w:tr>
      <w:tr>
        <w:trPr>
          <w:trHeight w:val="216"/>
        </w:trPr>
        <w:tc>
          <w:tcPr>
            <w:tcW w:w="42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700" w:type="dxa"/>
            <w:vAlign w:val="bottom"/>
          </w:tcPr>
          <w:p>
            <w:pPr>
              <w:ind w:left="440"/>
              <w:spacing w:after="0"/>
              <w:rPr>
                <w:sz w:val="20"/>
                <w:szCs w:val="20"/>
                <w:color w:val="auto"/>
              </w:rPr>
            </w:pPr>
            <w:r>
              <w:rPr>
                <w:rFonts w:ascii="Arial" w:cs="Arial" w:eastAsia="Arial" w:hAnsi="Arial"/>
                <w:sz w:val="18"/>
                <w:szCs w:val="18"/>
                <w:color w:val="auto"/>
              </w:rPr>
              <w:t>Cumulative</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Hanley-Wood Holdings, LLC</w:t>
            </w:r>
          </w:p>
        </w:tc>
        <w:tc>
          <w:tcPr>
            <w:tcW w:w="4500" w:type="dxa"/>
            <w:vAlign w:val="bottom"/>
          </w:tcPr>
          <w:p>
            <w:pPr>
              <w:ind w:left="1020"/>
              <w:spacing w:after="0"/>
              <w:rPr>
                <w:sz w:val="20"/>
                <w:szCs w:val="20"/>
                <w:color w:val="auto"/>
              </w:rPr>
            </w:pPr>
            <w:r>
              <w:rPr>
                <w:rFonts w:ascii="Arial" w:cs="Arial" w:eastAsia="Arial" w:hAnsi="Arial"/>
                <w:sz w:val="18"/>
                <w:szCs w:val="18"/>
                <w:color w:val="auto"/>
              </w:rPr>
              <w:t>PENNANTPARK INVESTMENT CORP</w:t>
            </w:r>
          </w:p>
        </w:tc>
        <w:tc>
          <w:tcPr>
            <w:tcW w:w="1700" w:type="dxa"/>
            <w:vAlign w:val="bottom"/>
          </w:tcPr>
          <w:p>
            <w:pPr>
              <w:ind w:left="440"/>
              <w:spacing w:after="0"/>
              <w:rPr>
                <w:sz w:val="20"/>
                <w:szCs w:val="20"/>
                <w:color w:val="auto"/>
              </w:rPr>
            </w:pPr>
            <w:r>
              <w:rPr>
                <w:rFonts w:ascii="Arial" w:cs="Arial" w:eastAsia="Arial" w:hAnsi="Arial"/>
                <w:sz w:val="18"/>
                <w:szCs w:val="18"/>
                <w:color w:val="auto"/>
                <w:w w:val="91"/>
              </w:rPr>
              <w:t>Equity/ Preferred</w:t>
            </w:r>
          </w:p>
        </w:tc>
      </w:tr>
      <w:tr>
        <w:trPr>
          <w:trHeight w:val="216"/>
        </w:trPr>
        <w:tc>
          <w:tcPr>
            <w:tcW w:w="42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700" w:type="dxa"/>
            <w:vAlign w:val="bottom"/>
          </w:tcPr>
          <w:p>
            <w:pPr>
              <w:ind w:left="440"/>
              <w:spacing w:after="0"/>
              <w:rPr>
                <w:sz w:val="20"/>
                <w:szCs w:val="20"/>
                <w:color w:val="auto"/>
              </w:rPr>
            </w:pPr>
            <w:r>
              <w:rPr>
                <w:rFonts w:ascii="Arial" w:cs="Arial" w:eastAsia="Arial" w:hAnsi="Arial"/>
                <w:sz w:val="18"/>
                <w:szCs w:val="18"/>
                <w:color w:val="auto"/>
              </w:rPr>
              <w:t>Cumulative</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J.A. Cosmetics U.S., Inc.</w:t>
            </w:r>
          </w:p>
        </w:tc>
        <w:tc>
          <w:tcPr>
            <w:tcW w:w="4500" w:type="dxa"/>
            <w:vAlign w:val="bottom"/>
          </w:tcPr>
          <w:p>
            <w:pPr>
              <w:ind w:left="1020"/>
              <w:spacing w:after="0"/>
              <w:rPr>
                <w:sz w:val="20"/>
                <w:szCs w:val="20"/>
                <w:color w:val="auto"/>
              </w:rPr>
            </w:pPr>
            <w:r>
              <w:rPr>
                <w:rFonts w:ascii="Arial" w:cs="Arial" w:eastAsia="Arial" w:hAnsi="Arial"/>
                <w:sz w:val="18"/>
                <w:szCs w:val="18"/>
                <w:color w:val="auto"/>
              </w:rPr>
              <w:t>PENNANTPARK INVESTMENT CORP</w:t>
            </w:r>
          </w:p>
        </w:tc>
        <w:tc>
          <w:tcPr>
            <w:tcW w:w="1700" w:type="dxa"/>
            <w:vAlign w:val="bottom"/>
          </w:tcPr>
          <w:p>
            <w:pPr>
              <w:ind w:left="440"/>
              <w:spacing w:after="0"/>
              <w:rPr>
                <w:sz w:val="20"/>
                <w:szCs w:val="20"/>
                <w:color w:val="auto"/>
              </w:rPr>
            </w:pPr>
            <w:r>
              <w:rPr>
                <w:rFonts w:ascii="Arial" w:cs="Arial" w:eastAsia="Arial" w:hAnsi="Arial"/>
                <w:sz w:val="18"/>
                <w:szCs w:val="18"/>
                <w:color w:val="auto"/>
                <w:w w:val="91"/>
              </w:rPr>
              <w:t>Equity/ Preferred</w:t>
            </w:r>
          </w:p>
        </w:tc>
      </w:tr>
      <w:tr>
        <w:trPr>
          <w:trHeight w:val="216"/>
        </w:trPr>
        <w:tc>
          <w:tcPr>
            <w:tcW w:w="42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700" w:type="dxa"/>
            <w:vAlign w:val="bottom"/>
          </w:tcPr>
          <w:p>
            <w:pPr>
              <w:ind w:left="440"/>
              <w:spacing w:after="0"/>
              <w:rPr>
                <w:sz w:val="20"/>
                <w:szCs w:val="20"/>
                <w:color w:val="auto"/>
              </w:rPr>
            </w:pPr>
            <w:r>
              <w:rPr>
                <w:rFonts w:ascii="Arial" w:cs="Arial" w:eastAsia="Arial" w:hAnsi="Arial"/>
                <w:sz w:val="18"/>
                <w:szCs w:val="18"/>
                <w:color w:val="auto"/>
              </w:rPr>
              <w:t>Cumulative</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PAS International Holdings, Inc.</w:t>
            </w:r>
          </w:p>
        </w:tc>
        <w:tc>
          <w:tcPr>
            <w:tcW w:w="4500" w:type="dxa"/>
            <w:vAlign w:val="bottom"/>
          </w:tcPr>
          <w:p>
            <w:pPr>
              <w:ind w:left="1020"/>
              <w:spacing w:after="0"/>
              <w:rPr>
                <w:sz w:val="20"/>
                <w:szCs w:val="20"/>
                <w:color w:val="auto"/>
              </w:rPr>
            </w:pPr>
            <w:r>
              <w:rPr>
                <w:rFonts w:ascii="Arial" w:cs="Arial" w:eastAsia="Arial" w:hAnsi="Arial"/>
                <w:sz w:val="18"/>
                <w:szCs w:val="18"/>
                <w:color w:val="auto"/>
              </w:rPr>
              <w:t>PENNANTPARK INVESTMENT CORP</w:t>
            </w:r>
          </w:p>
        </w:tc>
        <w:tc>
          <w:tcPr>
            <w:tcW w:w="1700" w:type="dxa"/>
            <w:vAlign w:val="bottom"/>
          </w:tcPr>
          <w:p>
            <w:pPr>
              <w:ind w:left="440"/>
              <w:spacing w:after="0"/>
              <w:rPr>
                <w:sz w:val="20"/>
                <w:szCs w:val="20"/>
                <w:color w:val="auto"/>
              </w:rPr>
            </w:pPr>
            <w:r>
              <w:rPr>
                <w:rFonts w:ascii="Arial" w:cs="Arial" w:eastAsia="Arial" w:hAnsi="Arial"/>
                <w:sz w:val="18"/>
                <w:szCs w:val="18"/>
                <w:color w:val="auto"/>
                <w:w w:val="91"/>
              </w:rPr>
              <w:t>Equity/ Preferred</w:t>
            </w:r>
          </w:p>
        </w:tc>
      </w:tr>
      <w:tr>
        <w:trPr>
          <w:trHeight w:val="216"/>
        </w:trPr>
        <w:tc>
          <w:tcPr>
            <w:tcW w:w="42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700" w:type="dxa"/>
            <w:vAlign w:val="bottom"/>
          </w:tcPr>
          <w:p>
            <w:pPr>
              <w:ind w:left="440"/>
              <w:spacing w:after="0"/>
              <w:rPr>
                <w:sz w:val="20"/>
                <w:szCs w:val="20"/>
                <w:color w:val="auto"/>
              </w:rPr>
            </w:pPr>
            <w:r>
              <w:rPr>
                <w:rFonts w:ascii="Arial" w:cs="Arial" w:eastAsia="Arial" w:hAnsi="Arial"/>
                <w:sz w:val="18"/>
                <w:szCs w:val="18"/>
                <w:color w:val="auto"/>
              </w:rPr>
              <w:t>Cumulative</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SuttonPark Holdings, Inc.</w:t>
            </w:r>
          </w:p>
        </w:tc>
        <w:tc>
          <w:tcPr>
            <w:tcW w:w="4500" w:type="dxa"/>
            <w:vAlign w:val="bottom"/>
          </w:tcPr>
          <w:p>
            <w:pPr>
              <w:ind w:left="1020"/>
              <w:spacing w:after="0"/>
              <w:rPr>
                <w:sz w:val="20"/>
                <w:szCs w:val="20"/>
                <w:color w:val="auto"/>
              </w:rPr>
            </w:pPr>
            <w:r>
              <w:rPr>
                <w:rFonts w:ascii="Arial" w:cs="Arial" w:eastAsia="Arial" w:hAnsi="Arial"/>
                <w:sz w:val="18"/>
                <w:szCs w:val="18"/>
                <w:color w:val="auto"/>
              </w:rPr>
              <w:t>PENNANTPARK INVESTMENT CORP</w:t>
            </w:r>
          </w:p>
        </w:tc>
        <w:tc>
          <w:tcPr>
            <w:tcW w:w="1700" w:type="dxa"/>
            <w:vAlign w:val="bottom"/>
          </w:tcPr>
          <w:p>
            <w:pPr>
              <w:ind w:left="440"/>
              <w:spacing w:after="0"/>
              <w:rPr>
                <w:sz w:val="20"/>
                <w:szCs w:val="20"/>
                <w:color w:val="auto"/>
              </w:rPr>
            </w:pPr>
            <w:r>
              <w:rPr>
                <w:rFonts w:ascii="Arial" w:cs="Arial" w:eastAsia="Arial" w:hAnsi="Arial"/>
                <w:sz w:val="18"/>
                <w:szCs w:val="18"/>
                <w:color w:val="auto"/>
                <w:w w:val="91"/>
              </w:rPr>
              <w:t>Equity/ Preferred</w:t>
            </w:r>
          </w:p>
        </w:tc>
      </w:tr>
      <w:tr>
        <w:trPr>
          <w:trHeight w:val="216"/>
        </w:trPr>
        <w:tc>
          <w:tcPr>
            <w:tcW w:w="42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700" w:type="dxa"/>
            <w:vAlign w:val="bottom"/>
          </w:tcPr>
          <w:p>
            <w:pPr>
              <w:ind w:left="440"/>
              <w:spacing w:after="0"/>
              <w:rPr>
                <w:sz w:val="20"/>
                <w:szCs w:val="20"/>
                <w:color w:val="auto"/>
              </w:rPr>
            </w:pPr>
            <w:r>
              <w:rPr>
                <w:rFonts w:ascii="Arial" w:cs="Arial" w:eastAsia="Arial" w:hAnsi="Arial"/>
                <w:sz w:val="18"/>
                <w:szCs w:val="18"/>
                <w:color w:val="auto"/>
              </w:rPr>
              <w:t>Cumulative</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Ride Holdings, Inc.</w:t>
            </w:r>
          </w:p>
        </w:tc>
        <w:tc>
          <w:tcPr>
            <w:tcW w:w="4500" w:type="dxa"/>
            <w:vAlign w:val="bottom"/>
          </w:tcPr>
          <w:p>
            <w:pPr>
              <w:ind w:left="1020"/>
              <w:spacing w:after="0"/>
              <w:rPr>
                <w:sz w:val="20"/>
                <w:szCs w:val="20"/>
                <w:color w:val="auto"/>
              </w:rPr>
            </w:pPr>
            <w:r>
              <w:rPr>
                <w:rFonts w:ascii="Arial" w:cs="Arial" w:eastAsia="Arial" w:hAnsi="Arial"/>
                <w:sz w:val="18"/>
                <w:szCs w:val="18"/>
                <w:color w:val="auto"/>
              </w:rPr>
              <w:t>PENNANTPARK INVESTMENT CORP</w:t>
            </w:r>
          </w:p>
        </w:tc>
        <w:tc>
          <w:tcPr>
            <w:tcW w:w="1700" w:type="dxa"/>
            <w:vAlign w:val="bottom"/>
          </w:tcPr>
          <w:p>
            <w:pPr>
              <w:ind w:left="440"/>
              <w:spacing w:after="0"/>
              <w:rPr>
                <w:sz w:val="20"/>
                <w:szCs w:val="20"/>
                <w:color w:val="auto"/>
              </w:rPr>
            </w:pPr>
            <w:r>
              <w:rPr>
                <w:rFonts w:ascii="Arial" w:cs="Arial" w:eastAsia="Arial" w:hAnsi="Arial"/>
                <w:sz w:val="18"/>
                <w:szCs w:val="18"/>
                <w:color w:val="auto"/>
                <w:w w:val="91"/>
              </w:rPr>
              <w:t>Equity/ Preferred</w:t>
            </w:r>
          </w:p>
        </w:tc>
      </w:tr>
      <w:tr>
        <w:trPr>
          <w:trHeight w:val="216"/>
        </w:trPr>
        <w:tc>
          <w:tcPr>
            <w:tcW w:w="42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700" w:type="dxa"/>
            <w:vAlign w:val="bottom"/>
          </w:tcPr>
          <w:p>
            <w:pPr>
              <w:ind w:left="440"/>
              <w:spacing w:after="0"/>
              <w:rPr>
                <w:sz w:val="20"/>
                <w:szCs w:val="20"/>
                <w:color w:val="auto"/>
              </w:rPr>
            </w:pPr>
            <w:r>
              <w:rPr>
                <w:rFonts w:ascii="Arial" w:cs="Arial" w:eastAsia="Arial" w:hAnsi="Arial"/>
                <w:sz w:val="18"/>
                <w:szCs w:val="18"/>
                <w:color w:val="auto"/>
              </w:rPr>
              <w:t>Cumulative</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Acentia, LLC</w:t>
            </w:r>
          </w:p>
        </w:tc>
        <w:tc>
          <w:tcPr>
            <w:tcW w:w="4500" w:type="dxa"/>
            <w:vAlign w:val="bottom"/>
          </w:tcPr>
          <w:p>
            <w:pPr>
              <w:ind w:left="1020"/>
              <w:spacing w:after="0"/>
              <w:rPr>
                <w:sz w:val="20"/>
                <w:szCs w:val="20"/>
                <w:color w:val="auto"/>
              </w:rPr>
            </w:pPr>
            <w:r>
              <w:rPr>
                <w:rFonts w:ascii="Arial" w:cs="Arial" w:eastAsia="Arial" w:hAnsi="Arial"/>
                <w:sz w:val="18"/>
                <w:szCs w:val="18"/>
                <w:color w:val="auto"/>
              </w:rPr>
              <w:t>PENNANTPARK INVESTMENT CORP</w:t>
            </w:r>
          </w:p>
        </w:tc>
        <w:tc>
          <w:tcPr>
            <w:tcW w:w="1700" w:type="dxa"/>
            <w:vAlign w:val="bottom"/>
          </w:tcPr>
          <w:p>
            <w:pPr>
              <w:ind w:left="440"/>
              <w:spacing w:after="0"/>
              <w:rPr>
                <w:sz w:val="20"/>
                <w:szCs w:val="20"/>
                <w:color w:val="auto"/>
              </w:rPr>
            </w:pPr>
            <w:r>
              <w:rPr>
                <w:rFonts w:ascii="Arial" w:cs="Arial" w:eastAsia="Arial" w:hAnsi="Arial"/>
                <w:sz w:val="18"/>
                <w:szCs w:val="18"/>
                <w:color w:val="auto"/>
                <w:w w:val="96"/>
              </w:rPr>
              <w:t>Equity/Common</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Alegeus Technologies Holdings Corp.</w:t>
            </w:r>
          </w:p>
        </w:tc>
        <w:tc>
          <w:tcPr>
            <w:tcW w:w="4500" w:type="dxa"/>
            <w:vAlign w:val="bottom"/>
          </w:tcPr>
          <w:p>
            <w:pPr>
              <w:ind w:left="1020"/>
              <w:spacing w:after="0"/>
              <w:rPr>
                <w:sz w:val="20"/>
                <w:szCs w:val="20"/>
                <w:color w:val="auto"/>
              </w:rPr>
            </w:pPr>
            <w:r>
              <w:rPr>
                <w:rFonts w:ascii="Arial" w:cs="Arial" w:eastAsia="Arial" w:hAnsi="Arial"/>
                <w:sz w:val="18"/>
                <w:szCs w:val="18"/>
                <w:color w:val="auto"/>
              </w:rPr>
              <w:t>PENNANTPARK INVESTMENT CORP</w:t>
            </w:r>
          </w:p>
        </w:tc>
        <w:tc>
          <w:tcPr>
            <w:tcW w:w="1700" w:type="dxa"/>
            <w:vAlign w:val="bottom"/>
          </w:tcPr>
          <w:p>
            <w:pPr>
              <w:ind w:left="440"/>
              <w:spacing w:after="0"/>
              <w:rPr>
                <w:sz w:val="20"/>
                <w:szCs w:val="20"/>
                <w:color w:val="auto"/>
              </w:rPr>
            </w:pPr>
            <w:r>
              <w:rPr>
                <w:rFonts w:ascii="Arial" w:cs="Arial" w:eastAsia="Arial" w:hAnsi="Arial"/>
                <w:sz w:val="18"/>
                <w:szCs w:val="18"/>
                <w:color w:val="auto"/>
                <w:w w:val="96"/>
              </w:rPr>
              <w:t>Equity/Common</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CI (Galls) Prime Investment Holdings, LLC</w:t>
            </w:r>
          </w:p>
        </w:tc>
        <w:tc>
          <w:tcPr>
            <w:tcW w:w="4500" w:type="dxa"/>
            <w:vAlign w:val="bottom"/>
          </w:tcPr>
          <w:p>
            <w:pPr>
              <w:ind w:left="1020"/>
              <w:spacing w:after="0"/>
              <w:rPr>
                <w:sz w:val="20"/>
                <w:szCs w:val="20"/>
                <w:color w:val="auto"/>
              </w:rPr>
            </w:pPr>
            <w:r>
              <w:rPr>
                <w:rFonts w:ascii="Arial" w:cs="Arial" w:eastAsia="Arial" w:hAnsi="Arial"/>
                <w:sz w:val="18"/>
                <w:szCs w:val="18"/>
                <w:color w:val="auto"/>
              </w:rPr>
              <w:t>PENNANTPARK INVESTMENT CORP</w:t>
            </w:r>
          </w:p>
        </w:tc>
        <w:tc>
          <w:tcPr>
            <w:tcW w:w="1700" w:type="dxa"/>
            <w:vAlign w:val="bottom"/>
          </w:tcPr>
          <w:p>
            <w:pPr>
              <w:ind w:left="440"/>
              <w:spacing w:after="0"/>
              <w:rPr>
                <w:sz w:val="20"/>
                <w:szCs w:val="20"/>
                <w:color w:val="auto"/>
              </w:rPr>
            </w:pPr>
            <w:r>
              <w:rPr>
                <w:rFonts w:ascii="Arial" w:cs="Arial" w:eastAsia="Arial" w:hAnsi="Arial"/>
                <w:sz w:val="18"/>
                <w:szCs w:val="18"/>
                <w:color w:val="auto"/>
                <w:w w:val="96"/>
              </w:rPr>
              <w:t>Equity/Common</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Convergint Technologies Holdings, LLC</w:t>
            </w:r>
          </w:p>
        </w:tc>
        <w:tc>
          <w:tcPr>
            <w:tcW w:w="4500" w:type="dxa"/>
            <w:vAlign w:val="bottom"/>
          </w:tcPr>
          <w:p>
            <w:pPr>
              <w:ind w:left="1020"/>
              <w:spacing w:after="0"/>
              <w:rPr>
                <w:sz w:val="20"/>
                <w:szCs w:val="20"/>
                <w:color w:val="auto"/>
              </w:rPr>
            </w:pPr>
            <w:r>
              <w:rPr>
                <w:rFonts w:ascii="Arial" w:cs="Arial" w:eastAsia="Arial" w:hAnsi="Arial"/>
                <w:sz w:val="18"/>
                <w:szCs w:val="18"/>
                <w:color w:val="auto"/>
              </w:rPr>
              <w:t>PENNANTPARK INVESTMENT CORP</w:t>
            </w:r>
          </w:p>
        </w:tc>
        <w:tc>
          <w:tcPr>
            <w:tcW w:w="1700" w:type="dxa"/>
            <w:vAlign w:val="bottom"/>
          </w:tcPr>
          <w:p>
            <w:pPr>
              <w:ind w:left="440"/>
              <w:spacing w:after="0"/>
              <w:rPr>
                <w:sz w:val="20"/>
                <w:szCs w:val="20"/>
                <w:color w:val="auto"/>
              </w:rPr>
            </w:pPr>
            <w:r>
              <w:rPr>
                <w:rFonts w:ascii="Arial" w:cs="Arial" w:eastAsia="Arial" w:hAnsi="Arial"/>
                <w:sz w:val="18"/>
                <w:szCs w:val="18"/>
                <w:color w:val="auto"/>
                <w:w w:val="96"/>
              </w:rPr>
              <w:t>Equity/Common</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CT Technologies Intermediate Holdings, Inc.</w:t>
            </w:r>
          </w:p>
        </w:tc>
        <w:tc>
          <w:tcPr>
            <w:tcW w:w="4500" w:type="dxa"/>
            <w:vAlign w:val="bottom"/>
          </w:tcPr>
          <w:p>
            <w:pPr>
              <w:ind w:left="1020"/>
              <w:spacing w:after="0"/>
              <w:rPr>
                <w:sz w:val="20"/>
                <w:szCs w:val="20"/>
                <w:color w:val="auto"/>
              </w:rPr>
            </w:pPr>
            <w:r>
              <w:rPr>
                <w:rFonts w:ascii="Arial" w:cs="Arial" w:eastAsia="Arial" w:hAnsi="Arial"/>
                <w:sz w:val="18"/>
                <w:szCs w:val="18"/>
                <w:color w:val="auto"/>
              </w:rPr>
              <w:t>PENNANTPARK INVESTMENT CORP</w:t>
            </w:r>
          </w:p>
        </w:tc>
        <w:tc>
          <w:tcPr>
            <w:tcW w:w="1700" w:type="dxa"/>
            <w:vAlign w:val="bottom"/>
          </w:tcPr>
          <w:p>
            <w:pPr>
              <w:ind w:left="440"/>
              <w:spacing w:after="0"/>
              <w:rPr>
                <w:sz w:val="20"/>
                <w:szCs w:val="20"/>
                <w:color w:val="auto"/>
              </w:rPr>
            </w:pPr>
            <w:r>
              <w:rPr>
                <w:rFonts w:ascii="Arial" w:cs="Arial" w:eastAsia="Arial" w:hAnsi="Arial"/>
                <w:sz w:val="18"/>
                <w:szCs w:val="18"/>
                <w:color w:val="auto"/>
                <w:w w:val="96"/>
              </w:rPr>
              <w:t>Equity/Common</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DirectBuy Holdings Inc.</w:t>
            </w:r>
          </w:p>
        </w:tc>
        <w:tc>
          <w:tcPr>
            <w:tcW w:w="4500" w:type="dxa"/>
            <w:vAlign w:val="bottom"/>
          </w:tcPr>
          <w:p>
            <w:pPr>
              <w:ind w:left="1020"/>
              <w:spacing w:after="0"/>
              <w:rPr>
                <w:sz w:val="20"/>
                <w:szCs w:val="20"/>
                <w:color w:val="auto"/>
              </w:rPr>
            </w:pPr>
            <w:r>
              <w:rPr>
                <w:rFonts w:ascii="Arial" w:cs="Arial" w:eastAsia="Arial" w:hAnsi="Arial"/>
                <w:sz w:val="18"/>
                <w:szCs w:val="18"/>
                <w:color w:val="auto"/>
              </w:rPr>
              <w:t>PENNANTPARK INVESTMENT CORP</w:t>
            </w:r>
          </w:p>
        </w:tc>
        <w:tc>
          <w:tcPr>
            <w:tcW w:w="1700" w:type="dxa"/>
            <w:vAlign w:val="bottom"/>
          </w:tcPr>
          <w:p>
            <w:pPr>
              <w:ind w:left="440"/>
              <w:spacing w:after="0"/>
              <w:rPr>
                <w:sz w:val="20"/>
                <w:szCs w:val="20"/>
                <w:color w:val="auto"/>
              </w:rPr>
            </w:pPr>
            <w:r>
              <w:rPr>
                <w:rFonts w:ascii="Arial" w:cs="Arial" w:eastAsia="Arial" w:hAnsi="Arial"/>
                <w:sz w:val="18"/>
                <w:szCs w:val="18"/>
                <w:color w:val="auto"/>
                <w:w w:val="96"/>
              </w:rPr>
              <w:t>Equity/Common</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EnviroSolutions Holdings, Inc.</w:t>
            </w:r>
          </w:p>
        </w:tc>
        <w:tc>
          <w:tcPr>
            <w:tcW w:w="4500" w:type="dxa"/>
            <w:vAlign w:val="bottom"/>
          </w:tcPr>
          <w:p>
            <w:pPr>
              <w:ind w:left="1020"/>
              <w:spacing w:after="0"/>
              <w:rPr>
                <w:sz w:val="20"/>
                <w:szCs w:val="20"/>
                <w:color w:val="auto"/>
              </w:rPr>
            </w:pPr>
            <w:r>
              <w:rPr>
                <w:rFonts w:ascii="Arial" w:cs="Arial" w:eastAsia="Arial" w:hAnsi="Arial"/>
                <w:sz w:val="18"/>
                <w:szCs w:val="18"/>
                <w:color w:val="auto"/>
              </w:rPr>
              <w:t>PENNANTPARK INVESTMENT CORP</w:t>
            </w:r>
          </w:p>
        </w:tc>
        <w:tc>
          <w:tcPr>
            <w:tcW w:w="1700" w:type="dxa"/>
            <w:vAlign w:val="bottom"/>
          </w:tcPr>
          <w:p>
            <w:pPr>
              <w:ind w:left="440"/>
              <w:spacing w:after="0"/>
              <w:rPr>
                <w:sz w:val="20"/>
                <w:szCs w:val="20"/>
                <w:color w:val="auto"/>
              </w:rPr>
            </w:pPr>
            <w:r>
              <w:rPr>
                <w:rFonts w:ascii="Arial" w:cs="Arial" w:eastAsia="Arial" w:hAnsi="Arial"/>
                <w:sz w:val="18"/>
                <w:szCs w:val="18"/>
                <w:color w:val="auto"/>
                <w:w w:val="96"/>
              </w:rPr>
              <w:t>Equity/Common</w:t>
            </w: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Hanley-Wood Holdings, LLC</w:t>
            </w:r>
          </w:p>
        </w:tc>
        <w:tc>
          <w:tcPr>
            <w:tcW w:w="4500" w:type="dxa"/>
            <w:vAlign w:val="bottom"/>
          </w:tcPr>
          <w:p>
            <w:pPr>
              <w:ind w:left="1020"/>
              <w:spacing w:after="0"/>
              <w:rPr>
                <w:sz w:val="20"/>
                <w:szCs w:val="20"/>
                <w:color w:val="auto"/>
              </w:rPr>
            </w:pPr>
            <w:r>
              <w:rPr>
                <w:rFonts w:ascii="Arial" w:cs="Arial" w:eastAsia="Arial" w:hAnsi="Arial"/>
                <w:sz w:val="18"/>
                <w:szCs w:val="18"/>
                <w:color w:val="auto"/>
              </w:rPr>
              <w:t>PENNANTPARK INVESTMENT CORP</w:t>
            </w:r>
          </w:p>
        </w:tc>
        <w:tc>
          <w:tcPr>
            <w:tcW w:w="1700" w:type="dxa"/>
            <w:vAlign w:val="bottom"/>
          </w:tcPr>
          <w:p>
            <w:pPr>
              <w:ind w:left="440"/>
              <w:spacing w:after="0"/>
              <w:rPr>
                <w:sz w:val="20"/>
                <w:szCs w:val="20"/>
                <w:color w:val="auto"/>
              </w:rPr>
            </w:pPr>
            <w:r>
              <w:rPr>
                <w:rFonts w:ascii="Arial" w:cs="Arial" w:eastAsia="Arial" w:hAnsi="Arial"/>
                <w:sz w:val="18"/>
                <w:szCs w:val="18"/>
                <w:color w:val="auto"/>
                <w:w w:val="96"/>
              </w:rPr>
              <w:t>Equity/Common</w:t>
            </w:r>
          </w:p>
        </w:tc>
      </w:tr>
      <w:tr>
        <w:trPr>
          <w:trHeight w:val="364"/>
        </w:trPr>
        <w:tc>
          <w:tcPr>
            <w:tcW w:w="4280" w:type="dxa"/>
            <w:vAlign w:val="bottom"/>
          </w:tcPr>
          <w:p>
            <w:pPr>
              <w:spacing w:after="0"/>
              <w:rPr>
                <w:sz w:val="24"/>
                <w:szCs w:val="24"/>
                <w:color w:val="auto"/>
              </w:rPr>
            </w:pPr>
          </w:p>
        </w:tc>
        <w:tc>
          <w:tcPr>
            <w:tcW w:w="4500" w:type="dxa"/>
            <w:vAlign w:val="bottom"/>
          </w:tcPr>
          <w:p>
            <w:pPr>
              <w:ind w:left="1200"/>
              <w:spacing w:after="0"/>
              <w:rPr>
                <w:sz w:val="20"/>
                <w:szCs w:val="20"/>
                <w:color w:val="auto"/>
              </w:rPr>
            </w:pPr>
            <w:r>
              <w:rPr>
                <w:rFonts w:ascii="Arial" w:cs="Arial" w:eastAsia="Arial" w:hAnsi="Arial"/>
                <w:sz w:val="18"/>
                <w:szCs w:val="18"/>
                <w:color w:val="auto"/>
              </w:rPr>
              <w:t>149</w:t>
            </w:r>
          </w:p>
        </w:tc>
        <w:tc>
          <w:tcPr>
            <w:tcW w:w="17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480"/>
          </w:cols>
          <w:pgMar w:left="320" w:top="274" w:right="10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160" w:name="page161"/>
    <w:bookmarkEnd w:id="160"/>
    <w:p>
      <w:pPr>
        <w:ind w:right="1660"/>
        <w:spacing w:after="0" w:line="253" w:lineRule="auto"/>
        <w:rPr>
          <w:sz w:val="20"/>
          <w:szCs w:val="20"/>
          <w:color w:val="auto"/>
        </w:rPr>
      </w:pPr>
      <w:r>
        <w:rPr>
          <w:rFonts w:ascii="Arial" w:cs="Arial" w:eastAsia="Arial" w:hAnsi="Arial"/>
          <w:sz w:val="18"/>
          <w:szCs w:val="18"/>
          <w:color w:val="auto"/>
        </w:rPr>
        <w:t>J.A. Cosmetics Holdings, Inc. Kadmon Holdings LLC, Class A&amp;D Lariat ecoserv Co-Invest Holdings, LLC Paradigm Acquisition Corp. Power Products Holdings, LLC</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MidOcean PPL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QMG HoldCo, LLC, Class A&amp;B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Service Champ,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SuttonPark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SPG Boyd Holdings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Superior Digital Displays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TZ Holdings,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Vestcom Parent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VText Holdings, Inc.</w:t>
      </w:r>
    </w:p>
    <w:p>
      <w:pPr>
        <w:spacing w:after="0" w:line="9" w:lineRule="exact"/>
        <w:rPr>
          <w:sz w:val="20"/>
          <w:szCs w:val="20"/>
          <w:color w:val="auto"/>
        </w:rPr>
      </w:pPr>
    </w:p>
    <w:p>
      <w:pPr>
        <w:ind w:right="1460"/>
        <w:spacing w:after="0" w:line="250" w:lineRule="auto"/>
        <w:rPr>
          <w:sz w:val="20"/>
          <w:szCs w:val="20"/>
          <w:color w:val="auto"/>
        </w:rPr>
      </w:pPr>
      <w:r>
        <w:rPr>
          <w:rFonts w:ascii="Arial" w:cs="Arial" w:eastAsia="Arial" w:hAnsi="Arial"/>
          <w:sz w:val="18"/>
          <w:szCs w:val="18"/>
          <w:color w:val="auto"/>
        </w:rPr>
        <w:t>Affinion Group Holdings, Inc. Series A&amp;B AH Holdings, Inc.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ASP LCG Holdings,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PENNANTPARK INVESTMENT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-208915</wp:posOffset>
            </wp:positionV>
            <wp:extent cx="7149465"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PENNANTPARK INVESTMENT CORP</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PENNANTPARK INVESTMENT CORP</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PENNANTPARK INVESTMENT CORP</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PENNANTPARK INVESTMENT CORP</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PENNANTPARK INVESTMENT CORP</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PENNANTPARK INVESTMENT CORP</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PENNANTPARK INVESTMENT CORP</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PENNANTPARK INVESTMENT CORP</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PENNANTPARK INVESTMENT CORP</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PENNANTPARK INVESTMENT CORP</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PENNANTPARK INVESTMENT CORP</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PENNANTPARK INVESTMENT CORP</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PENNANTPARK INVESTMENT CORP</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PENNANTPARK INVESTMENT CORP</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PENNANTPARK INVESTMENT CORP</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PENNANTPARK INVESTMENT CORP</w:t>
      </w:r>
    </w:p>
    <w:p>
      <w:pPr>
        <w:spacing w:after="0" w:line="15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Equity/Common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Equity/Common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Equity/Common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Equity/Common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Equity/Common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Equity/Common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Equity/Common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Equity/Common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Equity/Common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Equity/Common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Equity/Common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Equity/Common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Equity/Common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Equity/Common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Equity/Warrants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Equity/Warrants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Equity/Warrants</w:t>
      </w:r>
    </w:p>
    <w:p>
      <w:pPr>
        <w:sectPr>
          <w:pgSz w:w="11900" w:h="16838" w:orient="portrait"/>
          <w:cols w:equalWidth="0" w:num="3">
            <w:col w:w="4580" w:space="720"/>
            <w:col w:w="3200" w:space="720"/>
            <w:col w:w="1200"/>
          </w:cols>
          <w:pgMar w:left="320" w:top="274" w:right="1159" w:bottom="1440" w:gutter="0" w:footer="0" w:header="0"/>
        </w:sectPr>
      </w:pPr>
    </w:p>
    <w:bookmarkStart w:id="161" w:name="page162"/>
    <w:bookmarkEnd w:id="161"/>
    <w:p>
      <w:pPr>
        <w:spacing w:after="0"/>
        <w:tabs>
          <w:tab w:leader="none" w:pos="52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DirectBuy Holdings, Inc.</w:t>
      </w:r>
      <w:r>
        <w:rPr>
          <w:sz w:val="20"/>
          <w:szCs w:val="20"/>
          <w:color w:val="auto"/>
        </w:rPr>
        <w:tab/>
      </w:r>
      <w:r>
        <w:rPr>
          <w:rFonts w:ascii="Arial" w:cs="Arial" w:eastAsia="Arial" w:hAnsi="Arial"/>
          <w:sz w:val="17"/>
          <w:szCs w:val="17"/>
          <w:color w:val="auto"/>
        </w:rPr>
        <w:t>PENNANTPARK INVESTMENT CORP</w:t>
      </w:r>
    </w:p>
    <w:p>
      <w:pPr>
        <w:spacing w:after="0" w:line="23" w:lineRule="exact"/>
        <w:rPr>
          <w:sz w:val="20"/>
          <w:szCs w:val="20"/>
          <w:color w:val="auto"/>
        </w:rPr>
      </w:pPr>
    </w:p>
    <w:p>
      <w:pPr>
        <w:spacing w:after="0"/>
        <w:tabs>
          <w:tab w:leader="none" w:pos="5280" w:val="left"/>
        </w:tabs>
        <w:rPr>
          <w:sz w:val="20"/>
          <w:szCs w:val="20"/>
          <w:color w:val="auto"/>
        </w:rPr>
      </w:pPr>
      <w:r>
        <w:rPr>
          <w:rFonts w:ascii="Arial" w:cs="Arial" w:eastAsia="Arial" w:hAnsi="Arial"/>
          <w:sz w:val="18"/>
          <w:szCs w:val="18"/>
          <w:color w:val="auto"/>
        </w:rPr>
        <w:t>Magnum Hunter Resources Corp.</w:t>
      </w:r>
      <w:r>
        <w:rPr>
          <w:sz w:val="20"/>
          <w:szCs w:val="20"/>
          <w:color w:val="auto"/>
        </w:rPr>
        <w:tab/>
      </w:r>
      <w:r>
        <w:rPr>
          <w:rFonts w:ascii="Arial" w:cs="Arial" w:eastAsia="Arial" w:hAnsi="Arial"/>
          <w:sz w:val="17"/>
          <w:szCs w:val="17"/>
          <w:color w:val="auto"/>
        </w:rPr>
        <w:t>PENNANTPARK INVESTMENT CORP</w:t>
      </w:r>
    </w:p>
    <w:p>
      <w:pPr>
        <w:spacing w:after="0" w:line="9" w:lineRule="exact"/>
        <w:rPr>
          <w:sz w:val="20"/>
          <w:szCs w:val="20"/>
          <w:color w:val="auto"/>
        </w:rPr>
      </w:pPr>
    </w:p>
    <w:p>
      <w:pPr>
        <w:spacing w:after="0"/>
        <w:tabs>
          <w:tab w:leader="none" w:pos="5280" w:val="left"/>
        </w:tabs>
        <w:rPr>
          <w:sz w:val="20"/>
          <w:szCs w:val="20"/>
          <w:color w:val="auto"/>
        </w:rPr>
      </w:pPr>
      <w:r>
        <w:rPr>
          <w:rFonts w:ascii="Arial" w:cs="Arial" w:eastAsia="Arial" w:hAnsi="Arial"/>
          <w:sz w:val="18"/>
          <w:szCs w:val="18"/>
          <w:color w:val="auto"/>
        </w:rPr>
        <w:t>New Gulf Resources, LLC</w:t>
      </w:r>
      <w:r>
        <w:rPr>
          <w:sz w:val="20"/>
          <w:szCs w:val="20"/>
          <w:color w:val="auto"/>
        </w:rPr>
        <w:tab/>
      </w:r>
      <w:r>
        <w:rPr>
          <w:rFonts w:ascii="Arial" w:cs="Arial" w:eastAsia="Arial" w:hAnsi="Arial"/>
          <w:sz w:val="17"/>
          <w:szCs w:val="17"/>
          <w:color w:val="auto"/>
        </w:rPr>
        <w:t>PENNANTPARK INVESTMENT CORP</w:t>
      </w:r>
    </w:p>
    <w:p>
      <w:pPr>
        <w:spacing w:after="0" w:line="9" w:lineRule="exact"/>
        <w:rPr>
          <w:sz w:val="20"/>
          <w:szCs w:val="20"/>
          <w:color w:val="auto"/>
        </w:rPr>
      </w:pPr>
    </w:p>
    <w:p>
      <w:pPr>
        <w:spacing w:after="0"/>
        <w:tabs>
          <w:tab w:leader="none" w:pos="5280" w:val="left"/>
        </w:tabs>
        <w:rPr>
          <w:sz w:val="20"/>
          <w:szCs w:val="20"/>
          <w:color w:val="auto"/>
        </w:rPr>
      </w:pPr>
      <w:r>
        <w:rPr>
          <w:rFonts w:ascii="Arial" w:cs="Arial" w:eastAsia="Arial" w:hAnsi="Arial"/>
          <w:sz w:val="18"/>
          <w:szCs w:val="18"/>
          <w:color w:val="auto"/>
        </w:rPr>
        <w:t>Old Guard Risk Services, Inc.</w:t>
      </w:r>
      <w:r>
        <w:rPr>
          <w:sz w:val="20"/>
          <w:szCs w:val="20"/>
          <w:color w:val="auto"/>
        </w:rPr>
        <w:tab/>
      </w:r>
      <w:r>
        <w:rPr>
          <w:rFonts w:ascii="Arial" w:cs="Arial" w:eastAsia="Arial" w:hAnsi="Arial"/>
          <w:sz w:val="17"/>
          <w:szCs w:val="17"/>
          <w:color w:val="auto"/>
        </w:rPr>
        <w:t>PENNANTPARK INVESTMENT CORP</w:t>
      </w:r>
    </w:p>
    <w:p>
      <w:pPr>
        <w:spacing w:after="0" w:line="9" w:lineRule="exact"/>
        <w:rPr>
          <w:sz w:val="20"/>
          <w:szCs w:val="20"/>
          <w:color w:val="auto"/>
        </w:rPr>
      </w:pPr>
    </w:p>
    <w:p>
      <w:pPr>
        <w:spacing w:after="0"/>
        <w:tabs>
          <w:tab w:leader="none" w:pos="5280" w:val="left"/>
        </w:tabs>
        <w:rPr>
          <w:sz w:val="20"/>
          <w:szCs w:val="20"/>
          <w:color w:val="auto"/>
        </w:rPr>
      </w:pPr>
      <w:r>
        <w:rPr>
          <w:rFonts w:ascii="Arial" w:cs="Arial" w:eastAsia="Arial" w:hAnsi="Arial"/>
          <w:sz w:val="18"/>
          <w:szCs w:val="18"/>
          <w:color w:val="auto"/>
        </w:rPr>
        <w:t>TRAK Acquisition Corp.</w:t>
      </w:r>
      <w:r>
        <w:rPr>
          <w:sz w:val="20"/>
          <w:szCs w:val="20"/>
          <w:color w:val="auto"/>
        </w:rPr>
        <w:tab/>
      </w:r>
      <w:r>
        <w:rPr>
          <w:rFonts w:ascii="Arial" w:cs="Arial" w:eastAsia="Arial" w:hAnsi="Arial"/>
          <w:sz w:val="17"/>
          <w:szCs w:val="17"/>
          <w:color w:val="auto"/>
        </w:rPr>
        <w:t>PENNANTPARK INVESTMENT CORP</w:t>
      </w:r>
    </w:p>
    <w:p>
      <w:pPr>
        <w:spacing w:after="0" w:line="9" w:lineRule="exact"/>
        <w:rPr>
          <w:sz w:val="20"/>
          <w:szCs w:val="20"/>
          <w:color w:val="auto"/>
        </w:rPr>
      </w:pPr>
    </w:p>
    <w:p>
      <w:pPr>
        <w:spacing w:after="0"/>
        <w:tabs>
          <w:tab w:leader="none" w:pos="5280" w:val="left"/>
        </w:tabs>
        <w:rPr>
          <w:sz w:val="20"/>
          <w:szCs w:val="20"/>
          <w:color w:val="auto"/>
        </w:rPr>
      </w:pPr>
      <w:r>
        <w:rPr>
          <w:rFonts w:ascii="Arial" w:cs="Arial" w:eastAsia="Arial" w:hAnsi="Arial"/>
          <w:sz w:val="18"/>
          <w:szCs w:val="18"/>
          <w:color w:val="auto"/>
        </w:rPr>
        <w:t>Zwireless Holdings, Inc.</w:t>
      </w:r>
      <w:r>
        <w:rPr>
          <w:sz w:val="20"/>
          <w:szCs w:val="20"/>
          <w:color w:val="auto"/>
        </w:rPr>
        <w:tab/>
      </w:r>
      <w:r>
        <w:rPr>
          <w:rFonts w:ascii="Arial" w:cs="Arial" w:eastAsia="Arial" w:hAnsi="Arial"/>
          <w:sz w:val="17"/>
          <w:szCs w:val="17"/>
          <w:color w:val="auto"/>
        </w:rPr>
        <w:t>PENNANTPARK INVESTMENT CORP</w:t>
      </w:r>
    </w:p>
    <w:p>
      <w:pPr>
        <w:spacing w:after="0" w:line="14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Equity/Warrants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Equity/Warrants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Equity/Warrants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Equity/Warrants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Equity/Warrants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Equity/Warrants</w:t>
      </w:r>
    </w:p>
    <w:p>
      <w:pPr>
        <w:sectPr>
          <w:pgSz w:w="11900" w:h="16838" w:orient="portrait"/>
          <w:cols w:equalWidth="0" w:num="2">
            <w:col w:w="8500" w:space="720"/>
            <w:col w:w="1180"/>
          </w:cols>
          <w:pgMar w:left="320" w:top="274" w:right="1179" w:bottom="1440" w:gutter="0" w:footer="0" w:header="0"/>
        </w:sectPr>
      </w:pPr>
    </w:p>
    <w:bookmarkStart w:id="162" w:name="page163"/>
    <w:bookmarkEnd w:id="162"/>
    <w:p>
      <w:pPr>
        <w:jc w:val="center"/>
        <w:ind w:right="-11"/>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6.08</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u w:val="single" w:color="auto"/>
          <w:color w:val="auto"/>
        </w:rPr>
        <w:t>Transactions with Affiliates</w:t>
      </w:r>
    </w:p>
    <w:p>
      <w:pPr>
        <w:spacing w:after="0" w:line="229" w:lineRule="exact"/>
        <w:rPr>
          <w:sz w:val="20"/>
          <w:szCs w:val="20"/>
          <w:color w:val="auto"/>
        </w:rPr>
      </w:pPr>
    </w:p>
    <w:p>
      <w:pPr>
        <w:ind w:left="-8" w:right="280" w:firstLine="8"/>
        <w:spacing w:after="0" w:line="277" w:lineRule="auto"/>
        <w:tabs>
          <w:tab w:leader="none" w:pos="169" w:val="left"/>
        </w:tabs>
        <w:numPr>
          <w:ilvl w:val="0"/>
          <w:numId w:val="172"/>
        </w:numPr>
        <w:rPr>
          <w:rFonts w:ascii="Arial" w:cs="Arial" w:eastAsia="Arial" w:hAnsi="Arial"/>
          <w:sz w:val="18"/>
          <w:szCs w:val="18"/>
          <w:color w:val="auto"/>
        </w:rPr>
      </w:pPr>
      <w:r>
        <w:rPr>
          <w:rFonts w:ascii="Arial" w:cs="Arial" w:eastAsia="Arial" w:hAnsi="Arial"/>
          <w:sz w:val="18"/>
          <w:szCs w:val="18"/>
          <w:color w:val="auto"/>
        </w:rPr>
        <w:t>We hold the debt and equity of EnviroSolutions, Inc., Performance Holdings, Inc. and SuttonPark Holdings Inc. and we enter into certain transactions with such Persons (including receiving and making distributions).</w:t>
      </w:r>
    </w:p>
    <w:p>
      <w:pPr>
        <w:spacing w:after="0" w:line="170" w:lineRule="exact"/>
        <w:rPr>
          <w:rFonts w:ascii="Arial" w:cs="Arial" w:eastAsia="Arial" w:hAnsi="Arial"/>
          <w:sz w:val="18"/>
          <w:szCs w:val="18"/>
          <w:color w:val="auto"/>
        </w:rPr>
      </w:pPr>
    </w:p>
    <w:p>
      <w:pPr>
        <w:ind w:left="-8" w:firstLine="8"/>
        <w:spacing w:after="0" w:line="254" w:lineRule="auto"/>
        <w:tabs>
          <w:tab w:leader="none" w:pos="172" w:val="left"/>
        </w:tabs>
        <w:numPr>
          <w:ilvl w:val="0"/>
          <w:numId w:val="172"/>
        </w:numPr>
        <w:rPr>
          <w:rFonts w:ascii="Arial" w:cs="Arial" w:eastAsia="Arial" w:hAnsi="Arial"/>
          <w:sz w:val="18"/>
          <w:szCs w:val="18"/>
          <w:color w:val="auto"/>
        </w:rPr>
      </w:pPr>
      <w:r>
        <w:rPr>
          <w:rFonts w:ascii="Arial" w:cs="Arial" w:eastAsia="Arial" w:hAnsi="Arial"/>
          <w:sz w:val="18"/>
          <w:szCs w:val="18"/>
          <w:color w:val="auto"/>
        </w:rPr>
        <w:t>We entered into an administration agreement with our controlled affiliate, SuttonPark Holdings Inc. (“SPH”). Under the administration agreement with SPH (the “SPH Administration Agreement”), PennantPark Investment Corporation through the Administrator furnishes SPH with office facilities, equipment and clerical, bookkeeping and record keeping services at such facilities. Additionally, the Administrator performs or oversees the performance of SPH’s required administrative services, which include, among other things, maintaining financial records, preparing financial reports and filing of tax returns. Payments under the SPH Administration Agreement are equal to an amount based upon SPH’s allocable portion of the Administrator’s overhead in performing its obligations under the SPH Administration Agreement, including rent and allocable portion of the cost of compensation and related expenses of our chief financial officer and their respective staffs.</w:t>
      </w:r>
    </w:p>
    <w:p>
      <w:pPr>
        <w:spacing w:after="0" w:line="194" w:lineRule="exact"/>
        <w:rPr>
          <w:rFonts w:ascii="Arial" w:cs="Arial" w:eastAsia="Arial" w:hAnsi="Arial"/>
          <w:sz w:val="18"/>
          <w:szCs w:val="18"/>
          <w:color w:val="auto"/>
        </w:rPr>
      </w:pPr>
    </w:p>
    <w:p>
      <w:pPr>
        <w:ind w:left="-8" w:right="40" w:firstLine="8"/>
        <w:spacing w:after="0" w:line="272" w:lineRule="auto"/>
        <w:tabs>
          <w:tab w:leader="none" w:pos="172" w:val="left"/>
        </w:tabs>
        <w:numPr>
          <w:ilvl w:val="0"/>
          <w:numId w:val="172"/>
        </w:numPr>
        <w:rPr>
          <w:rFonts w:ascii="Arial" w:cs="Arial" w:eastAsia="Arial" w:hAnsi="Arial"/>
          <w:sz w:val="17"/>
          <w:szCs w:val="17"/>
          <w:color w:val="auto"/>
        </w:rPr>
      </w:pPr>
      <w:r>
        <w:rPr>
          <w:rFonts w:ascii="Arial" w:cs="Arial" w:eastAsia="Arial" w:hAnsi="Arial"/>
          <w:sz w:val="17"/>
          <w:szCs w:val="17"/>
          <w:color w:val="auto"/>
        </w:rPr>
        <w:t>We entered into an administration agreement, dated December 28, 2012, with PennantPark SBIC II LP (“SBIC II”) and PennantPark SBIC GP II, LLC. Under the administration agreement with SBIC II (the “SBIC II Administration Agreement”), PennantPark Investment Corporation through the Administrator furnishes SBIC II with office facilities, equipment and clerical, bookkeeping and record keeping services at such facilities. Additionally, the Administrator performs or oversees the performance of SBIC II’s required administrative services, which include, among other things, maintaining financial records, preparing financial reports and filing of tax returns. Payments under the SBIC II Administration Agreement are equal to an amount based upon SBIC II’s allocable portion of the Administrator’s overhead in performing its obligations under the SBIC II Administration Agreement, including rent and allocable portion of the cost of compensation and related expenses of our chief financial officer and their respective staffs.</w:t>
      </w:r>
    </w:p>
    <w:p>
      <w:pPr>
        <w:spacing w:after="0" w:line="177" w:lineRule="exact"/>
        <w:rPr>
          <w:rFonts w:ascii="Arial" w:cs="Arial" w:eastAsia="Arial" w:hAnsi="Arial"/>
          <w:sz w:val="17"/>
          <w:szCs w:val="17"/>
          <w:color w:val="auto"/>
        </w:rPr>
      </w:pPr>
    </w:p>
    <w:p>
      <w:pPr>
        <w:ind w:left="-8" w:right="160" w:firstLine="8"/>
        <w:spacing w:after="0" w:line="259" w:lineRule="auto"/>
        <w:tabs>
          <w:tab w:leader="none" w:pos="172" w:val="left"/>
        </w:tabs>
        <w:numPr>
          <w:ilvl w:val="0"/>
          <w:numId w:val="172"/>
        </w:numPr>
        <w:rPr>
          <w:rFonts w:ascii="Arial" w:cs="Arial" w:eastAsia="Arial" w:hAnsi="Arial"/>
          <w:sz w:val="18"/>
          <w:szCs w:val="18"/>
          <w:color w:val="auto"/>
        </w:rPr>
      </w:pPr>
      <w:r>
        <w:rPr>
          <w:rFonts w:ascii="Arial" w:cs="Arial" w:eastAsia="Arial" w:hAnsi="Arial"/>
          <w:sz w:val="18"/>
          <w:szCs w:val="18"/>
          <w:color w:val="auto"/>
        </w:rPr>
        <w:t>We entered into an investment advisory agreement, dated December 28, 2012, with SBIC II and PennantPark SBIC GP II, LLC. Under the investment advisory agreement (the “SBIC II Investment Agreement), PennantPark Investment Corporation through the Investment Advisor/Manager provides SBIC II with experienced investment professionals to assist in federal law and regulation compliance. Payments under the SBIC II Investment Agreement are pursuant to Section 3.05 of the agreement of limited partnership of the SBIC II.</w:t>
      </w:r>
    </w:p>
    <w:p>
      <w:pPr>
        <w:spacing w:after="0" w:line="11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32"/>
          </w:cols>
          <w:pgMar w:left="328" w:top="270" w:right="339" w:bottom="1440" w:gutter="0" w:footer="0" w:header="0"/>
        </w:sectPr>
      </w:pPr>
    </w:p>
    <w:bookmarkStart w:id="163" w:name="page164"/>
    <w:bookmarkEnd w:id="16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ASSIGNMENT AND ASSUMPTION</w:t>
      </w:r>
    </w:p>
    <w:p>
      <w:pPr>
        <w:spacing w:after="0" w:line="229" w:lineRule="exact"/>
        <w:rPr>
          <w:sz w:val="20"/>
          <w:szCs w:val="20"/>
          <w:color w:val="auto"/>
        </w:rPr>
      </w:pPr>
    </w:p>
    <w:p>
      <w:pPr>
        <w:ind w:firstLine="898"/>
        <w:spacing w:after="0" w:line="296" w:lineRule="auto"/>
        <w:rPr>
          <w:sz w:val="20"/>
          <w:szCs w:val="20"/>
          <w:color w:val="auto"/>
        </w:rPr>
      </w:pPr>
      <w:r>
        <w:rPr>
          <w:rFonts w:ascii="Arial" w:cs="Arial" w:eastAsia="Arial" w:hAnsi="Arial"/>
          <w:sz w:val="16"/>
          <w:szCs w:val="16"/>
          <w:color w:val="auto"/>
        </w:rPr>
        <w:t>This Assignment and Assumption (the “</w:t>
      </w:r>
      <w:r>
        <w:rPr>
          <w:rFonts w:ascii="Arial" w:cs="Arial" w:eastAsia="Arial" w:hAnsi="Arial"/>
          <w:sz w:val="16"/>
          <w:szCs w:val="16"/>
          <w:u w:val="single" w:color="auto"/>
          <w:color w:val="auto"/>
        </w:rPr>
        <w:t>Assignment and Assumption</w:t>
      </w:r>
      <w:r>
        <w:rPr>
          <w:rFonts w:ascii="Arial" w:cs="Arial" w:eastAsia="Arial" w:hAnsi="Arial"/>
          <w:sz w:val="16"/>
          <w:szCs w:val="16"/>
          <w:color w:val="auto"/>
        </w:rPr>
        <w:t>”) is dated as of the Effective Date set forth below and is entered into by and between [</w:t>
      </w:r>
      <w:r>
        <w:rPr>
          <w:rFonts w:ascii="Arial" w:cs="Arial" w:eastAsia="Arial" w:hAnsi="Arial"/>
          <w:sz w:val="16"/>
          <w:szCs w:val="16"/>
          <w:i w:val="1"/>
          <w:iCs w:val="1"/>
          <w:color w:val="auto"/>
        </w:rPr>
        <w:t>Insert name of Assignor</w:t>
      </w:r>
      <w:r>
        <w:rPr>
          <w:rFonts w:ascii="Arial" w:cs="Arial" w:eastAsia="Arial" w:hAnsi="Arial"/>
          <w:sz w:val="16"/>
          <w:szCs w:val="16"/>
          <w:color w:val="auto"/>
        </w:rPr>
        <w:t>] (the “</w:t>
      </w:r>
      <w:r>
        <w:rPr>
          <w:rFonts w:ascii="Arial" w:cs="Arial" w:eastAsia="Arial" w:hAnsi="Arial"/>
          <w:sz w:val="16"/>
          <w:szCs w:val="16"/>
          <w:u w:val="single" w:color="auto"/>
          <w:color w:val="auto"/>
        </w:rPr>
        <w:t>Assignor</w:t>
      </w:r>
      <w:r>
        <w:rPr>
          <w:rFonts w:ascii="Arial" w:cs="Arial" w:eastAsia="Arial" w:hAnsi="Arial"/>
          <w:sz w:val="16"/>
          <w:szCs w:val="16"/>
          <w:color w:val="auto"/>
        </w:rPr>
        <w:t>”) and [</w:t>
      </w:r>
      <w:r>
        <w:rPr>
          <w:rFonts w:ascii="Arial" w:cs="Arial" w:eastAsia="Arial" w:hAnsi="Arial"/>
          <w:sz w:val="16"/>
          <w:szCs w:val="16"/>
          <w:i w:val="1"/>
          <w:iCs w:val="1"/>
          <w:color w:val="auto"/>
        </w:rPr>
        <w:t>Insert name of Assignee</w:t>
      </w:r>
      <w:r>
        <w:rPr>
          <w:rFonts w:ascii="Arial" w:cs="Arial" w:eastAsia="Arial" w:hAnsi="Arial"/>
          <w:sz w:val="16"/>
          <w:szCs w:val="16"/>
          <w:color w:val="auto"/>
        </w:rPr>
        <w:t>] (the “</w:t>
      </w:r>
      <w:r>
        <w:rPr>
          <w:rFonts w:ascii="Arial" w:cs="Arial" w:eastAsia="Arial" w:hAnsi="Arial"/>
          <w:sz w:val="16"/>
          <w:szCs w:val="16"/>
          <w:u w:val="single" w:color="auto"/>
          <w:color w:val="auto"/>
        </w:rPr>
        <w:t>Assignee</w:t>
      </w:r>
      <w:r>
        <w:rPr>
          <w:rFonts w:ascii="Arial" w:cs="Arial" w:eastAsia="Arial" w:hAnsi="Arial"/>
          <w:sz w:val="16"/>
          <w:szCs w:val="16"/>
          <w:color w:val="auto"/>
        </w:rPr>
        <w:t>”). Capitalized terms used but not defined herein shall have the meanings given to them in the Credit Agreement identified below (as amended, restated,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xml:space="preserve">”), receipt of a copy of which is hereby acknowledged by the Assignee. The Standard Terms and Conditions set forth in </w:t>
      </w:r>
      <w:r>
        <w:rPr>
          <w:rFonts w:ascii="Arial" w:cs="Arial" w:eastAsia="Arial" w:hAnsi="Arial"/>
          <w:sz w:val="16"/>
          <w:szCs w:val="16"/>
          <w:u w:val="single" w:color="auto"/>
          <w:color w:val="auto"/>
        </w:rPr>
        <w:t>Annex I</w:t>
      </w:r>
      <w:r>
        <w:rPr>
          <w:rFonts w:ascii="Arial" w:cs="Arial" w:eastAsia="Arial" w:hAnsi="Arial"/>
          <w:sz w:val="16"/>
          <w:szCs w:val="16"/>
          <w:color w:val="auto"/>
        </w:rPr>
        <w:t xml:space="preserve"> attached hereto are hereby agreed to and incorporated herein by reference and made a part of this Assignment and Assumption as if set forth herein in full.</w:t>
      </w:r>
    </w:p>
    <w:p>
      <w:pPr>
        <w:spacing w:after="0" w:line="161" w:lineRule="exact"/>
        <w:rPr>
          <w:sz w:val="20"/>
          <w:szCs w:val="20"/>
          <w:color w:val="auto"/>
        </w:rPr>
      </w:pPr>
    </w:p>
    <w:p>
      <w:pPr>
        <w:ind w:firstLine="898"/>
        <w:spacing w:after="0" w:line="287" w:lineRule="auto"/>
        <w:rPr>
          <w:sz w:val="20"/>
          <w:szCs w:val="20"/>
          <w:color w:val="auto"/>
        </w:rPr>
      </w:pPr>
      <w:r>
        <w:rPr>
          <w:rFonts w:ascii="Arial" w:cs="Arial" w:eastAsia="Arial" w:hAnsi="Arial"/>
          <w:sz w:val="16"/>
          <w:szCs w:val="16"/>
          <w:color w:val="auto"/>
        </w:rPr>
        <w:t xml:space="preserve">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Administrative Agent as contemplated below: (i) all of the Assignor’s rights and obligations in its capacity as a Lender under the Credit Agreement and any other documents or instruments delivered pursuant thereto the extent related to the amount and percentage interest identified below of all of such outstanding rights and obligations of the Assignor under the respective facilities identified below (including any letters of credit, guarantees, and swingline loans included in such facilities)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contract claims, tort claims, malpractice claims, statutory claims and all claims at law or in equity related to the rights and obligations sold and assigned pursuant to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(the rights and obligations sold and assigned pursuant to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above being referred to herein collectively as the “</w:t>
      </w:r>
      <w:r>
        <w:rPr>
          <w:rFonts w:ascii="Arial" w:cs="Arial" w:eastAsia="Arial" w:hAnsi="Arial"/>
          <w:sz w:val="16"/>
          <w:szCs w:val="16"/>
          <w:u w:val="single" w:color="auto"/>
          <w:color w:val="auto"/>
        </w:rPr>
        <w:t>Assigned Interest</w:t>
      </w:r>
      <w:r>
        <w:rPr>
          <w:rFonts w:ascii="Arial" w:cs="Arial" w:eastAsia="Arial" w:hAnsi="Arial"/>
          <w:sz w:val="16"/>
          <w:szCs w:val="16"/>
          <w:color w:val="auto"/>
        </w:rPr>
        <w:t>”). Such sale and assignment is without recourse to the Assignor and, except as expressly provided in this Assignment and Assumption, without representation or warranty by the Assignor.</w:t>
      </w:r>
    </w:p>
    <w:p>
      <w:pPr>
        <w:spacing w:after="0" w:line="195" w:lineRule="exact"/>
        <w:rPr>
          <w:sz w:val="20"/>
          <w:szCs w:val="20"/>
          <w:color w:val="auto"/>
        </w:rPr>
      </w:pPr>
    </w:p>
    <w:p>
      <w:pPr>
        <w:ind w:left="460" w:hanging="452"/>
        <w:spacing w:after="0"/>
        <w:tabs>
          <w:tab w:leader="none" w:pos="4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Assignor:</w:t>
      </w:r>
    </w:p>
    <w:p>
      <w:pPr>
        <w:spacing w:after="0" w:line="144" w:lineRule="exact"/>
        <w:rPr>
          <w:rFonts w:ascii="Arial" w:cs="Arial" w:eastAsia="Arial" w:hAnsi="Arial"/>
          <w:sz w:val="18"/>
          <w:szCs w:val="18"/>
          <w:color w:val="auto"/>
        </w:rPr>
      </w:pPr>
    </w:p>
    <w:p>
      <w:pPr>
        <w:ind w:left="460" w:hanging="452"/>
        <w:spacing w:after="0"/>
        <w:tabs>
          <w:tab w:leader="none" w:pos="4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-207645</wp:posOffset>
            </wp:positionV>
            <wp:extent cx="31375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137535" cy="8255"/>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14605</wp:posOffset>
            </wp:positionV>
            <wp:extent cx="313753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16"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[and is an Affiliate of [</w:t>
      </w:r>
      <w:r>
        <w:rPr>
          <w:rFonts w:ascii="Arial" w:cs="Arial" w:eastAsia="Arial" w:hAnsi="Arial"/>
          <w:sz w:val="18"/>
          <w:szCs w:val="18"/>
          <w:i w:val="1"/>
          <w:iCs w:val="1"/>
          <w:color w:val="auto"/>
        </w:rPr>
        <w:t>identify Lender</w:t>
      </w:r>
      <w:r>
        <w:rPr>
          <w:rFonts w:ascii="Arial" w:cs="Arial" w:eastAsia="Arial" w:hAnsi="Arial"/>
          <w:sz w:val="18"/>
          <w:szCs w:val="18"/>
          <w:color w:val="auto"/>
        </w:rPr>
        <w:t>]</w:t>
      </w:r>
      <w:r>
        <w:rPr>
          <w:rFonts w:ascii="Arial" w:cs="Arial" w:eastAsia="Arial" w:hAnsi="Arial"/>
          <w:sz w:val="15"/>
          <w:szCs w:val="15"/>
          <w:color w:val="auto"/>
        </w:rPr>
        <w:t>1</w:t>
      </w:r>
      <w:r>
        <w:rPr>
          <w:rFonts w:ascii="Arial" w:cs="Arial" w:eastAsia="Arial" w:hAnsi="Arial"/>
          <w:sz w:val="18"/>
          <w:szCs w:val="18"/>
          <w:color w:val="auto"/>
        </w:rPr>
        <w:t>]</w:t>
      </w:r>
    </w:p>
    <w:p>
      <w:pPr>
        <w:spacing w:after="0" w:line="117" w:lineRule="exact"/>
        <w:rPr>
          <w:sz w:val="20"/>
          <w:szCs w:val="20"/>
          <w:color w:val="auto"/>
        </w:rPr>
      </w:pPr>
    </w:p>
    <w:p>
      <w:pPr>
        <w:ind w:left="460" w:hanging="452"/>
        <w:spacing w:after="0"/>
        <w:tabs>
          <w:tab w:leader="none" w:pos="4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Borrower:  PennantPark Investment Corporation</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Administrative Agent: SunTrust Bank, as the administrative agent under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120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78" w:lineRule="exact"/>
        <w:rPr>
          <w:sz w:val="20"/>
          <w:szCs w:val="20"/>
          <w:color w:val="auto"/>
        </w:rPr>
      </w:pPr>
    </w:p>
    <w:p>
      <w:pPr>
        <w:ind w:left="220" w:hanging="212"/>
        <w:spacing w:after="0"/>
        <w:tabs>
          <w:tab w:leader="none" w:pos="220" w:val="left"/>
        </w:tabs>
        <w:numPr>
          <w:ilvl w:val="0"/>
          <w:numId w:val="175"/>
        </w:numPr>
        <w:rPr>
          <w:rFonts w:ascii="Arial" w:cs="Arial" w:eastAsia="Arial" w:hAnsi="Arial"/>
          <w:sz w:val="15"/>
          <w:szCs w:val="15"/>
          <w:color w:val="auto"/>
        </w:rPr>
      </w:pPr>
      <w:r>
        <w:rPr>
          <w:rFonts w:ascii="Arial" w:cs="Arial" w:eastAsia="Arial" w:hAnsi="Arial"/>
          <w:sz w:val="18"/>
          <w:szCs w:val="18"/>
          <w:color w:val="auto"/>
        </w:rPr>
        <w:t>Select as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20"/>
          </w:cols>
          <w:pgMar w:left="320" w:top="270" w:right="359" w:bottom="1440" w:gutter="0" w:footer="0" w:header="0"/>
        </w:sectPr>
      </w:pPr>
    </w:p>
    <w:bookmarkStart w:id="164" w:name="page165"/>
    <w:bookmarkEnd w:id="164"/>
    <w:p>
      <w:pPr>
        <w:ind w:left="460" w:hanging="452"/>
        <w:spacing w:after="0" w:line="277" w:lineRule="auto"/>
        <w:tabs>
          <w:tab w:leader="none" w:pos="4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Credit Agreement: The $545,000,000 Second Amended and Restated Senior Secured Revolving Credit Agreement dated as of June 25, 2014, among PennantPark Investment Corporation, the Lenders parties thereto and SunTrust Bank, as Administrative Agent</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Assigned Interest: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020" w:type="dxa"/>
            <w:vAlign w:val="bottom"/>
            <w:gridSpan w:val="2"/>
          </w:tcPr>
          <w:p>
            <w:pPr>
              <w:ind w:left="20"/>
              <w:spacing w:after="0"/>
              <w:rPr>
                <w:sz w:val="20"/>
                <w:szCs w:val="20"/>
                <w:color w:val="auto"/>
              </w:rPr>
            </w:pPr>
            <w:r>
              <w:rPr>
                <w:rFonts w:ascii="Arial" w:cs="Arial" w:eastAsia="Arial" w:hAnsi="Arial"/>
                <w:sz w:val="14"/>
                <w:szCs w:val="14"/>
                <w:color w:val="auto"/>
              </w:rPr>
              <w:t>Aggregate Amount of</w:t>
            </w:r>
          </w:p>
        </w:tc>
        <w:tc>
          <w:tcPr>
            <w:tcW w:w="1920" w:type="dxa"/>
            <w:vAlign w:val="bottom"/>
            <w:gridSpan w:val="2"/>
          </w:tcPr>
          <w:p>
            <w:pPr>
              <w:ind w:left="260"/>
              <w:spacing w:after="0"/>
              <w:rPr>
                <w:sz w:val="20"/>
                <w:szCs w:val="20"/>
                <w:color w:val="auto"/>
              </w:rPr>
            </w:pPr>
            <w:r>
              <w:rPr>
                <w:rFonts w:ascii="Arial" w:cs="Arial" w:eastAsia="Arial" w:hAnsi="Arial"/>
                <w:sz w:val="14"/>
                <w:szCs w:val="14"/>
                <w:color w:val="auto"/>
              </w:rPr>
              <w:t>Amount of</w:t>
            </w:r>
          </w:p>
        </w:tc>
        <w:tc>
          <w:tcPr>
            <w:tcW w:w="1460" w:type="dxa"/>
            <w:vAlign w:val="bottom"/>
            <w:gridSpan w:val="3"/>
          </w:tcPr>
          <w:p>
            <w:pPr>
              <w:jc w:val="center"/>
              <w:ind w:right="260"/>
              <w:spacing w:after="0"/>
              <w:rPr>
                <w:sz w:val="20"/>
                <w:szCs w:val="20"/>
                <w:color w:val="auto"/>
              </w:rPr>
            </w:pPr>
            <w:r>
              <w:rPr>
                <w:rFonts w:ascii="Arial" w:cs="Arial" w:eastAsia="Arial" w:hAnsi="Arial"/>
                <w:sz w:val="14"/>
                <w:szCs w:val="14"/>
                <w:color w:val="auto"/>
                <w:w w:val="90"/>
              </w:rPr>
              <w:t>Percentage Assigned</w:t>
            </w:r>
          </w:p>
        </w:tc>
        <w:tc>
          <w:tcPr>
            <w:tcW w:w="0" w:type="dxa"/>
            <w:vAlign w:val="bottom"/>
          </w:tcPr>
          <w:p>
            <w:pPr>
              <w:spacing w:after="0"/>
              <w:rPr>
                <w:sz w:val="1"/>
                <w:szCs w:val="1"/>
                <w:color w:val="auto"/>
              </w:rPr>
            </w:pPr>
          </w:p>
        </w:tc>
      </w:tr>
      <w:tr>
        <w:trPr>
          <w:trHeight w:val="149"/>
        </w:trPr>
        <w:tc>
          <w:tcPr>
            <w:tcW w:w="2140" w:type="dxa"/>
            <w:vAlign w:val="bottom"/>
            <w:gridSpan w:val="4"/>
            <w:vMerge w:val="restart"/>
          </w:tcPr>
          <w:p>
            <w:pPr>
              <w:ind w:left="920"/>
              <w:spacing w:after="0"/>
              <w:rPr>
                <w:sz w:val="20"/>
                <w:szCs w:val="20"/>
                <w:color w:val="auto"/>
              </w:rPr>
            </w:pPr>
            <w:r>
              <w:rPr>
                <w:rFonts w:ascii="Arial" w:cs="Arial" w:eastAsia="Arial" w:hAnsi="Arial"/>
                <w:sz w:val="14"/>
                <w:szCs w:val="14"/>
                <w:color w:val="auto"/>
              </w:rPr>
              <w:t>Class Assigned</w:t>
            </w:r>
            <w:r>
              <w:rPr>
                <w:rFonts w:ascii="Arial" w:cs="Arial" w:eastAsia="Arial" w:hAnsi="Arial"/>
                <w:sz w:val="12"/>
                <w:szCs w:val="12"/>
                <w:color w:val="auto"/>
              </w:rPr>
              <w:t>2</w:t>
            </w:r>
          </w:p>
        </w:tc>
        <w:tc>
          <w:tcPr>
            <w:tcW w:w="2840" w:type="dxa"/>
            <w:vAlign w:val="bottom"/>
          </w:tcPr>
          <w:p>
            <w:pPr>
              <w:spacing w:after="0"/>
              <w:rPr>
                <w:sz w:val="12"/>
                <w:szCs w:val="12"/>
                <w:color w:val="auto"/>
              </w:rPr>
            </w:pPr>
          </w:p>
        </w:tc>
        <w:tc>
          <w:tcPr>
            <w:tcW w:w="202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95"/>
              </w:rPr>
              <w:t>Commitment/Loans</w:t>
            </w:r>
          </w:p>
        </w:tc>
        <w:tc>
          <w:tcPr>
            <w:tcW w:w="1920" w:type="dxa"/>
            <w:vAlign w:val="bottom"/>
            <w:gridSpan w:val="2"/>
          </w:tcPr>
          <w:p>
            <w:pPr>
              <w:spacing w:after="0" w:line="149" w:lineRule="exact"/>
              <w:rPr>
                <w:sz w:val="20"/>
                <w:szCs w:val="20"/>
                <w:color w:val="auto"/>
              </w:rPr>
            </w:pPr>
            <w:r>
              <w:rPr>
                <w:rFonts w:ascii="Arial" w:cs="Arial" w:eastAsia="Arial" w:hAnsi="Arial"/>
                <w:sz w:val="14"/>
                <w:szCs w:val="14"/>
                <w:color w:val="auto"/>
              </w:rPr>
              <w:t>Commitment/Loans</w:t>
            </w:r>
          </w:p>
        </w:tc>
        <w:tc>
          <w:tcPr>
            <w:tcW w:w="1460" w:type="dxa"/>
            <w:vAlign w:val="bottom"/>
            <w:gridSpan w:val="3"/>
          </w:tcPr>
          <w:p>
            <w:pPr>
              <w:jc w:val="center"/>
              <w:ind w:right="260"/>
              <w:spacing w:after="0" w:line="149" w:lineRule="exact"/>
              <w:rPr>
                <w:sz w:val="20"/>
                <w:szCs w:val="20"/>
                <w:color w:val="auto"/>
              </w:rPr>
            </w:pPr>
            <w:r>
              <w:rPr>
                <w:rFonts w:ascii="Arial" w:cs="Arial" w:eastAsia="Arial" w:hAnsi="Arial"/>
                <w:sz w:val="14"/>
                <w:szCs w:val="14"/>
                <w:color w:val="auto"/>
              </w:rPr>
              <w:t>of</w:t>
            </w:r>
          </w:p>
        </w:tc>
        <w:tc>
          <w:tcPr>
            <w:tcW w:w="0" w:type="dxa"/>
            <w:vAlign w:val="bottom"/>
          </w:tcPr>
          <w:p>
            <w:pPr>
              <w:spacing w:after="0"/>
              <w:rPr>
                <w:sz w:val="1"/>
                <w:szCs w:val="1"/>
                <w:color w:val="auto"/>
              </w:rPr>
            </w:pPr>
          </w:p>
        </w:tc>
      </w:tr>
      <w:tr>
        <w:trPr>
          <w:trHeight w:val="161"/>
        </w:trPr>
        <w:tc>
          <w:tcPr>
            <w:tcW w:w="2140" w:type="dxa"/>
            <w:vAlign w:val="bottom"/>
            <w:gridSpan w:val="4"/>
            <w:vMerge w:val="continue"/>
          </w:tcPr>
          <w:p>
            <w:pPr>
              <w:spacing w:after="0"/>
              <w:rPr>
                <w:sz w:val="13"/>
                <w:szCs w:val="13"/>
                <w:color w:val="auto"/>
              </w:rPr>
            </w:pPr>
          </w:p>
        </w:tc>
        <w:tc>
          <w:tcPr>
            <w:tcW w:w="2840" w:type="dxa"/>
            <w:vAlign w:val="bottom"/>
          </w:tcPr>
          <w:p>
            <w:pPr>
              <w:spacing w:after="0"/>
              <w:rPr>
                <w:sz w:val="13"/>
                <w:szCs w:val="13"/>
                <w:color w:val="auto"/>
              </w:rPr>
            </w:pPr>
          </w:p>
        </w:tc>
        <w:tc>
          <w:tcPr>
            <w:tcW w:w="2020" w:type="dxa"/>
            <w:vAlign w:val="bottom"/>
            <w:gridSpan w:val="2"/>
          </w:tcPr>
          <w:p>
            <w:pPr>
              <w:jc w:val="center"/>
              <w:ind w:right="740"/>
              <w:spacing w:after="0" w:line="154" w:lineRule="exact"/>
              <w:rPr>
                <w:sz w:val="20"/>
                <w:szCs w:val="20"/>
                <w:color w:val="auto"/>
              </w:rPr>
            </w:pPr>
            <w:r>
              <w:rPr>
                <w:rFonts w:ascii="Arial" w:cs="Arial" w:eastAsia="Arial" w:hAnsi="Arial"/>
                <w:sz w:val="14"/>
                <w:szCs w:val="14"/>
                <w:color w:val="auto"/>
                <w:w w:val="94"/>
              </w:rPr>
              <w:t>for all Lenders</w:t>
            </w:r>
          </w:p>
        </w:tc>
        <w:tc>
          <w:tcPr>
            <w:tcW w:w="1920" w:type="dxa"/>
            <w:vAlign w:val="bottom"/>
            <w:gridSpan w:val="2"/>
          </w:tcPr>
          <w:p>
            <w:pPr>
              <w:ind w:left="320"/>
              <w:spacing w:after="0" w:line="154" w:lineRule="exact"/>
              <w:rPr>
                <w:sz w:val="20"/>
                <w:szCs w:val="20"/>
                <w:color w:val="auto"/>
              </w:rPr>
            </w:pPr>
            <w:r>
              <w:rPr>
                <w:rFonts w:ascii="Arial" w:cs="Arial" w:eastAsia="Arial" w:hAnsi="Arial"/>
                <w:sz w:val="14"/>
                <w:szCs w:val="14"/>
                <w:color w:val="auto"/>
              </w:rPr>
              <w:t>Assigned</w:t>
            </w:r>
          </w:p>
        </w:tc>
        <w:tc>
          <w:tcPr>
            <w:tcW w:w="1460" w:type="dxa"/>
            <w:vAlign w:val="bottom"/>
            <w:gridSpan w:val="3"/>
          </w:tcPr>
          <w:p>
            <w:pPr>
              <w:jc w:val="center"/>
              <w:ind w:right="240"/>
              <w:spacing w:after="0" w:line="154" w:lineRule="exact"/>
              <w:rPr>
                <w:sz w:val="20"/>
                <w:szCs w:val="20"/>
                <w:color w:val="auto"/>
              </w:rPr>
            </w:pPr>
            <w:r>
              <w:rPr>
                <w:rFonts w:ascii="Arial" w:cs="Arial" w:eastAsia="Arial" w:hAnsi="Arial"/>
                <w:sz w:val="14"/>
                <w:szCs w:val="14"/>
                <w:color w:val="auto"/>
                <w:w w:val="95"/>
              </w:rPr>
              <w:t>Commitment/Loans</w:t>
            </w:r>
            <w:r>
              <w:rPr>
                <w:rFonts w:ascii="Arial" w:cs="Arial" w:eastAsia="Arial" w:hAnsi="Arial"/>
                <w:sz w:val="12"/>
                <w:szCs w:val="12"/>
                <w:color w:val="auto"/>
                <w:w w:val="95"/>
              </w:rPr>
              <w:t>3</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100" w:type="dxa"/>
            <w:vAlign w:val="bottom"/>
            <w:gridSpan w:val="2"/>
          </w:tcPr>
          <w:p>
            <w:pPr>
              <w:ind w:left="284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ind w:left="28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1400" w:type="dxa"/>
            <w:vAlign w:val="bottom"/>
            <w:gridSpan w:val="2"/>
          </w:tcPr>
          <w:p>
            <w:pPr>
              <w:spacing w:after="0"/>
              <w:rPr>
                <w:sz w:val="20"/>
                <w:szCs w:val="20"/>
                <w:color w:val="auto"/>
              </w:rPr>
            </w:pPr>
            <w:r>
              <w:rPr>
                <w:rFonts w:ascii="Arial" w:cs="Arial" w:eastAsia="Arial" w:hAnsi="Arial"/>
                <w:sz w:val="18"/>
                <w:szCs w:val="18"/>
                <w:color w:val="auto"/>
              </w:rPr>
              <w:t>Effective Date:</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 201</w:t>
            </w:r>
          </w:p>
        </w:tc>
        <w:tc>
          <w:tcPr>
            <w:tcW w:w="8240" w:type="dxa"/>
            <w:vAlign w:val="bottom"/>
            <w:gridSpan w:val="8"/>
          </w:tcPr>
          <w:p>
            <w:pPr>
              <w:ind w:left="80"/>
              <w:spacing w:after="0"/>
              <w:rPr>
                <w:sz w:val="20"/>
                <w:szCs w:val="20"/>
                <w:color w:val="auto"/>
              </w:rPr>
            </w:pPr>
            <w:r>
              <w:rPr>
                <w:rFonts w:ascii="Arial" w:cs="Arial" w:eastAsia="Arial" w:hAnsi="Arial"/>
                <w:sz w:val="18"/>
                <w:szCs w:val="18"/>
                <w:color w:val="auto"/>
                <w:w w:val="97"/>
              </w:rPr>
              <w:t>[TO BE INSERTED BY ADMINISTRATIVE AGENT AND WHICH SHALL BE THE EFFECTIVE DATE OF</w:t>
            </w:r>
          </w:p>
        </w:tc>
        <w:tc>
          <w:tcPr>
            <w:tcW w:w="0" w:type="dxa"/>
            <w:vAlign w:val="bottom"/>
          </w:tcPr>
          <w:p>
            <w:pPr>
              <w:spacing w:after="0"/>
              <w:rPr>
                <w:sz w:val="1"/>
                <w:szCs w:val="1"/>
                <w:color w:val="auto"/>
              </w:rPr>
            </w:pPr>
          </w:p>
        </w:tc>
      </w:tr>
      <w:tr>
        <w:trPr>
          <w:trHeight w:val="230"/>
        </w:trPr>
        <w:tc>
          <w:tcPr>
            <w:tcW w:w="7000" w:type="dxa"/>
            <w:vAlign w:val="bottom"/>
            <w:gridSpan w:val="7"/>
          </w:tcPr>
          <w:p>
            <w:pPr>
              <w:spacing w:after="0"/>
              <w:rPr>
                <w:sz w:val="20"/>
                <w:szCs w:val="20"/>
                <w:color w:val="auto"/>
              </w:rPr>
            </w:pPr>
            <w:r>
              <w:rPr>
                <w:rFonts w:ascii="Arial" w:cs="Arial" w:eastAsia="Arial" w:hAnsi="Arial"/>
                <w:sz w:val="18"/>
                <w:szCs w:val="18"/>
                <w:color w:val="auto"/>
              </w:rPr>
              <w:t>RECORDATION OF TRANSFER IN THE REGISTER THEREFOR.]</w:t>
            </w:r>
          </w:p>
        </w:tc>
        <w:tc>
          <w:tcPr>
            <w:tcW w:w="1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terms set forth in this Assignment and Assumption are hereby agreed to:</w:t>
      </w:r>
    </w:p>
    <w:p>
      <w:pPr>
        <w:spacing w:after="0" w:line="252" w:lineRule="exact"/>
        <w:rPr>
          <w:sz w:val="20"/>
          <w:szCs w:val="20"/>
          <w:color w:val="auto"/>
        </w:rPr>
      </w:pPr>
    </w:p>
    <w:p>
      <w:pPr>
        <w:ind w:left="6760"/>
        <w:spacing w:after="0"/>
        <w:rPr>
          <w:sz w:val="20"/>
          <w:szCs w:val="20"/>
          <w:color w:val="auto"/>
        </w:rPr>
      </w:pPr>
      <w:r>
        <w:rPr>
          <w:rFonts w:ascii="Arial" w:cs="Arial" w:eastAsia="Arial" w:hAnsi="Arial"/>
          <w:sz w:val="18"/>
          <w:szCs w:val="18"/>
          <w:u w:val="single" w:color="auto"/>
          <w:color w:val="auto"/>
        </w:rPr>
        <w:t>ASSIGNOR</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OF ASSIGNOR]</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14605</wp:posOffset>
            </wp:positionV>
            <wp:extent cx="261429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6"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u w:val="single" w:color="auto"/>
          <w:color w:val="auto"/>
        </w:rPr>
        <w:t>ASSIGNEE</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OF ASSIGNEE]</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14605</wp:posOffset>
            </wp:positionV>
            <wp:extent cx="261429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6"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120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78" w:lineRule="exact"/>
        <w:rPr>
          <w:sz w:val="20"/>
          <w:szCs w:val="20"/>
          <w:color w:val="auto"/>
        </w:rPr>
      </w:pPr>
    </w:p>
    <w:p>
      <w:pPr>
        <w:ind w:left="220" w:right="300" w:hanging="212"/>
        <w:spacing w:after="0" w:line="258" w:lineRule="auto"/>
        <w:tabs>
          <w:tab w:leader="none" w:pos="220" w:val="left"/>
        </w:tabs>
        <w:numPr>
          <w:ilvl w:val="0"/>
          <w:numId w:val="177"/>
        </w:numPr>
        <w:rPr>
          <w:rFonts w:ascii="Arial" w:cs="Arial" w:eastAsia="Arial" w:hAnsi="Arial"/>
          <w:sz w:val="15"/>
          <w:szCs w:val="15"/>
          <w:color w:val="auto"/>
        </w:rPr>
      </w:pPr>
      <w:r>
        <w:rPr>
          <w:rFonts w:ascii="Arial" w:cs="Arial" w:eastAsia="Arial" w:hAnsi="Arial"/>
          <w:sz w:val="18"/>
          <w:szCs w:val="18"/>
          <w:color w:val="auto"/>
        </w:rPr>
        <w:t>Fill in the appropriate terminology for the types of facilities under the Credit Agreement that are being assigned under this Assignment (e.g. “Dollar Commitment”, “Multicurrency Commitment”, etc.).</w:t>
      </w:r>
    </w:p>
    <w:p>
      <w:pPr>
        <w:ind w:left="5480" w:right="3700" w:hanging="5472"/>
        <w:spacing w:after="0" w:line="434" w:lineRule="auto"/>
        <w:tabs>
          <w:tab w:leader="none" w:pos="215" w:val="left"/>
        </w:tabs>
        <w:numPr>
          <w:ilvl w:val="0"/>
          <w:numId w:val="178"/>
        </w:numPr>
        <w:rPr>
          <w:rFonts w:ascii="Arial" w:cs="Arial" w:eastAsia="Arial" w:hAnsi="Arial"/>
          <w:sz w:val="15"/>
          <w:szCs w:val="15"/>
          <w:color w:val="auto"/>
        </w:rPr>
      </w:pPr>
      <w:r>
        <w:rPr>
          <w:rFonts w:ascii="Arial" w:cs="Arial" w:eastAsia="Arial" w:hAnsi="Arial"/>
          <w:sz w:val="18"/>
          <w:szCs w:val="18"/>
          <w:color w:val="auto"/>
        </w:rPr>
        <w:t>Set forth, to at least 9 decimals, as a percentage of the Commitment/Loans of all Lenders thereunder. 154</w:t>
      </w:r>
    </w:p>
    <w:p>
      <w:pPr>
        <w:sectPr>
          <w:pgSz w:w="11900" w:h="16838" w:orient="portrait"/>
          <w:cols w:equalWidth="0" w:num="1">
            <w:col w:w="11180"/>
          </w:cols>
          <w:pgMar w:left="320" w:top="274" w:right="39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[Consented to and]</w:t>
      </w:r>
      <w:r>
        <w:rPr>
          <w:rFonts w:ascii="Arial" w:cs="Arial" w:eastAsia="Arial" w:hAnsi="Arial"/>
          <w:sz w:val="15"/>
          <w:szCs w:val="15"/>
          <w:color w:val="auto"/>
        </w:rPr>
        <w:t>4</w:t>
      </w:r>
      <w:r>
        <w:rPr>
          <w:rFonts w:ascii="Arial" w:cs="Arial" w:eastAsia="Arial" w:hAnsi="Arial"/>
          <w:sz w:val="18"/>
          <w:szCs w:val="18"/>
          <w:color w:val="auto"/>
        </w:rPr>
        <w:t xml:space="preserve"> 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SUNTRUST BANK, 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14605</wp:posOffset>
            </wp:positionV>
            <wp:extent cx="261429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SUNTRUST BANK, 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Issuing Bank</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14605</wp:posOffset>
            </wp:positionV>
            <wp:extent cx="261429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[Consented to:]</w:t>
      </w:r>
      <w:r>
        <w:rPr>
          <w:rFonts w:ascii="Arial" w:cs="Arial" w:eastAsia="Arial" w:hAnsi="Arial"/>
          <w:sz w:val="15"/>
          <w:szCs w:val="15"/>
          <w:color w:val="auto"/>
        </w:rPr>
        <w:t>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14605</wp:posOffset>
            </wp:positionV>
            <wp:extent cx="261429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120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78" w:lineRule="exact"/>
        <w:rPr>
          <w:sz w:val="20"/>
          <w:szCs w:val="20"/>
          <w:color w:val="auto"/>
        </w:rPr>
      </w:pPr>
    </w:p>
    <w:p>
      <w:pPr>
        <w:ind w:left="220" w:hanging="212"/>
        <w:spacing w:after="0"/>
        <w:tabs>
          <w:tab w:leader="none" w:pos="220" w:val="left"/>
        </w:tabs>
        <w:numPr>
          <w:ilvl w:val="0"/>
          <w:numId w:val="179"/>
        </w:numPr>
        <w:rPr>
          <w:rFonts w:ascii="Arial" w:cs="Arial" w:eastAsia="Arial" w:hAnsi="Arial"/>
          <w:sz w:val="13"/>
          <w:szCs w:val="13"/>
          <w:color w:val="auto"/>
        </w:rPr>
      </w:pPr>
      <w:r>
        <w:rPr>
          <w:rFonts w:ascii="Arial" w:cs="Arial" w:eastAsia="Arial" w:hAnsi="Arial"/>
          <w:sz w:val="16"/>
          <w:szCs w:val="16"/>
          <w:color w:val="auto"/>
        </w:rPr>
        <w:t>To be added only if the consent of the Administrative Agent is required by the terms of the Credit Agreement.</w:t>
      </w:r>
    </w:p>
    <w:p>
      <w:pPr>
        <w:spacing w:after="0" w:line="45" w:lineRule="exact"/>
        <w:rPr>
          <w:sz w:val="20"/>
          <w:szCs w:val="20"/>
          <w:color w:val="auto"/>
        </w:rPr>
      </w:pPr>
    </w:p>
    <w:p>
      <w:pPr>
        <w:ind w:left="5480" w:right="2599" w:hanging="5472"/>
        <w:spacing w:after="0" w:line="434" w:lineRule="auto"/>
        <w:tabs>
          <w:tab w:leader="none" w:pos="215" w:val="left"/>
        </w:tabs>
        <w:numPr>
          <w:ilvl w:val="0"/>
          <w:numId w:val="180"/>
        </w:numPr>
        <w:rPr>
          <w:rFonts w:ascii="Arial" w:cs="Arial" w:eastAsia="Arial" w:hAnsi="Arial"/>
          <w:sz w:val="15"/>
          <w:szCs w:val="15"/>
          <w:color w:val="auto"/>
        </w:rPr>
      </w:pPr>
      <w:r>
        <w:rPr>
          <w:rFonts w:ascii="Arial" w:cs="Arial" w:eastAsia="Arial" w:hAnsi="Arial"/>
          <w:sz w:val="18"/>
          <w:szCs w:val="18"/>
          <w:color w:val="auto"/>
        </w:rPr>
        <w:t>To be added only when the consent of the Borrower is required by the terms of the Credit Agreement. 155</w:t>
      </w:r>
    </w:p>
    <w:p>
      <w:pPr>
        <w:sectPr>
          <w:pgSz w:w="11900" w:h="16838" w:orient="portrait"/>
          <w:cols w:equalWidth="0" w:num="1">
            <w:col w:w="10139"/>
          </w:cols>
          <w:pgMar w:left="320" w:top="274" w:right="1440" w:bottom="1440" w:gutter="0" w:footer="0" w:header="0"/>
        </w:sectPr>
      </w:pPr>
    </w:p>
    <w:bookmarkStart w:id="166" w:name="page167"/>
    <w:bookmarkEnd w:id="16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ANNEX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STANDARD TERMS AND CONDITIONS FOR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AND ASSUMPTION</w:t>
      </w:r>
    </w:p>
    <w:p>
      <w:pPr>
        <w:spacing w:after="0" w:line="21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 Representative and Warranties.</w:t>
      </w:r>
    </w:p>
    <w:p>
      <w:pPr>
        <w:spacing w:after="0" w:line="225" w:lineRule="exact"/>
        <w:rPr>
          <w:sz w:val="20"/>
          <w:szCs w:val="20"/>
          <w:color w:val="auto"/>
        </w:rPr>
      </w:pPr>
    </w:p>
    <w:p>
      <w:pPr>
        <w:ind w:right="240" w:firstLine="898"/>
        <w:spacing w:after="0" w:line="291"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Assignor</w:t>
      </w:r>
      <w:r>
        <w:rPr>
          <w:rFonts w:ascii="Arial" w:cs="Arial" w:eastAsia="Arial" w:hAnsi="Arial"/>
          <w:sz w:val="16"/>
          <w:szCs w:val="16"/>
          <w:color w:val="auto"/>
        </w:rPr>
        <w:t>. The Assignor (a)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Borrower, any of its Subsidiaries or Affiliates or any other Person obligated in respect of any Loan Document or (iv) the performance or observance by the Borrower, any of its Subsidiaries or Affiliates or any other Person of any of their respective obligations under any Loan Document.</w:t>
      </w:r>
    </w:p>
    <w:p>
      <w:pPr>
        <w:spacing w:after="0" w:line="166" w:lineRule="exact"/>
        <w:rPr>
          <w:sz w:val="20"/>
          <w:szCs w:val="20"/>
          <w:color w:val="auto"/>
        </w:rPr>
      </w:pPr>
    </w:p>
    <w:p>
      <w:pPr>
        <w:ind w:firstLine="898"/>
        <w:spacing w:after="0" w:line="286"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Assignee</w:t>
      </w:r>
      <w:r>
        <w:rPr>
          <w:rFonts w:ascii="Arial" w:cs="Arial" w:eastAsia="Arial" w:hAnsi="Arial"/>
          <w:sz w:val="16"/>
          <w:szCs w:val="16"/>
          <w:color w:val="auto"/>
        </w:rPr>
        <w:t>. The Assignee (a) represents and warrants that (i) it has full power and authority, and has taken all action necessary, to execute and deliver this Assignment and Assumption and to consummate the transactions contemplated hereby and to become a Lender under the Credit Agreement, (ii) it satisfies the requirements, if any, specified in the Credit Agreement that are required to be satisfied by it in order to acquire the Assigned Interest and become a Lender, (iii) from and after the Effective Date, it shall be bound by the provisions of the Credit Agreement as a Lender thereunder and, to the extent of the Assigned Interest, shall have the obligations of a Lender thereunder, (iv) it has received a copy of the Credit Agreement, together with copies of the most recent financial statements delivered pursuant to Section 5.01 thereof, as applicable,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the Administrative Agent or any other Lender, and (v) if it is a Foreign Lender, attached to the Assignment and Assumption is any documentation required to be delivered by it pursuant to the terms of the Credit Agreement, duly completed and executed by the Assignee; and (b) agrees that (i) it will, independently and without reliance on the Administrative Agent, the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174" w:lineRule="exact"/>
        <w:rPr>
          <w:sz w:val="20"/>
          <w:szCs w:val="20"/>
          <w:color w:val="auto"/>
        </w:rPr>
      </w:pPr>
    </w:p>
    <w:p>
      <w:pPr>
        <w:ind w:right="120" w:firstLine="906"/>
        <w:spacing w:after="0" w:line="263" w:lineRule="auto"/>
        <w:tabs>
          <w:tab w:leader="none" w:pos="1078"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From and after the Effective Date, the Administrative Agent shall make all payments in respect of the Assigned Interest (including payments of principal, interest, fees and other amounts) to the Assignor for amounts which have accrued up to but excluding the Effective Date and to the Assignee for amounts which have accrued from and after the Effective Date.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40"/>
          </w:cols>
          <w:pgMar w:left="320" w:top="274" w:right="339" w:bottom="1440" w:gutter="0" w:footer="0" w:header="0"/>
        </w:sectPr>
      </w:pPr>
    </w:p>
    <w:bookmarkStart w:id="167" w:name="page168"/>
    <w:bookmarkEnd w:id="167"/>
    <w:p>
      <w:pPr>
        <w:ind w:left="-200" w:firstLine="906"/>
        <w:spacing w:after="0" w:line="275" w:lineRule="auto"/>
        <w:tabs>
          <w:tab w:leader="none" w:pos="878" w:val="left"/>
        </w:tabs>
        <w:numPr>
          <w:ilvl w:val="0"/>
          <w:numId w:val="18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General Provisions</w:t>
      </w:r>
      <w:r>
        <w:rPr>
          <w:rFonts w:ascii="Arial" w:cs="Arial" w:eastAsia="Arial" w:hAnsi="Arial"/>
          <w:sz w:val="17"/>
          <w:szCs w:val="17"/>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email or other electronic method of transmission shall be effective as deliver of a manually executed counterpart of this Assignment and Assumption. This Assignment and Assumption shall be governed by, and construed in accordance with, the law of the State of New York.</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0860"/>
          </w:cols>
          <w:pgMar w:left="520" w:top="274" w:right="519" w:bottom="1440" w:gutter="0" w:footer="0" w:header="0"/>
        </w:sectPr>
      </w:pPr>
    </w:p>
    <w:bookmarkStart w:id="168" w:name="page169"/>
    <w:bookmarkEnd w:id="168"/>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B</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FORM OF BORROWING BASE CERTIFICATE</w:t>
      </w:r>
    </w:p>
    <w:p>
      <w:pPr>
        <w:spacing w:after="0" w:line="225" w:lineRule="exact"/>
        <w:rPr>
          <w:sz w:val="20"/>
          <w:szCs w:val="20"/>
          <w:color w:val="auto"/>
        </w:rPr>
      </w:pPr>
    </w:p>
    <w:tbl>
      <w:tblPr>
        <w:tblLayout w:type="fixed"/>
        <w:tblInd w:w="376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r>
              <w:rPr>
                <w:rFonts w:ascii="Arial" w:cs="Arial" w:eastAsia="Arial" w:hAnsi="Arial"/>
                <w:sz w:val="18"/>
                <w:szCs w:val="18"/>
                <w:b w:val="1"/>
                <w:bCs w:val="1"/>
                <w:color w:val="auto"/>
                <w:w w:val="99"/>
              </w:rPr>
              <w:t>Monthly accounting period ended</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 201</w:t>
            </w:r>
          </w:p>
        </w:tc>
      </w:tr>
    </w:tbl>
    <w:p>
      <w:pPr>
        <w:spacing w:after="0" w:line="202" w:lineRule="exact"/>
        <w:rPr>
          <w:sz w:val="20"/>
          <w:szCs w:val="20"/>
          <w:color w:val="auto"/>
        </w:rPr>
      </w:pPr>
    </w:p>
    <w:p>
      <w:pPr>
        <w:ind w:right="140" w:firstLine="449"/>
        <w:spacing w:after="0" w:line="279" w:lineRule="auto"/>
        <w:rPr>
          <w:sz w:val="20"/>
          <w:szCs w:val="20"/>
          <w:color w:val="auto"/>
        </w:rPr>
      </w:pPr>
      <w:r>
        <w:rPr>
          <w:rFonts w:ascii="Arial" w:cs="Arial" w:eastAsia="Arial" w:hAnsi="Arial"/>
          <w:sz w:val="17"/>
          <w:szCs w:val="17"/>
          <w:color w:val="auto"/>
        </w:rPr>
        <w:t>Reference is made to that certain Second Amended and Restated Senior Secured Revolving Credit Agreement, dated as of June 25, 2014 (as amended, restated,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by and among PENNANTPARK INVESTMENT CORPORATION, a Maryland corporation (the “</w:t>
      </w:r>
      <w:r>
        <w:rPr>
          <w:rFonts w:ascii="Arial" w:cs="Arial" w:eastAsia="Arial" w:hAnsi="Arial"/>
          <w:sz w:val="17"/>
          <w:szCs w:val="17"/>
          <w:u w:val="single" w:color="auto"/>
          <w:color w:val="auto"/>
        </w:rPr>
        <w:t>Borrower</w:t>
      </w:r>
      <w:r>
        <w:rPr>
          <w:rFonts w:ascii="Arial" w:cs="Arial" w:eastAsia="Arial" w:hAnsi="Arial"/>
          <w:sz w:val="17"/>
          <w:szCs w:val="17"/>
          <w:color w:val="auto"/>
        </w:rPr>
        <w:t>”), the financial institutions party thereto as Lenders, and SunTrust Bank, as the Administrative Agent. Capitalized terms used herein without definition are so used as defined in the Credit Agreement.</w:t>
      </w:r>
    </w:p>
    <w:p>
      <w:pPr>
        <w:spacing w:after="0" w:line="171" w:lineRule="exact"/>
        <w:rPr>
          <w:sz w:val="20"/>
          <w:szCs w:val="20"/>
          <w:color w:val="auto"/>
        </w:rPr>
      </w:pPr>
    </w:p>
    <w:p>
      <w:pPr>
        <w:ind w:left="460"/>
        <w:spacing w:after="0"/>
        <w:tabs>
          <w:tab w:leader="none" w:pos="6700" w:val="left"/>
        </w:tabs>
        <w:rPr>
          <w:sz w:val="20"/>
          <w:szCs w:val="20"/>
          <w:color w:val="auto"/>
        </w:rPr>
      </w:pPr>
      <w:r>
        <w:rPr>
          <w:rFonts w:ascii="Arial" w:cs="Arial" w:eastAsia="Arial" w:hAnsi="Arial"/>
          <w:sz w:val="18"/>
          <w:szCs w:val="18"/>
          <w:color w:val="auto"/>
        </w:rPr>
        <w:t>Pursuant to Section 5.01(d) of the Credit Agreement, the undersigned, the</w:t>
      </w:r>
      <w:r>
        <w:rPr>
          <w:sz w:val="20"/>
          <w:szCs w:val="20"/>
          <w:color w:val="auto"/>
        </w:rPr>
        <w:tab/>
      </w:r>
      <w:r>
        <w:rPr>
          <w:rFonts w:ascii="Arial" w:cs="Arial" w:eastAsia="Arial" w:hAnsi="Arial"/>
          <w:sz w:val="16"/>
          <w:szCs w:val="16"/>
          <w:color w:val="auto"/>
        </w:rPr>
        <w:t>of the Borrower, and as such a Financial Officer of the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Borrower, hereby certifies, represents and warrants on behalf of the Borrower that (a) attached hereto as </w:t>
      </w:r>
      <w:r>
        <w:rPr>
          <w:rFonts w:ascii="Arial" w:cs="Arial" w:eastAsia="Arial" w:hAnsi="Arial"/>
          <w:sz w:val="16"/>
          <w:szCs w:val="16"/>
          <w:u w:val="single" w:color="auto"/>
          <w:color w:val="auto"/>
        </w:rPr>
        <w:t>Annex 1</w:t>
      </w:r>
      <w:r>
        <w:rPr>
          <w:rFonts w:ascii="Arial" w:cs="Arial" w:eastAsia="Arial" w:hAnsi="Arial"/>
          <w:sz w:val="16"/>
          <w:szCs w:val="16"/>
          <w:color w:val="auto"/>
        </w:rPr>
        <w:t xml:space="preserve"> is (i) a complete and correct list as at the</w:t>
      </w:r>
    </w:p>
    <w:p>
      <w:pPr>
        <w:spacing w:after="0" w:line="32"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color w:val="auto"/>
        </w:rPr>
        <w:t>end of the monthly accounting period ended , 201 of all Portfolio Investments included in the Collateral and (ii) a true and correct calculation of the Borrowing Base as at the end of such monthly accounting period determined in accordance with the requirements of the Credit Agreement, and</w:t>
      </w:r>
    </w:p>
    <w:p>
      <w:pPr>
        <w:ind w:firstLine="8"/>
        <w:spacing w:after="0" w:line="260" w:lineRule="auto"/>
        <w:tabs>
          <w:tab w:leader="none" w:pos="255" w:val="left"/>
        </w:tabs>
        <w:numPr>
          <w:ilvl w:val="0"/>
          <w:numId w:val="183"/>
        </w:numPr>
        <w:rPr>
          <w:rFonts w:ascii="Arial" w:cs="Arial" w:eastAsia="Arial" w:hAnsi="Arial"/>
          <w:sz w:val="18"/>
          <w:szCs w:val="18"/>
          <w:color w:val="auto"/>
        </w:rPr>
      </w:pPr>
      <w:r>
        <w:rPr>
          <w:rFonts w:ascii="Arial" w:cs="Arial" w:eastAsia="Arial" w:hAnsi="Arial"/>
          <w:sz w:val="18"/>
          <w:szCs w:val="18"/>
          <w:color w:val="auto"/>
        </w:rPr>
        <w:t>without limiting the generality of the foregoing, all Portfolio Investments included in the calculation of the Borrowing Base herein have been Delivered (as defined in the Guarantee and Security Agreement) to the Collateral Agent.</w:t>
      </w:r>
    </w:p>
    <w:p>
      <w:pPr>
        <w:spacing w:after="0" w:line="185" w:lineRule="exact"/>
        <w:rPr>
          <w:sz w:val="20"/>
          <w:szCs w:val="20"/>
          <w:color w:val="auto"/>
        </w:rPr>
      </w:pPr>
    </w:p>
    <w:p>
      <w:pPr>
        <w:ind w:left="460"/>
        <w:spacing w:after="0"/>
        <w:tabs>
          <w:tab w:leader="none" w:pos="8160" w:val="left"/>
          <w:tab w:leader="none" w:pos="9200" w:val="left"/>
          <w:tab w:leader="none" w:pos="9740" w:val="left"/>
        </w:tabs>
        <w:rPr>
          <w:sz w:val="20"/>
          <w:szCs w:val="20"/>
          <w:color w:val="auto"/>
        </w:rPr>
      </w:pPr>
      <w:r>
        <w:rPr>
          <w:rFonts w:ascii="Arial" w:cs="Arial" w:eastAsia="Arial" w:hAnsi="Arial"/>
          <w:sz w:val="18"/>
          <w:szCs w:val="18"/>
          <w:color w:val="auto"/>
        </w:rPr>
        <w:t>IN WITNESS WHEREOF, the undersigned has caused this certificate to be duly executed as of the</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8"/>
          <w:szCs w:val="18"/>
          <w:color w:val="auto"/>
        </w:rPr>
        <w:t>, 201</w:t>
      </w:r>
      <w:r>
        <w:rPr>
          <w:sz w:val="20"/>
          <w:szCs w:val="20"/>
          <w:color w:val="auto"/>
        </w:rPr>
        <w:tab/>
      </w:r>
      <w:r>
        <w:rPr>
          <w:rFonts w:ascii="Arial" w:cs="Arial" w:eastAsia="Arial" w:hAnsi="Arial"/>
          <w:sz w:val="13"/>
          <w:szCs w:val="13"/>
          <w:color w:val="auto"/>
        </w:rPr>
        <w:t>.</w:t>
      </w:r>
    </w:p>
    <w:p>
      <w:pPr>
        <w:spacing w:after="0" w:line="25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PENNANTPARK INVESTMENT CORPORATION</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14605</wp:posOffset>
            </wp:positionV>
            <wp:extent cx="24688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158</w:t>
      </w:r>
    </w:p>
    <w:sectPr>
      <w:pgSz w:w="11900" w:h="16838" w:orient="portrait"/>
      <w:cols w:equalWidth="0" w:num="1">
        <w:col w:w="11180"/>
      </w:cols>
      <w:pgMar w:left="320" w:top="27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9EE015C"/>
    <w:multiLevelType w:val="hybridMultilevel"/>
    <w:lvl w:ilvl="0">
      <w:lvlJc w:val="left"/>
      <w:lvlText w:val="☐"/>
      <w:numFmt w:val="bullet"/>
      <w:start w:val="1"/>
    </w:lvl>
  </w:abstractNum>
  <w:abstractNum w:abstractNumId="1">
    <w:nsid w:val="57FC4FBB"/>
    <w:multiLevelType w:val="hybridMultilevel"/>
    <w:lvl w:ilvl="0">
      <w:lvlJc w:val="left"/>
      <w:lvlText w:val="(%1)"/>
      <w:numFmt w:val="lowerLetter"/>
      <w:start w:val="2"/>
    </w:lvl>
  </w:abstractNum>
  <w:abstractNum w:abstractNumId="2">
    <w:nsid w:val="CC1016F"/>
    <w:multiLevelType w:val="hybridMultilevel"/>
    <w:lvl w:ilvl="0">
      <w:lvlJc w:val="left"/>
      <w:lvlText w:val="(%1)"/>
      <w:numFmt w:val="lowerLetter"/>
      <w:start w:val="9"/>
    </w:lvl>
  </w:abstractNum>
  <w:abstractNum w:abstractNumId="3">
    <w:nsid w:val="43F18422"/>
    <w:multiLevelType w:val="hybridMultilevel"/>
    <w:lvl w:ilvl="0">
      <w:lvlJc w:val="left"/>
      <w:lvlText w:val="(%1)"/>
      <w:numFmt w:val="lowerLetter"/>
      <w:start w:val="1"/>
    </w:lvl>
  </w:abstractNum>
  <w:abstractNum w:abstractNumId="4">
    <w:nsid w:val="60EF0119"/>
    <w:multiLevelType w:val="hybridMultilevel"/>
    <w:lvl w:ilvl="0">
      <w:lvlJc w:val="left"/>
      <w:lvlText w:val="(%1)"/>
      <w:numFmt w:val="decimal"/>
      <w:start w:val="212"/>
    </w:lvl>
  </w:abstractNum>
  <w:abstractNum w:abstractNumId="5">
    <w:nsid w:val="26F324BA"/>
    <w:multiLevelType w:val="hybridMultilevel"/>
    <w:lvl w:ilvl="0">
      <w:lvlJc w:val="left"/>
      <w:lvlText w:val="(%1)"/>
      <w:numFmt w:val="lowerLetter"/>
      <w:start w:val="7"/>
    </w:lvl>
  </w:abstractNum>
  <w:abstractNum w:abstractNumId="6">
    <w:nsid w:val="7F01579B"/>
    <w:multiLevelType w:val="hybridMultilevel"/>
    <w:lvl w:ilvl="0">
      <w:lvlJc w:val="left"/>
      <w:lvlText w:val="%1"/>
      <w:numFmt w:val="lowerLetter"/>
      <w:start w:val="1"/>
    </w:lvl>
    <w:lvl w:ilvl="1">
      <w:lvlJc w:val="left"/>
      <w:lvlText w:val="(%2)"/>
      <w:numFmt w:val="lowerLetter"/>
      <w:start w:val="1"/>
    </w:lvl>
  </w:abstractNum>
  <w:abstractNum w:abstractNumId="7">
    <w:nsid w:val="49DA307D"/>
    <w:multiLevelType w:val="hybridMultilevel"/>
    <w:lvl w:ilvl="0">
      <w:lvlJc w:val="left"/>
      <w:lvlText w:val="(%1)"/>
      <w:numFmt w:val="lowerLetter"/>
      <w:start w:val="9"/>
    </w:lvl>
    <w:lvl w:ilvl="1">
      <w:lvlJc w:val="left"/>
      <w:lvlText w:val="(%2)"/>
      <w:numFmt w:val="lowerLetter"/>
      <w:start w:val="4"/>
    </w:lvl>
  </w:abstractNum>
  <w:abstractNum w:abstractNumId="8">
    <w:nsid w:val="7055A5F5"/>
    <w:multiLevelType w:val="hybridMultilevel"/>
    <w:lvl w:ilvl="0">
      <w:lvlJc w:val="left"/>
      <w:lvlText w:val="(%1)"/>
      <w:numFmt w:val="lowerLetter"/>
      <w:start w:val="2"/>
    </w:lvl>
  </w:abstractNum>
  <w:abstractNum w:abstractNumId="9">
    <w:nsid w:val="5FB8370B"/>
    <w:multiLevelType w:val="hybridMultilevel"/>
    <w:lvl w:ilvl="0">
      <w:lvlJc w:val="left"/>
      <w:lvlText w:val="(%1)"/>
      <w:numFmt w:val="lowerRoman"/>
      <w:start w:val="2"/>
    </w:lvl>
  </w:abstractNum>
  <w:abstractNum w:abstractNumId="10">
    <w:nsid w:val="50801EE1"/>
    <w:multiLevelType w:val="hybridMultilevel"/>
    <w:lvl w:ilvl="0">
      <w:lvlJc w:val="left"/>
      <w:lvlText w:val="(%1)"/>
      <w:numFmt w:val="lowerLetter"/>
      <w:start w:val="3"/>
    </w:lvl>
  </w:abstractNum>
  <w:abstractNum w:abstractNumId="11">
    <w:nsid w:val="488AC1A"/>
    <w:multiLevelType w:val="hybridMultilevel"/>
    <w:lvl w:ilvl="0">
      <w:lvlJc w:val="left"/>
      <w:lvlText w:val="(%1)"/>
      <w:numFmt w:val="lowerLetter"/>
      <w:start w:val="2"/>
    </w:lvl>
  </w:abstractNum>
  <w:abstractNum w:abstractNumId="12">
    <w:nsid w:val="5FB8011C"/>
    <w:multiLevelType w:val="hybridMultilevel"/>
    <w:lvl w:ilvl="0">
      <w:lvlJc w:val="left"/>
      <w:lvlText w:val="(%1)"/>
      <w:numFmt w:val="lowerLetter"/>
      <w:start w:val="1"/>
    </w:lvl>
  </w:abstractNum>
  <w:abstractNum w:abstractNumId="13">
    <w:nsid w:val="6AA78F7F"/>
    <w:multiLevelType w:val="hybridMultilevel"/>
    <w:lvl w:ilvl="0">
      <w:lvlJc w:val="left"/>
      <w:lvlText w:val="%1"/>
      <w:numFmt w:val="decimal"/>
      <w:start w:val="1"/>
    </w:lvl>
    <w:lvl w:ilvl="1">
      <w:lvlJc w:val="left"/>
      <w:lvlText w:val="(%2)"/>
      <w:numFmt w:val="lowerLetter"/>
      <w:start w:val="2"/>
    </w:lvl>
  </w:abstractNum>
  <w:abstractNum w:abstractNumId="14">
    <w:nsid w:val="7672BD23"/>
    <w:multiLevelType w:val="hybridMultilevel"/>
    <w:lvl w:ilvl="0">
      <w:lvlJc w:val="left"/>
      <w:lvlText w:val="(%1)"/>
      <w:numFmt w:val="lowerLetter"/>
      <w:start w:val="6"/>
    </w:lvl>
  </w:abstractNum>
  <w:abstractNum w:abstractNumId="15">
    <w:nsid w:val="6FC75AF8"/>
    <w:multiLevelType w:val="hybridMultilevel"/>
    <w:lvl w:ilvl="0">
      <w:lvlJc w:val="left"/>
      <w:lvlText w:val="(%1)"/>
      <w:numFmt w:val="lowerLetter"/>
      <w:start w:val="1"/>
    </w:lvl>
  </w:abstractNum>
  <w:abstractNum w:abstractNumId="16">
    <w:nsid w:val="6A5F7029"/>
    <w:multiLevelType w:val="hybridMultilevel"/>
    <w:lvl w:ilvl="0">
      <w:lvlJc w:val="left"/>
      <w:lvlText w:val="(%1)"/>
      <w:numFmt w:val="lowerLetter"/>
      <w:start w:val="35"/>
    </w:lvl>
    <w:lvl w:ilvl="1">
      <w:lvlJc w:val="left"/>
      <w:lvlText w:val="%2"/>
      <w:numFmt w:val="lowerLetter"/>
      <w:start w:val="1"/>
    </w:lvl>
  </w:abstractNum>
  <w:abstractNum w:abstractNumId="17">
    <w:nsid w:val="7D5E18F8"/>
    <w:multiLevelType w:val="hybridMultilevel"/>
    <w:lvl w:ilvl="0">
      <w:lvlJc w:val="left"/>
      <w:lvlText w:val="(%1)"/>
      <w:numFmt w:val="lowerLetter"/>
      <w:start w:val="22"/>
    </w:lvl>
    <w:lvl w:ilvl="1">
      <w:lvlJc w:val="left"/>
      <w:lvlText w:val="(%2)"/>
      <w:numFmt w:val="lowerLetter"/>
      <w:start w:val="2"/>
    </w:lvl>
  </w:abstractNum>
  <w:abstractNum w:abstractNumId="18">
    <w:nsid w:val="5F3534A4"/>
    <w:multiLevelType w:val="hybridMultilevel"/>
    <w:lvl w:ilvl="0">
      <w:lvlJc w:val="left"/>
      <w:lvlText w:val="(%1)"/>
      <w:numFmt w:val="lowerLetter"/>
      <w:start w:val="2"/>
    </w:lvl>
  </w:abstractNum>
  <w:abstractNum w:abstractNumId="19">
    <w:nsid w:val="73A1821B"/>
    <w:multiLevelType w:val="hybridMultilevel"/>
    <w:lvl w:ilvl="0">
      <w:lvlJc w:val="left"/>
      <w:lvlText w:val="(%1)"/>
      <w:numFmt w:val="lowerLetter"/>
      <w:start w:val="12"/>
    </w:lvl>
  </w:abstractNum>
  <w:abstractNum w:abstractNumId="20">
    <w:nsid w:val="7DE67713"/>
    <w:multiLevelType w:val="hybridMultilevel"/>
    <w:lvl w:ilvl="0">
      <w:lvlJc w:val="left"/>
      <w:lvlText w:val="(%1)"/>
      <w:numFmt w:val="lowerRoman"/>
      <w:start w:val="1"/>
    </w:lvl>
  </w:abstractNum>
  <w:abstractNum w:abstractNumId="21">
    <w:nsid w:val="555C55B5"/>
    <w:multiLevelType w:val="hybridMultilevel"/>
    <w:lvl w:ilvl="0">
      <w:lvlJc w:val="left"/>
      <w:lvlText w:val="(%1)"/>
      <w:numFmt w:val="lowerLetter"/>
      <w:start w:val="1"/>
    </w:lvl>
  </w:abstractNum>
  <w:abstractNum w:abstractNumId="22">
    <w:nsid w:val="3FA62ACA"/>
    <w:multiLevelType w:val="hybridMultilevel"/>
    <w:lvl w:ilvl="0">
      <w:lvlJc w:val="left"/>
      <w:lvlText w:val="(%1)"/>
      <w:numFmt w:val="lowerLetter"/>
      <w:start w:val="1"/>
    </w:lvl>
  </w:abstractNum>
  <w:abstractNum w:abstractNumId="23">
    <w:nsid w:val="14FCE74E"/>
    <w:multiLevelType w:val="hybridMultilevel"/>
    <w:lvl w:ilvl="0">
      <w:lvlJc w:val="left"/>
      <w:lvlText w:val="(%1)"/>
      <w:numFmt w:val="lowerLetter"/>
      <w:start w:val="2"/>
    </w:lvl>
  </w:abstractNum>
  <w:abstractNum w:abstractNumId="24">
    <w:nsid w:val="6A3DD3E8"/>
    <w:multiLevelType w:val="hybridMultilevel"/>
    <w:lvl w:ilvl="0">
      <w:lvlJc w:val="left"/>
      <w:lvlText w:val="(%1)"/>
      <w:numFmt w:val="lowerLetter"/>
      <w:start w:val="1"/>
    </w:lvl>
  </w:abstractNum>
  <w:abstractNum w:abstractNumId="25">
    <w:nsid w:val="71C91298"/>
    <w:multiLevelType w:val="hybridMultilevel"/>
    <w:lvl w:ilvl="0">
      <w:lvlJc w:val="left"/>
      <w:lvlText w:val="(%1)"/>
      <w:numFmt w:val="lowerLetter"/>
      <w:start w:val="2"/>
    </w:lvl>
  </w:abstractNum>
  <w:abstractNum w:abstractNumId="26">
    <w:nsid w:val="9DAF632"/>
    <w:multiLevelType w:val="hybridMultilevel"/>
    <w:lvl w:ilvl="0">
      <w:lvlJc w:val="left"/>
      <w:lvlText w:val="(%1)"/>
      <w:numFmt w:val="lowerLetter"/>
      <w:start w:val="1"/>
    </w:lvl>
  </w:abstractNum>
  <w:abstractNum w:abstractNumId="27">
    <w:nsid w:val="53299938"/>
    <w:multiLevelType w:val="hybridMultilevel"/>
    <w:lvl w:ilvl="0">
      <w:lvlJc w:val="left"/>
      <w:lvlText w:val="%1"/>
      <w:numFmt w:val="lowerRoman"/>
      <w:start w:val="1"/>
    </w:lvl>
    <w:lvl w:ilvl="1">
      <w:lvlJc w:val="left"/>
      <w:lvlText w:val="(%2)"/>
      <w:numFmt w:val="lowerLetter"/>
      <w:start w:val="1"/>
    </w:lvl>
  </w:abstractNum>
  <w:abstractNum w:abstractNumId="28">
    <w:nsid w:val="1FBFE8E0"/>
    <w:multiLevelType w:val="hybridMultilevel"/>
    <w:lvl w:ilvl="0">
      <w:lvlJc w:val="left"/>
      <w:lvlText w:val="(%1)"/>
      <w:numFmt w:val="lowerRoman"/>
      <w:start w:val="1"/>
    </w:lvl>
    <w:lvl w:ilvl="1">
      <w:lvlJc w:val="left"/>
      <w:lvlText w:val="(%2)"/>
      <w:numFmt w:val="lowerLetter"/>
      <w:start w:val="3"/>
    </w:lvl>
  </w:abstractNum>
  <w:abstractNum w:abstractNumId="29">
    <w:nsid w:val="5092CA79"/>
    <w:multiLevelType w:val="hybridMultilevel"/>
    <w:lvl w:ilvl="0">
      <w:lvlJc w:val="left"/>
      <w:lvlText w:val="(%1)"/>
      <w:numFmt w:val="lowerLetter"/>
      <w:start w:val="1"/>
    </w:lvl>
  </w:abstractNum>
  <w:abstractNum w:abstractNumId="30">
    <w:nsid w:val="1D545C4D"/>
    <w:multiLevelType w:val="hybridMultilevel"/>
    <w:lvl w:ilvl="0">
      <w:lvlJc w:val="left"/>
      <w:lvlText w:val="(%1)"/>
      <w:numFmt w:val="lowerRoman"/>
      <w:start w:val="10"/>
    </w:lvl>
  </w:abstractNum>
  <w:abstractNum w:abstractNumId="31">
    <w:nsid w:val="59ADEA3D"/>
    <w:multiLevelType w:val="hybridMultilevel"/>
    <w:lvl w:ilvl="0">
      <w:lvlJc w:val="left"/>
      <w:lvlText w:val="(%1)"/>
      <w:numFmt w:val="lowerLetter"/>
      <w:start w:val="4"/>
    </w:lvl>
  </w:abstractNum>
  <w:abstractNum w:abstractNumId="32">
    <w:nsid w:val="288F1A34"/>
    <w:multiLevelType w:val="hybridMultilevel"/>
    <w:lvl w:ilvl="0">
      <w:lvlJc w:val="left"/>
      <w:lvlText w:val="(%1)"/>
      <w:numFmt w:val="lowerRoman"/>
      <w:start w:val="1"/>
    </w:lvl>
  </w:abstractNum>
  <w:abstractNum w:abstractNumId="33">
    <w:nsid w:val="2A155DBC"/>
    <w:multiLevelType w:val="hybridMultilevel"/>
    <w:lvl w:ilvl="0">
      <w:lvlJc w:val="left"/>
      <w:lvlText w:val="%1"/>
      <w:numFmt w:val="lowerRoman"/>
      <w:start w:val="1"/>
    </w:lvl>
    <w:lvl w:ilvl="1">
      <w:lvlJc w:val="left"/>
      <w:lvlText w:val="(%2)"/>
      <w:numFmt w:val="lowerLetter"/>
      <w:start w:val="1"/>
    </w:lvl>
  </w:abstractNum>
  <w:abstractNum w:abstractNumId="34">
    <w:nsid w:val="1D9F6E5F"/>
    <w:multiLevelType w:val="hybridMultilevel"/>
    <w:lvl w:ilvl="0">
      <w:lvlJc w:val="left"/>
      <w:lvlText w:val="(%1)"/>
      <w:numFmt w:val="lowerRoman"/>
      <w:start w:val="4"/>
    </w:lvl>
    <w:lvl w:ilvl="1">
      <w:lvlJc w:val="left"/>
      <w:lvlText w:val="%2"/>
      <w:numFmt w:val="lowerLetter"/>
      <w:start w:val="1"/>
    </w:lvl>
  </w:abstractNum>
  <w:abstractNum w:abstractNumId="35">
    <w:nsid w:val="97E1B4E"/>
    <w:multiLevelType w:val="hybridMultilevel"/>
    <w:lvl w:ilvl="0">
      <w:lvlJc w:val="left"/>
      <w:lvlText w:val="%1"/>
      <w:numFmt w:val="decimal"/>
      <w:start w:val="1"/>
    </w:lvl>
    <w:lvl w:ilvl="1">
      <w:lvlJc w:val="left"/>
      <w:lvlText w:val="(%2)"/>
      <w:numFmt w:val="lowerLetter"/>
      <w:start w:val="4"/>
    </w:lvl>
  </w:abstractNum>
  <w:abstractNum w:abstractNumId="36">
    <w:nsid w:val="51088277"/>
    <w:multiLevelType w:val="hybridMultilevel"/>
    <w:lvl w:ilvl="0">
      <w:lvlJc w:val="left"/>
      <w:lvlText w:val="(%1)"/>
      <w:numFmt w:val="decimal"/>
      <w:start w:val="5"/>
    </w:lvl>
    <w:lvl w:ilvl="1">
      <w:lvlJc w:val="left"/>
      <w:lvlText w:val="(%2)"/>
      <w:numFmt w:val="lowerLetter"/>
      <w:start w:val="5"/>
    </w:lvl>
  </w:abstractNum>
  <w:abstractNum w:abstractNumId="37">
    <w:nsid w:val="1CA0C5FA"/>
    <w:multiLevelType w:val="hybridMultilevel"/>
    <w:lvl w:ilvl="0">
      <w:lvlJc w:val="left"/>
      <w:lvlText w:val="(%1)"/>
      <w:numFmt w:val="lowerLetter"/>
      <w:start w:val="6"/>
    </w:lvl>
  </w:abstractNum>
  <w:abstractNum w:abstractNumId="38">
    <w:nsid w:val="53584BCB"/>
    <w:multiLevelType w:val="hybridMultilevel"/>
    <w:lvl w:ilvl="0">
      <w:lvlJc w:val="left"/>
      <w:lvlText w:val="(%1)"/>
      <w:numFmt w:val="lowerLetter"/>
      <w:start w:val="7"/>
    </w:lvl>
  </w:abstractNum>
  <w:abstractNum w:abstractNumId="39">
    <w:nsid w:val="415E286C"/>
    <w:multiLevelType w:val="hybridMultilevel"/>
    <w:lvl w:ilvl="0">
      <w:lvlJc w:val="left"/>
      <w:lvlText w:val="(%1)"/>
      <w:numFmt w:val="lowerRoman"/>
      <w:start w:val="1"/>
    </w:lvl>
    <w:lvl w:ilvl="1">
      <w:lvlJc w:val="left"/>
      <w:lvlText w:val="(%2)"/>
      <w:numFmt w:val="lowerLetter"/>
      <w:start w:val="8"/>
    </w:lvl>
  </w:abstractNum>
  <w:abstractNum w:abstractNumId="40">
    <w:nsid w:val="7C58FD05"/>
    <w:multiLevelType w:val="hybridMultilevel"/>
    <w:lvl w:ilvl="0">
      <w:lvlJc w:val="left"/>
      <w:lvlText w:val="(%1)"/>
      <w:numFmt w:val="lowerLetter"/>
      <w:start w:val="35"/>
    </w:lvl>
    <w:lvl w:ilvl="1">
      <w:lvlJc w:val="left"/>
      <w:lvlText w:val="(%2)"/>
      <w:numFmt w:val="lowerLetter"/>
      <w:start w:val="11"/>
    </w:lvl>
  </w:abstractNum>
  <w:abstractNum w:abstractNumId="41">
    <w:nsid w:val="23D86AAC"/>
    <w:multiLevelType w:val="hybridMultilevel"/>
    <w:lvl w:ilvl="0">
      <w:lvlJc w:val="left"/>
      <w:lvlText w:val="(%1)"/>
      <w:numFmt w:val="lowerLetter"/>
      <w:start w:val="1"/>
    </w:lvl>
  </w:abstractNum>
  <w:abstractNum w:abstractNumId="42">
    <w:nsid w:val="45E6D486"/>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1"/>
    </w:lvl>
  </w:abstractNum>
  <w:abstractNum w:abstractNumId="43">
    <w:nsid w:val="5C10FE21"/>
    <w:multiLevelType w:val="hybridMultilevel"/>
    <w:lvl w:ilvl="0">
      <w:lvlJc w:val="left"/>
      <w:lvlText w:val="(%1)"/>
      <w:numFmt w:val="lowerRoman"/>
      <w:start w:val="2"/>
    </w:lvl>
    <w:lvl w:ilvl="1">
      <w:lvlJc w:val="left"/>
      <w:lvlText w:val="(%2)"/>
      <w:numFmt w:val="lowerLetter"/>
      <w:start w:val="8"/>
    </w:lvl>
    <w:lvl w:ilvl="2">
      <w:lvlJc w:val="left"/>
      <w:lvlText w:val="(%3)"/>
      <w:numFmt w:val="lowerLetter"/>
      <w:start w:val="2"/>
    </w:lvl>
  </w:abstractNum>
  <w:abstractNum w:abstractNumId="44">
    <w:nsid w:val="E7FFA2B"/>
    <w:multiLevelType w:val="hybridMultilevel"/>
    <w:lvl w:ilvl="0">
      <w:lvlJc w:val="left"/>
      <w:lvlText w:val="(%1)"/>
      <w:numFmt w:val="lowerRoman"/>
      <w:start w:val="2"/>
    </w:lvl>
    <w:lvl w:ilvl="1">
      <w:lvlJc w:val="left"/>
      <w:lvlText w:val="(%2)"/>
      <w:numFmt w:val="lowerLetter"/>
      <w:start w:val="4"/>
    </w:lvl>
  </w:abstractNum>
  <w:abstractNum w:abstractNumId="45">
    <w:nsid w:val="3C5991AA"/>
    <w:multiLevelType w:val="hybridMultilevel"/>
    <w:lvl w:ilvl="0">
      <w:lvlJc w:val="left"/>
      <w:lvlText w:val="(%1)"/>
      <w:numFmt w:val="lowerLetter"/>
      <w:start w:val="2"/>
    </w:lvl>
  </w:abstractNum>
  <w:abstractNum w:abstractNumId="46">
    <w:nsid w:val="4BD8591A"/>
    <w:multiLevelType w:val="hybridMultilevel"/>
    <w:lvl w:ilvl="0">
      <w:lvlJc w:val="left"/>
      <w:lvlText w:val="%1"/>
      <w:numFmt w:val="lowerLetter"/>
      <w:start w:val="1"/>
    </w:lvl>
    <w:lvl w:ilvl="1">
      <w:lvlJc w:val="left"/>
      <w:lvlText w:val="(%2)"/>
      <w:numFmt w:val="lowerLetter"/>
      <w:start w:val="4"/>
    </w:lvl>
    <w:lvl w:ilvl="2">
      <w:lvlJc w:val="left"/>
      <w:lvlText w:val="%3"/>
      <w:numFmt w:val="upperLetter"/>
      <w:start w:val="1"/>
    </w:lvl>
  </w:abstractNum>
  <w:abstractNum w:abstractNumId="47">
    <w:nsid w:val="78DF6A55"/>
    <w:multiLevelType w:val="hybridMultilevel"/>
    <w:lvl w:ilvl="0">
      <w:lvlJc w:val="left"/>
      <w:lvlText w:val="(%1)"/>
      <w:numFmt w:val="lowerLetter"/>
      <w:start w:val="9"/>
    </w:lvl>
    <w:lvl w:ilvl="1">
      <w:lvlJc w:val="left"/>
      <w:lvlText w:val="%2"/>
      <w:numFmt w:val="lowerLetter"/>
      <w:start w:val="1"/>
    </w:lvl>
    <w:lvl w:ilvl="2">
      <w:lvlJc w:val="left"/>
      <w:lvlText w:val="(%3)"/>
      <w:numFmt w:val="upperLetter"/>
      <w:start w:val="1"/>
    </w:lvl>
  </w:abstractNum>
  <w:abstractNum w:abstractNumId="48">
    <w:nsid w:val="39B7AAA2"/>
    <w:multiLevelType w:val="hybridMultilevel"/>
    <w:lvl w:ilvl="0">
      <w:lvlJc w:val="left"/>
      <w:lvlText w:val="(%1)"/>
      <w:numFmt w:val="lowerLetter"/>
      <w:start w:val="35"/>
    </w:lvl>
    <w:lvl w:ilvl="1">
      <w:lvlJc w:val="left"/>
      <w:lvlText w:val="(%2)"/>
      <w:numFmt w:val="lowerLetter"/>
      <w:start w:val="24"/>
    </w:lvl>
  </w:abstractNum>
  <w:abstractNum w:abstractNumId="49">
    <w:nsid w:val="2B0D8DBE"/>
    <w:multiLevelType w:val="hybridMultilevel"/>
    <w:lvl w:ilvl="0">
      <w:lvlJc w:val="left"/>
      <w:lvlText w:val="(%1)"/>
      <w:numFmt w:val="lowerRoman"/>
      <w:start w:val="3"/>
    </w:lvl>
  </w:abstractNum>
  <w:abstractNum w:abstractNumId="50">
    <w:nsid w:val="6C80EC70"/>
    <w:multiLevelType w:val="hybridMultilevel"/>
    <w:lvl w:ilvl="0">
      <w:lvlJc w:val="left"/>
      <w:lvlText w:val="%1"/>
      <w:numFmt w:val="lowerRoman"/>
      <w:start w:val="1"/>
    </w:lvl>
    <w:lvl w:ilvl="1">
      <w:lvlJc w:val="left"/>
      <w:lvlText w:val="(%2)"/>
      <w:numFmt w:val="lowerLetter"/>
      <w:start w:val="1"/>
    </w:lvl>
  </w:abstractNum>
  <w:abstractNum w:abstractNumId="51">
    <w:nsid w:val="379E21B5"/>
    <w:multiLevelType w:val="hybridMultilevel"/>
    <w:lvl w:ilvl="0">
      <w:lvlJc w:val="left"/>
      <w:lvlText w:val="(%1)"/>
      <w:numFmt w:val="lowerRoman"/>
      <w:start w:val="1"/>
    </w:lvl>
    <w:lvl w:ilvl="1">
      <w:lvlJc w:val="left"/>
      <w:lvlText w:val="%2"/>
      <w:numFmt w:val="lowerLetter"/>
      <w:start w:val="1"/>
    </w:lvl>
  </w:abstractNum>
  <w:abstractNum w:abstractNumId="52">
    <w:nsid w:val="69E373"/>
    <w:multiLevelType w:val="hybridMultilevel"/>
    <w:lvl w:ilvl="0">
      <w:lvlJc w:val="left"/>
      <w:lvlText w:val="(%1)"/>
      <w:numFmt w:val="lowerLetter"/>
      <w:start w:val="2"/>
    </w:lvl>
  </w:abstractNum>
  <w:abstractNum w:abstractNumId="53">
    <w:nsid w:val="2C27173B"/>
    <w:multiLevelType w:val="hybridMultilevel"/>
    <w:lvl w:ilvl="0">
      <w:lvlJc w:val="left"/>
      <w:lvlText w:val="(%1)"/>
      <w:numFmt w:val="lowerLetter"/>
      <w:start w:val="4"/>
    </w:lvl>
  </w:abstractNum>
  <w:abstractNum w:abstractNumId="54">
    <w:nsid w:val="4C9B0904"/>
    <w:multiLevelType w:val="hybridMultilevel"/>
    <w:lvl w:ilvl="0">
      <w:lvlJc w:val="left"/>
      <w:lvlText w:val="%1"/>
      <w:numFmt w:val="lowerRoman"/>
      <w:start w:val="1"/>
    </w:lvl>
    <w:lvl w:ilvl="1">
      <w:lvlJc w:val="left"/>
      <w:lvlText w:val="(%2)"/>
      <w:numFmt w:val="lowerLetter"/>
      <w:start w:val="1"/>
    </w:lvl>
  </w:abstractNum>
  <w:abstractNum w:abstractNumId="55">
    <w:nsid w:val="6AA7B75C"/>
    <w:multiLevelType w:val="hybridMultilevel"/>
    <w:lvl w:ilvl="0">
      <w:lvlJc w:val="left"/>
      <w:lvlText w:val="(%1)"/>
      <w:numFmt w:val="lowerRoman"/>
      <w:start w:val="1"/>
    </w:lvl>
    <w:lvl w:ilvl="1">
      <w:lvlJc w:val="left"/>
      <w:lvlText w:val="%2"/>
      <w:numFmt w:val="lowerLetter"/>
      <w:start w:val="1"/>
    </w:lvl>
  </w:abstractNum>
  <w:abstractNum w:abstractNumId="56">
    <w:nsid w:val="1DF029D3"/>
    <w:multiLevelType w:val="hybridMultilevel"/>
    <w:lvl w:ilvl="0">
      <w:lvlJc w:val="left"/>
      <w:lvlText w:val="%1"/>
      <w:numFmt w:val="lowerLetter"/>
      <w:start w:val="1"/>
    </w:lvl>
    <w:lvl w:ilvl="1">
      <w:lvlJc w:val="left"/>
      <w:lvlText w:val="(%2)"/>
      <w:numFmt w:val="lowerLetter"/>
      <w:start w:val="3"/>
    </w:lvl>
  </w:abstractNum>
  <w:abstractNum w:abstractNumId="57">
    <w:nsid w:val="5675FF36"/>
    <w:multiLevelType w:val="hybridMultilevel"/>
    <w:lvl w:ilvl="0">
      <w:lvlJc w:val="left"/>
      <w:lvlText w:val="(%1)"/>
      <w:numFmt w:val="lowerLetter"/>
      <w:start w:val="9"/>
    </w:lvl>
    <w:lvl w:ilvl="1">
      <w:lvlJc w:val="left"/>
      <w:lvlText w:val="(%2)"/>
      <w:numFmt w:val="lowerLetter"/>
      <w:start w:val="4"/>
    </w:lvl>
  </w:abstractNum>
  <w:abstractNum w:abstractNumId="58">
    <w:nsid w:val="3DD15094"/>
    <w:multiLevelType w:val="hybridMultilevel"/>
    <w:lvl w:ilvl="0">
      <w:lvlJc w:val="left"/>
      <w:lvlText w:val="%1"/>
      <w:numFmt w:val="lowerRoman"/>
      <w:start w:val="1"/>
    </w:lvl>
    <w:lvl w:ilvl="1">
      <w:lvlJc w:val="left"/>
      <w:lvlText w:val="(%2)"/>
      <w:numFmt w:val="lowerLetter"/>
      <w:start w:val="5"/>
    </w:lvl>
  </w:abstractNum>
  <w:abstractNum w:abstractNumId="59">
    <w:nsid w:val="3DB012B3"/>
    <w:multiLevelType w:val="hybridMultilevel"/>
    <w:lvl w:ilvl="0">
      <w:lvlJc w:val="left"/>
      <w:lvlText w:val="(%1)"/>
      <w:numFmt w:val="lowerRoman"/>
      <w:start w:val="1"/>
    </w:lvl>
    <w:lvl w:ilvl="1">
      <w:lvlJc w:val="left"/>
      <w:lvlText w:val="%2"/>
      <w:numFmt w:val="lowerLetter"/>
      <w:start w:val="1"/>
    </w:lvl>
  </w:abstractNum>
  <w:abstractNum w:abstractNumId="60">
    <w:nsid w:val="2708C9AF"/>
    <w:multiLevelType w:val="hybridMultilevel"/>
    <w:lvl w:ilvl="0">
      <w:lvlJc w:val="left"/>
      <w:lvlText w:val="(%1)"/>
      <w:numFmt w:val="lowerLetter"/>
      <w:start w:val="6"/>
    </w:lvl>
  </w:abstractNum>
  <w:abstractNum w:abstractNumId="61">
    <w:nsid w:val="5B25ACE2"/>
    <w:multiLevelType w:val="hybridMultilevel"/>
    <w:lvl w:ilvl="0">
      <w:lvlJc w:val="left"/>
      <w:lvlText w:val="(%1)"/>
      <w:numFmt w:val="lowerLetter"/>
      <w:start w:val="1"/>
    </w:lvl>
  </w:abstractNum>
  <w:abstractNum w:abstractNumId="62">
    <w:nsid w:val="175DFCF0"/>
    <w:multiLevelType w:val="hybridMultilevel"/>
    <w:lvl w:ilvl="0">
      <w:lvlJc w:val="left"/>
      <w:lvlText w:val="(%1)"/>
      <w:numFmt w:val="lowerLetter"/>
      <w:start w:val="3"/>
    </w:lvl>
  </w:abstractNum>
  <w:abstractNum w:abstractNumId="63">
    <w:nsid w:val="4F97E3E4"/>
    <w:multiLevelType w:val="hybridMultilevel"/>
    <w:lvl w:ilvl="0">
      <w:lvlJc w:val="left"/>
      <w:lvlText w:val="%1"/>
      <w:numFmt w:val="lowerLetter"/>
      <w:start w:val="1"/>
    </w:lvl>
    <w:lvl w:ilvl="1">
      <w:lvlJc w:val="left"/>
      <w:lvlText w:val="(%2)"/>
      <w:numFmt w:val="lowerLetter"/>
      <w:start w:val="1"/>
    </w:lvl>
  </w:abstractNum>
  <w:abstractNum w:abstractNumId="64">
    <w:nsid w:val="53B0A9E"/>
    <w:multiLevelType w:val="hybridMultilevel"/>
    <w:lvl w:ilvl="0">
      <w:lvlJc w:val="left"/>
      <w:lvlText w:val="(%1)"/>
      <w:numFmt w:val="lowerLetter"/>
      <w:start w:val="9"/>
    </w:lvl>
    <w:lvl w:ilvl="1">
      <w:lvlJc w:val="left"/>
      <w:lvlText w:val="(%2)"/>
      <w:numFmt w:val="lowerLetter"/>
      <w:start w:val="4"/>
    </w:lvl>
  </w:abstractNum>
  <w:abstractNum w:abstractNumId="65">
    <w:nsid w:val="34FD6B4F"/>
    <w:multiLevelType w:val="hybridMultilevel"/>
    <w:lvl w:ilvl="0">
      <w:lvlJc w:val="left"/>
      <w:lvlText w:val="(%1)"/>
      <w:numFmt w:val="lowerLetter"/>
      <w:start w:val="1"/>
    </w:lvl>
  </w:abstractNum>
  <w:abstractNum w:abstractNumId="66">
    <w:nsid w:val="5915FF32"/>
    <w:multiLevelType w:val="hybridMultilevel"/>
    <w:lvl w:ilvl="0">
      <w:lvlJc w:val="left"/>
      <w:lvlText w:val="(%1)"/>
      <w:numFmt w:val="lowerRoman"/>
      <w:start w:val="1"/>
    </w:lvl>
  </w:abstractNum>
  <w:abstractNum w:abstractNumId="67">
    <w:nsid w:val="56438D15"/>
    <w:multiLevelType w:val="hybridMultilevel"/>
    <w:lvl w:ilvl="0">
      <w:lvlJc w:val="left"/>
      <w:lvlText w:val="%1"/>
      <w:numFmt w:val="lowerRoman"/>
      <w:start w:val="1"/>
    </w:lvl>
    <w:lvl w:ilvl="1">
      <w:lvlJc w:val="left"/>
      <w:lvlText w:val="(%2)"/>
      <w:numFmt w:val="lowerLetter"/>
      <w:start w:val="1"/>
    </w:lvl>
  </w:abstractNum>
  <w:abstractNum w:abstractNumId="68">
    <w:nsid w:val="519E3149"/>
    <w:multiLevelType w:val="hybridMultilevel"/>
    <w:lvl w:ilvl="0">
      <w:lvlJc w:val="left"/>
      <w:lvlText w:val="(%1)"/>
      <w:numFmt w:val="lowerRoman"/>
      <w:start w:val="1"/>
    </w:lvl>
    <w:lvl w:ilvl="1">
      <w:lvlJc w:val="left"/>
      <w:lvlText w:val="%2"/>
      <w:numFmt w:val="lowerLetter"/>
      <w:start w:val="1"/>
    </w:lvl>
  </w:abstractNum>
  <w:abstractNum w:abstractNumId="69">
    <w:nsid w:val="2C6E4AFD"/>
    <w:multiLevelType w:val="hybridMultilevel"/>
    <w:lvl w:ilvl="0">
      <w:lvlJc w:val="left"/>
      <w:lvlText w:val="(%1)"/>
      <w:numFmt w:val="lowerLetter"/>
      <w:start w:val="2"/>
    </w:lvl>
  </w:abstractNum>
  <w:abstractNum w:abstractNumId="70">
    <w:nsid w:val="17A1B582"/>
    <w:multiLevelType w:val="hybridMultilevel"/>
    <w:lvl w:ilvl="0">
      <w:lvlJc w:val="left"/>
      <w:lvlText w:val="(%1)"/>
      <w:numFmt w:val="lowerRoman"/>
      <w:start w:val="1"/>
    </w:lvl>
  </w:abstractNum>
  <w:abstractNum w:abstractNumId="71">
    <w:nsid w:val="4DF72E4E"/>
    <w:multiLevelType w:val="hybridMultilevel"/>
    <w:lvl w:ilvl="0">
      <w:lvlJc w:val="left"/>
      <w:lvlText w:val="(%1)"/>
      <w:numFmt w:val="lowerLetter"/>
      <w:start w:val="1"/>
    </w:lvl>
  </w:abstractNum>
  <w:abstractNum w:abstractNumId="72">
    <w:nsid w:val="5046B5A9"/>
    <w:multiLevelType w:val="hybridMultilevel"/>
    <w:lvl w:ilvl="0">
      <w:lvlJc w:val="left"/>
      <w:lvlText w:val="(%1)"/>
      <w:numFmt w:val="lowerLetter"/>
      <w:start w:val="2"/>
    </w:lvl>
  </w:abstractNum>
  <w:abstractNum w:abstractNumId="73">
    <w:nsid w:val="5D888A08"/>
    <w:multiLevelType w:val="hybridMultilevel"/>
    <w:lvl w:ilvl="0">
      <w:lvlJc w:val="left"/>
      <w:lvlText w:val="(%1)"/>
      <w:numFmt w:val="lowerLetter"/>
      <w:start w:val="35"/>
    </w:lvl>
    <w:lvl w:ilvl="1">
      <w:lvlJc w:val="left"/>
      <w:lvlText w:val="(%2)"/>
      <w:numFmt w:val="upperLetter"/>
      <w:start w:val="1"/>
    </w:lvl>
    <w:lvl w:ilvl="2">
      <w:lvlJc w:val="left"/>
      <w:lvlText w:val="(%3)"/>
      <w:numFmt w:val="decimal"/>
    </w:lvl>
    <w:lvl w:ilvl="3">
      <w:lvlJc w:val="left"/>
      <w:lvlText w:val="(%4)"/>
      <w:numFmt w:val="lowerLetter"/>
      <w:start w:val="23"/>
    </w:lvl>
  </w:abstractNum>
  <w:abstractNum w:abstractNumId="74">
    <w:nsid w:val="2A082C70"/>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26"/>
    </w:lvl>
  </w:abstractNum>
  <w:abstractNum w:abstractNumId="75">
    <w:nsid w:val="5EC6AFD4"/>
    <w:multiLevelType w:val="hybridMultilevel"/>
    <w:lvl w:ilvl="0">
      <w:lvlJc w:val="left"/>
      <w:lvlText w:val="%1"/>
      <w:numFmt w:val="lowerLetter"/>
      <w:start w:val="1"/>
    </w:lvl>
    <w:lvl w:ilvl="1">
      <w:lvlJc w:val="left"/>
      <w:lvlText w:val="(%2)"/>
      <w:numFmt w:val="upperLetter"/>
      <w:start w:val="3"/>
    </w:lvl>
    <w:lvl w:ilvl="2">
      <w:lvlJc w:val="left"/>
      <w:lvlText w:val="%3"/>
      <w:numFmt w:val="lowerLetter"/>
      <w:start w:val="1"/>
    </w:lvl>
  </w:abstractNum>
  <w:abstractNum w:abstractNumId="76">
    <w:nsid w:val="19E21BB2"/>
    <w:multiLevelType w:val="hybridMultilevel"/>
    <w:lvl w:ilvl="0">
      <w:lvlJc w:val="left"/>
      <w:lvlText w:val="(%1)"/>
      <w:numFmt w:val="lowerLetter"/>
      <w:start w:val="61"/>
    </w:lvl>
    <w:lvl w:ilvl="1">
      <w:lvlJc w:val="left"/>
      <w:lvlText w:val="%2"/>
      <w:numFmt w:val="upperLetter"/>
      <w:start w:val="1"/>
    </w:lvl>
    <w:lvl w:ilvl="2">
      <w:lvlJc w:val="left"/>
      <w:lvlText w:val="%3"/>
      <w:numFmt w:val="lowerLetter"/>
      <w:start w:val="1"/>
    </w:lvl>
  </w:abstractNum>
  <w:abstractNum w:abstractNumId="77">
    <w:nsid w:val="75E0858A"/>
    <w:multiLevelType w:val="hybridMultilevel"/>
    <w:lvl w:ilvl="0">
      <w:lvlJc w:val="left"/>
      <w:lvlText w:val="(%1)"/>
      <w:numFmt w:val="lowerLetter"/>
      <w:start w:val="7"/>
    </w:lvl>
  </w:abstractNum>
  <w:abstractNum w:abstractNumId="78">
    <w:nsid w:val="57A61A29"/>
    <w:multiLevelType w:val="hybridMultilevel"/>
    <w:lvl w:ilvl="0">
      <w:lvlJc w:val="left"/>
      <w:lvlText w:val="(%1)"/>
      <w:numFmt w:val="lowerLetter"/>
      <w:start w:val="1"/>
    </w:lvl>
  </w:abstractNum>
  <w:abstractNum w:abstractNumId="79">
    <w:nsid w:val="5399C654"/>
    <w:multiLevelType w:val="hybridMultilevel"/>
    <w:lvl w:ilvl="0">
      <w:lvlJc w:val="left"/>
      <w:lvlText w:val="(%1)"/>
      <w:numFmt w:val="lowerLetter"/>
      <w:start w:val="2"/>
    </w:lvl>
  </w:abstractNum>
  <w:abstractNum w:abstractNumId="80">
    <w:nsid w:val="20EE1348"/>
    <w:multiLevelType w:val="hybridMultilevel"/>
    <w:lvl w:ilvl="0">
      <w:lvlJc w:val="left"/>
      <w:lvlText w:val="(%1)"/>
      <w:numFmt w:val="lowerLetter"/>
      <w:start w:val="4"/>
    </w:lvl>
  </w:abstractNum>
  <w:abstractNum w:abstractNumId="81">
    <w:nsid w:val="4427069A"/>
    <w:multiLevelType w:val="hybridMultilevel"/>
    <w:lvl w:ilvl="0">
      <w:lvlJc w:val="left"/>
      <w:lvlText w:val="(%1)"/>
      <w:numFmt w:val="lowerLetter"/>
      <w:start w:val="1"/>
    </w:lvl>
  </w:abstractNum>
  <w:abstractNum w:abstractNumId="82">
    <w:nsid w:val="B37E80A"/>
    <w:multiLevelType w:val="hybridMultilevel"/>
    <w:lvl w:ilvl="0">
      <w:lvlJc w:val="left"/>
      <w:lvlText w:val="%1"/>
      <w:numFmt w:val="lowerLetter"/>
      <w:start w:val="1"/>
    </w:lvl>
    <w:lvl w:ilvl="1">
      <w:lvlJc w:val="left"/>
      <w:lvlText w:val="(%2)"/>
      <w:numFmt w:val="lowerLetter"/>
      <w:start w:val="1"/>
    </w:lvl>
  </w:abstractNum>
  <w:abstractNum w:abstractNumId="83">
    <w:nsid w:val="2157F6BC"/>
    <w:multiLevelType w:val="hybridMultilevel"/>
    <w:lvl w:ilvl="0">
      <w:lvlJc w:val="left"/>
      <w:lvlText w:val="(%1)"/>
      <w:numFmt w:val="lowerLetter"/>
      <w:start w:val="9"/>
    </w:lvl>
    <w:lvl w:ilvl="1">
      <w:lvlJc w:val="left"/>
      <w:lvlText w:val="%2"/>
      <w:numFmt w:val="lowerLetter"/>
      <w:start w:val="1"/>
    </w:lvl>
  </w:abstractNum>
  <w:abstractNum w:abstractNumId="84">
    <w:nsid w:val="704E1DD5"/>
    <w:multiLevelType w:val="hybridMultilevel"/>
    <w:lvl w:ilvl="0">
      <w:lvlJc w:val="left"/>
      <w:lvlText w:val="(%1)"/>
      <w:numFmt w:val="lowerLetter"/>
      <w:start w:val="24"/>
    </w:lvl>
    <w:lvl w:ilvl="1">
      <w:lvlJc w:val="left"/>
      <w:lvlText w:val="(%2)"/>
      <w:numFmt w:val="lowerRoman"/>
      <w:start w:val="2"/>
    </w:lvl>
    <w:lvl w:ilvl="2">
      <w:lvlJc w:val="left"/>
      <w:lvlText w:val="(%3)"/>
      <w:numFmt w:val="upperLetter"/>
      <w:start w:val="1"/>
    </w:lvl>
  </w:abstractNum>
  <w:abstractNum w:abstractNumId="85">
    <w:nsid w:val="57D2F10E"/>
    <w:multiLevelType w:val="hybridMultilevel"/>
    <w:lvl w:ilvl="0">
      <w:lvlJc w:val="left"/>
      <w:lvlText w:val="%1"/>
      <w:numFmt w:val="lowerRoman"/>
      <w:start w:val="1"/>
    </w:lvl>
    <w:lvl w:ilvl="1">
      <w:lvlJc w:val="left"/>
      <w:lvlText w:val="(%2)"/>
      <w:numFmt w:val="upperLetter"/>
      <w:start w:val="2"/>
    </w:lvl>
  </w:abstractNum>
  <w:abstractNum w:abstractNumId="86">
    <w:nsid w:val="BFFAE18"/>
    <w:multiLevelType w:val="hybridMultilevel"/>
    <w:lvl w:ilvl="0">
      <w:lvlJc w:val="left"/>
      <w:lvlText w:val="(%1)"/>
      <w:numFmt w:val="lowerRoman"/>
      <w:start w:val="3"/>
    </w:lvl>
    <w:lvl w:ilvl="1">
      <w:lvlJc w:val="left"/>
      <w:lvlText w:val="%2"/>
      <w:numFmt w:val="upperLetter"/>
      <w:start w:val="1"/>
    </w:lvl>
  </w:abstractNum>
  <w:abstractNum w:abstractNumId="87">
    <w:nsid w:val="E3E47A8"/>
    <w:multiLevelType w:val="hybridMultilevel"/>
    <w:lvl w:ilvl="0">
      <w:lvlJc w:val="left"/>
      <w:lvlText w:val="%1"/>
      <w:numFmt w:val="lowerLetter"/>
      <w:start w:val="1"/>
    </w:lvl>
    <w:lvl w:ilvl="1">
      <w:lvlJc w:val="left"/>
      <w:lvlText w:val="(%2)"/>
      <w:numFmt w:val="lowerLetter"/>
      <w:start w:val="2"/>
    </w:lvl>
  </w:abstractNum>
  <w:abstractNum w:abstractNumId="88">
    <w:nsid w:val="2E48F044"/>
    <w:multiLevelType w:val="hybridMultilevel"/>
    <w:lvl w:ilvl="0">
      <w:lvlJc w:val="left"/>
      <w:lvlText w:val="(%1)"/>
      <w:numFmt w:val="lowerLetter"/>
      <w:start w:val="9"/>
    </w:lvl>
    <w:lvl w:ilvl="1">
      <w:lvlJc w:val="left"/>
      <w:lvlText w:val="%2"/>
      <w:numFmt w:val="lowerLetter"/>
      <w:start w:val="1"/>
    </w:lvl>
  </w:abstractNum>
  <w:abstractNum w:abstractNumId="89">
    <w:nsid w:val="49D0FEAC"/>
    <w:multiLevelType w:val="hybridMultilevel"/>
    <w:lvl w:ilvl="0">
      <w:lvlJc w:val="left"/>
      <w:lvlText w:val="(%1)"/>
      <w:numFmt w:val="lowerRoman"/>
      <w:start w:val="2"/>
    </w:lvl>
  </w:abstractNum>
  <w:abstractNum w:abstractNumId="90">
    <w:nsid w:val="4BEE5A5B"/>
    <w:multiLevelType w:val="hybridMultilevel"/>
    <w:lvl w:ilvl="0">
      <w:lvlJc w:val="left"/>
      <w:lvlText w:val="(%1)"/>
      <w:numFmt w:val="lowerLetter"/>
      <w:start w:val="35"/>
    </w:lvl>
  </w:abstractNum>
  <w:abstractNum w:abstractNumId="91">
    <w:nsid w:val="5551B9F3"/>
    <w:multiLevelType w:val="hybridMultilevel"/>
    <w:lvl w:ilvl="0">
      <w:lvlJc w:val="left"/>
      <w:lvlText w:val="(%1)"/>
      <w:numFmt w:val="lowerLetter"/>
      <w:start w:val="3"/>
    </w:lvl>
  </w:abstractNum>
  <w:abstractNum w:abstractNumId="92">
    <w:nsid w:val="24F6AB8E"/>
    <w:multiLevelType w:val="hybridMultilevel"/>
    <w:lvl w:ilvl="0">
      <w:lvlJc w:val="left"/>
      <w:lvlText w:val="%1"/>
      <w:numFmt w:val="lowerLetter"/>
      <w:start w:val="1"/>
    </w:lvl>
    <w:lvl w:ilvl="1">
      <w:lvlJc w:val="left"/>
      <w:lvlText w:val="(%2)"/>
      <w:numFmt w:val="lowerLetter"/>
      <w:start w:val="1"/>
    </w:lvl>
  </w:abstractNum>
  <w:abstractNum w:abstractNumId="93">
    <w:nsid w:val="634C574C"/>
    <w:multiLevelType w:val="hybridMultilevel"/>
    <w:lvl w:ilvl="0">
      <w:lvlJc w:val="left"/>
      <w:lvlText w:val="(%1)"/>
      <w:numFmt w:val="lowerLetter"/>
      <w:start w:val="9"/>
    </w:lvl>
    <w:lvl w:ilvl="1">
      <w:lvlJc w:val="left"/>
      <w:lvlText w:val="%2"/>
      <w:numFmt w:val="lowerLetter"/>
      <w:start w:val="1"/>
    </w:lvl>
  </w:abstractNum>
  <w:abstractNum w:abstractNumId="94">
    <w:nsid w:val="24E99DD7"/>
    <w:multiLevelType w:val="hybridMultilevel"/>
    <w:lvl w:ilvl="0">
      <w:lvlJc w:val="left"/>
      <w:lvlText w:val="(%1)"/>
      <w:numFmt w:val="lowerLetter"/>
      <w:start w:val="1"/>
    </w:lvl>
  </w:abstractNum>
  <w:abstractNum w:abstractNumId="95">
    <w:nsid w:val="2A31B62D"/>
    <w:multiLevelType w:val="hybridMultilevel"/>
    <w:lvl w:ilvl="0">
      <w:lvlJc w:val="left"/>
      <w:lvlText w:val="(%1)"/>
      <w:numFmt w:val="lowerLetter"/>
      <w:start w:val="3"/>
    </w:lvl>
  </w:abstractNum>
  <w:abstractNum w:abstractNumId="96">
    <w:nsid w:val="1849C29B"/>
    <w:multiLevelType w:val="hybridMultilevel"/>
    <w:lvl w:ilvl="0">
      <w:lvlJc w:val="left"/>
      <w:lvlText w:val="(%1)"/>
      <w:numFmt w:val="lowerLetter"/>
      <w:start w:val="1"/>
    </w:lvl>
  </w:abstractNum>
  <w:abstractNum w:abstractNumId="97">
    <w:nsid w:val="7DFF9D09"/>
    <w:multiLevelType w:val="hybridMultilevel"/>
    <w:lvl w:ilvl="0">
      <w:lvlJc w:val="left"/>
      <w:lvlText w:val="(%1)"/>
      <w:numFmt w:val="lowerLetter"/>
      <w:start w:val="1"/>
    </w:lvl>
  </w:abstractNum>
  <w:abstractNum w:abstractNumId="98">
    <w:nsid w:val="754342"/>
    <w:multiLevelType w:val="hybridMultilevel"/>
    <w:lvl w:ilvl="0">
      <w:lvlJc w:val="left"/>
      <w:lvlText w:val="(%1)"/>
      <w:numFmt w:val="lowerLetter"/>
      <w:start w:val="1"/>
    </w:lvl>
  </w:abstractNum>
  <w:abstractNum w:abstractNumId="99">
    <w:nsid w:val="69E7F3E5"/>
    <w:multiLevelType w:val="hybridMultilevel"/>
    <w:lvl w:ilvl="0">
      <w:lvlJc w:val="left"/>
      <w:lvlText w:val="(%1)"/>
      <w:numFmt w:val="lowerLetter"/>
      <w:start w:val="2"/>
    </w:lvl>
  </w:abstractNum>
  <w:abstractNum w:abstractNumId="100">
    <w:nsid w:val="2A6DE806"/>
    <w:multiLevelType w:val="hybridMultilevel"/>
    <w:lvl w:ilvl="0">
      <w:lvlJc w:val="left"/>
      <w:lvlText w:val="%1"/>
      <w:numFmt w:val="lowerRoman"/>
      <w:start w:val="1"/>
    </w:lvl>
    <w:lvl w:ilvl="1">
      <w:lvlJc w:val="left"/>
      <w:lvlText w:val="(%2)"/>
      <w:numFmt w:val="lowerLetter"/>
      <w:start w:val="1"/>
    </w:lvl>
  </w:abstractNum>
  <w:abstractNum w:abstractNumId="101">
    <w:nsid w:val="1816F8C4"/>
    <w:multiLevelType w:val="hybridMultilevel"/>
    <w:lvl w:ilvl="0">
      <w:lvlJc w:val="left"/>
      <w:lvlText w:val="(%1)"/>
      <w:numFmt w:val="lowerRoman"/>
      <w:start w:val="1"/>
    </w:lvl>
    <w:lvl w:ilvl="1">
      <w:lvlJc w:val="left"/>
      <w:lvlText w:val="(%2)"/>
      <w:numFmt w:val="lowerLetter"/>
      <w:start w:val="2"/>
    </w:lvl>
  </w:abstractNum>
  <w:abstractNum w:abstractNumId="102">
    <w:nsid w:val="37DF2233"/>
    <w:multiLevelType w:val="hybridMultilevel"/>
    <w:lvl w:ilvl="0">
      <w:lvlJc w:val="left"/>
      <w:lvlText w:val="(%1)"/>
      <w:numFmt w:val="lowerLetter"/>
      <w:start w:val="3"/>
    </w:lvl>
  </w:abstractNum>
  <w:abstractNum w:abstractNumId="103">
    <w:nsid w:val="7AB49DAF"/>
    <w:multiLevelType w:val="hybridMultilevel"/>
    <w:lvl w:ilvl="0">
      <w:lvlJc w:val="left"/>
      <w:lvlText w:val="(%1)"/>
      <w:numFmt w:val="lowerLetter"/>
      <w:start w:val="1"/>
    </w:lvl>
  </w:abstractNum>
  <w:abstractNum w:abstractNumId="104">
    <w:nsid w:val="759F82CD"/>
    <w:multiLevelType w:val="hybridMultilevel"/>
    <w:lvl w:ilvl="0">
      <w:lvlJc w:val="left"/>
      <w:lvlText w:val="(%1)"/>
      <w:numFmt w:val="lowerLetter"/>
      <w:start w:val="1"/>
    </w:lvl>
  </w:abstractNum>
  <w:abstractNum w:abstractNumId="105">
    <w:nsid w:val="61E74EA3"/>
    <w:multiLevelType w:val="hybridMultilevel"/>
    <w:lvl w:ilvl="0">
      <w:lvlJc w:val="left"/>
      <w:lvlText w:val="(%1)"/>
      <w:numFmt w:val="lowerLetter"/>
      <w:start w:val="4"/>
    </w:lvl>
  </w:abstractNum>
  <w:abstractNum w:abstractNumId="106">
    <w:nsid w:val="597B4D84"/>
    <w:multiLevelType w:val="hybridMultilevel"/>
    <w:lvl w:ilvl="0">
      <w:lvlJc w:val="left"/>
      <w:lvlText w:val="(%1)"/>
      <w:numFmt w:val="lowerLetter"/>
      <w:start w:val="10"/>
    </w:lvl>
  </w:abstractNum>
  <w:abstractNum w:abstractNumId="107">
    <w:nsid w:val="F819E7F"/>
    <w:multiLevelType w:val="hybridMultilevel"/>
    <w:lvl w:ilvl="0">
      <w:lvlJc w:val="left"/>
      <w:lvlText w:val="(%1)"/>
      <w:numFmt w:val="lowerLetter"/>
      <w:start w:val="1"/>
    </w:lvl>
  </w:abstractNum>
  <w:abstractNum w:abstractNumId="108">
    <w:nsid w:val="57C7D42D"/>
    <w:multiLevelType w:val="hybridMultilevel"/>
    <w:lvl w:ilvl="0">
      <w:lvlJc w:val="left"/>
      <w:lvlText w:val="(%1)"/>
      <w:numFmt w:val="lowerLetter"/>
      <w:start w:val="1"/>
    </w:lvl>
  </w:abstractNum>
  <w:abstractNum w:abstractNumId="109">
    <w:nsid w:val="312167AD"/>
    <w:multiLevelType w:val="hybridMultilevel"/>
    <w:lvl w:ilvl="0">
      <w:lvlJc w:val="left"/>
      <w:lvlText w:val="(%1)"/>
      <w:numFmt w:val="lowerLetter"/>
      <w:start w:val="1"/>
    </w:lvl>
  </w:abstractNum>
  <w:abstractNum w:abstractNumId="110">
    <w:nsid w:val="631B64D4"/>
    <w:multiLevelType w:val="hybridMultilevel"/>
    <w:lvl w:ilvl="0">
      <w:lvlJc w:val="left"/>
      <w:lvlText w:val="%1"/>
      <w:numFmt w:val="lowerLetter"/>
      <w:start w:val="1"/>
    </w:lvl>
    <w:lvl w:ilvl="1">
      <w:lvlJc w:val="left"/>
      <w:lvlText w:val="(%2)"/>
      <w:numFmt w:val="lowerLetter"/>
      <w:start w:val="2"/>
    </w:lvl>
  </w:abstractNum>
  <w:abstractNum w:abstractNumId="111">
    <w:nsid w:val="78B5E776"/>
    <w:multiLevelType w:val="hybridMultilevel"/>
    <w:lvl w:ilvl="0">
      <w:lvlJc w:val="left"/>
      <w:lvlText w:val="(%1)"/>
      <w:numFmt w:val="lowerLetter"/>
      <w:start w:val="22"/>
    </w:lvl>
    <w:lvl w:ilvl="1">
      <w:lvlJc w:val="left"/>
      <w:lvlText w:val="%2"/>
      <w:numFmt w:val="lowerLetter"/>
      <w:start w:val="1"/>
    </w:lvl>
  </w:abstractNum>
  <w:abstractNum w:abstractNumId="112">
    <w:nsid w:val="75486E47"/>
    <w:multiLevelType w:val="hybridMultilevel"/>
    <w:lvl w:ilvl="0">
      <w:lvlJc w:val="left"/>
      <w:lvlText w:val="%1"/>
      <w:numFmt w:val="lowerLetter"/>
      <w:start w:val="1"/>
    </w:lvl>
    <w:lvl w:ilvl="1">
      <w:lvlJc w:val="left"/>
      <w:lvlText w:val="(%2)"/>
      <w:numFmt w:val="lowerLetter"/>
      <w:start w:val="1"/>
    </w:lvl>
  </w:abstractNum>
  <w:abstractNum w:abstractNumId="113">
    <w:nsid w:val="6E534CDE"/>
    <w:multiLevelType w:val="hybridMultilevel"/>
    <w:lvl w:ilvl="0">
      <w:lvlJc w:val="left"/>
      <w:lvlText w:val="(%1)"/>
      <w:numFmt w:val="lowerLetter"/>
      <w:start w:val="9"/>
    </w:lvl>
    <w:lvl w:ilvl="1">
      <w:lvlJc w:val="left"/>
      <w:lvlText w:val="%2"/>
      <w:numFmt w:val="lowerLetter"/>
      <w:start w:val="1"/>
    </w:lvl>
  </w:abstractNum>
  <w:abstractNum w:abstractNumId="114">
    <w:nsid w:val="1A0DDE32"/>
    <w:multiLevelType w:val="hybridMultilevel"/>
    <w:lvl w:ilvl="0">
      <w:lvlJc w:val="left"/>
      <w:lvlText w:val="(%1)"/>
      <w:numFmt w:val="lowerLetter"/>
      <w:start w:val="35"/>
    </w:lvl>
    <w:lvl w:ilvl="1">
      <w:lvlJc w:val="left"/>
      <w:lvlText w:val="(%2)"/>
      <w:numFmt w:val="upperLetter"/>
      <w:start w:val="1"/>
    </w:lvl>
    <w:lvl w:ilvl="2">
      <w:lvlJc w:val="left"/>
      <w:lvlText w:val="(%3)"/>
      <w:numFmt w:val="lowerLetter"/>
      <w:start w:val="23"/>
    </w:lvl>
  </w:abstractNum>
  <w:abstractNum w:abstractNumId="115">
    <w:nsid w:val="65968C1C"/>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24"/>
    </w:lvl>
  </w:abstractNum>
  <w:abstractNum w:abstractNumId="116">
    <w:nsid w:val="46263DEC"/>
    <w:multiLevelType w:val="hybridMultilevel"/>
    <w:lvl w:ilvl="0">
      <w:lvlJc w:val="left"/>
      <w:lvlText w:val="(%1)"/>
      <w:numFmt w:val="lowerLetter"/>
      <w:start w:val="25"/>
    </w:lvl>
  </w:abstractNum>
  <w:abstractNum w:abstractNumId="117">
    <w:nsid w:val="260D8C4A"/>
    <w:multiLevelType w:val="hybridMultilevel"/>
    <w:lvl w:ilvl="0">
      <w:lvlJc w:val="left"/>
      <w:lvlText w:val="(%1)"/>
      <w:numFmt w:val="upperLetter"/>
      <w:start w:val="3"/>
    </w:lvl>
    <w:lvl w:ilvl="1">
      <w:lvlJc w:val="left"/>
      <w:lvlText w:val="(%2)"/>
      <w:numFmt w:val="lowerLetter"/>
      <w:start w:val="24"/>
    </w:lvl>
  </w:abstractNum>
  <w:abstractNum w:abstractNumId="118">
    <w:nsid w:val="73D4D3C4"/>
    <w:multiLevelType w:val="hybridMultilevel"/>
    <w:lvl w:ilvl="0">
      <w:lvlJc w:val="left"/>
      <w:lvlText w:val="%1"/>
      <w:numFmt w:val="decimal"/>
      <w:start w:val="1"/>
    </w:lvl>
    <w:lvl w:ilvl="1">
      <w:lvlJc w:val="left"/>
      <w:lvlText w:val="(%2)"/>
      <w:numFmt w:val="upperLetter"/>
      <w:start w:val="6"/>
    </w:lvl>
  </w:abstractNum>
  <w:abstractNum w:abstractNumId="119">
    <w:nsid w:val="746F2E30"/>
    <w:multiLevelType w:val="hybridMultilevel"/>
    <w:lvl w:ilvl="0">
      <w:lvlJc w:val="left"/>
      <w:lvlText w:val="(%1)"/>
      <w:numFmt w:val="decimal"/>
      <w:start w:val="3"/>
    </w:lvl>
    <w:lvl w:ilvl="1">
      <w:lvlJc w:val="left"/>
      <w:lvlText w:val="%2"/>
      <w:numFmt w:val="upperLetter"/>
      <w:start w:val="1"/>
    </w:lvl>
  </w:abstractNum>
  <w:abstractNum w:abstractNumId="120">
    <w:nsid w:val="6FDE8AF6"/>
    <w:multiLevelType w:val="hybridMultilevel"/>
    <w:lvl w:ilvl="0">
      <w:lvlJc w:val="left"/>
      <w:lvlText w:val="(%1)"/>
      <w:numFmt w:val="lowerLetter"/>
      <w:start w:val="3"/>
    </w:lvl>
  </w:abstractNum>
  <w:abstractNum w:abstractNumId="121">
    <w:nsid w:val="3FC32E20"/>
    <w:multiLevelType w:val="hybridMultilevel"/>
    <w:lvl w:ilvl="0">
      <w:lvlJc w:val="left"/>
      <w:lvlText w:val="(%1)"/>
      <w:numFmt w:val="lowerLetter"/>
      <w:start w:val="1"/>
    </w:lvl>
  </w:abstractNum>
  <w:abstractNum w:abstractNumId="122">
    <w:nsid w:val="49C0E823"/>
    <w:multiLevelType w:val="hybridMultilevel"/>
    <w:lvl w:ilvl="0">
      <w:lvlJc w:val="left"/>
      <w:lvlText w:val="(%1)"/>
      <w:numFmt w:val="lowerLetter"/>
      <w:start w:val="4"/>
    </w:lvl>
  </w:abstractNum>
  <w:abstractNum w:abstractNumId="123">
    <w:nsid w:val="14D53685"/>
    <w:multiLevelType w:val="hybridMultilevel"/>
    <w:lvl w:ilvl="0">
      <w:lvlJc w:val="left"/>
      <w:lvlText w:val="(%1)"/>
      <w:numFmt w:val="lowerLetter"/>
      <w:start w:val="2"/>
    </w:lvl>
  </w:abstractNum>
  <w:abstractNum w:abstractNumId="124">
    <w:nsid w:val="230F856C"/>
    <w:multiLevelType w:val="hybridMultilevel"/>
    <w:lvl w:ilvl="0">
      <w:lvlJc w:val="left"/>
      <w:lvlText w:val="(%1)"/>
      <w:numFmt w:val="lowerRoman"/>
      <w:start w:val="1"/>
    </w:lvl>
  </w:abstractNum>
  <w:abstractNum w:abstractNumId="125">
    <w:nsid w:val="6EAA85FB"/>
    <w:multiLevelType w:val="hybridMultilevel"/>
    <w:lvl w:ilvl="0">
      <w:lvlJc w:val="left"/>
      <w:lvlText w:val="%1"/>
      <w:numFmt w:val="lowerLetter"/>
      <w:start w:val="1"/>
    </w:lvl>
    <w:lvl w:ilvl="1">
      <w:lvlJc w:val="left"/>
      <w:lvlText w:val="(%2)"/>
      <w:numFmt w:val="lowerLetter"/>
      <w:start w:val="1"/>
    </w:lvl>
  </w:abstractNum>
  <w:abstractNum w:abstractNumId="126">
    <w:nsid w:val="3F06ECB2"/>
    <w:multiLevelType w:val="hybridMultilevel"/>
    <w:lvl w:ilvl="0">
      <w:lvlJc w:val="left"/>
      <w:lvlText w:val="(%1)"/>
      <w:numFmt w:val="lowerLetter"/>
      <w:start w:val="35"/>
    </w:lvl>
    <w:lvl w:ilvl="1">
      <w:lvlJc w:val="left"/>
      <w:lvlText w:val="%2"/>
      <w:numFmt w:val="lowerLetter"/>
      <w:start w:val="1"/>
    </w:lvl>
  </w:abstractNum>
  <w:abstractNum w:abstractNumId="127">
    <w:nsid w:val="3B594807"/>
    <w:multiLevelType w:val="hybridMultilevel"/>
    <w:lvl w:ilvl="0">
      <w:lvlJc w:val="left"/>
      <w:lvlText w:val="%1"/>
      <w:numFmt w:val="lowerRoman"/>
      <w:start w:val="1"/>
    </w:lvl>
    <w:lvl w:ilvl="1">
      <w:lvlJc w:val="left"/>
      <w:lvlText w:val="(%2)"/>
      <w:numFmt w:val="lowerLetter"/>
      <w:start w:val="8"/>
    </w:lvl>
  </w:abstractNum>
  <w:abstractNum w:abstractNumId="128">
    <w:nsid w:val="6CAA2304"/>
    <w:multiLevelType w:val="hybridMultilevel"/>
    <w:lvl w:ilvl="0">
      <w:lvlJc w:val="left"/>
      <w:lvlText w:val="(%1)"/>
      <w:numFmt w:val="lowerRoman"/>
      <w:start w:val="4"/>
    </w:lvl>
    <w:lvl w:ilvl="1">
      <w:lvlJc w:val="left"/>
      <w:lvlText w:val="(%2)"/>
      <w:numFmt w:val="lowerLetter"/>
      <w:start w:val="11"/>
    </w:lvl>
  </w:abstractNum>
  <w:abstractNum w:abstractNumId="129">
    <w:nsid w:val="3F7C2FF4"/>
    <w:multiLevelType w:val="hybridMultilevel"/>
    <w:lvl w:ilvl="0">
      <w:lvlJc w:val="left"/>
      <w:lvlText w:val="(%1)"/>
      <w:numFmt w:val="lowerLetter"/>
      <w:start w:val="1"/>
    </w:lvl>
  </w:abstractNum>
  <w:abstractNum w:abstractNumId="130">
    <w:nsid w:val="25413BEC"/>
    <w:multiLevelType w:val="hybridMultilevel"/>
    <w:lvl w:ilvl="0">
      <w:lvlJc w:val="left"/>
      <w:lvlText w:val="(%1)"/>
      <w:numFmt w:val="lowerLetter"/>
      <w:start w:val="1"/>
    </w:lvl>
  </w:abstractNum>
  <w:abstractNum w:abstractNumId="131">
    <w:nsid w:val="17180B0B"/>
    <w:multiLevelType w:val="hybridMultilevel"/>
    <w:lvl w:ilvl="0">
      <w:lvlJc w:val="left"/>
      <w:lvlText w:val="(%1)"/>
      <w:numFmt w:val="lowerLetter"/>
      <w:start w:val="7"/>
    </w:lvl>
  </w:abstractNum>
  <w:abstractNum w:abstractNumId="132">
    <w:nsid w:val="579328B9"/>
    <w:multiLevelType w:val="hybridMultilevel"/>
    <w:lvl w:ilvl="0">
      <w:lvlJc w:val="left"/>
      <w:lvlText w:val="%1"/>
      <w:numFmt w:val="lowerLetter"/>
      <w:start w:val="1"/>
    </w:lvl>
    <w:lvl w:ilvl="1">
      <w:lvlJc w:val="left"/>
      <w:lvlText w:val="(%2)"/>
      <w:numFmt w:val="lowerLetter"/>
      <w:start w:val="1"/>
    </w:lvl>
  </w:abstractNum>
  <w:abstractNum w:abstractNumId="133">
    <w:nsid w:val="5D205E20"/>
    <w:multiLevelType w:val="hybridMultilevel"/>
    <w:lvl w:ilvl="0">
      <w:lvlJc w:val="left"/>
      <w:lvlText w:val="(%1)"/>
      <w:numFmt w:val="lowerLetter"/>
      <w:start w:val="6"/>
    </w:lvl>
    <w:lvl w:ilvl="1">
      <w:lvlJc w:val="left"/>
      <w:lvlText w:val="(%2)"/>
      <w:numFmt w:val="lowerLetter"/>
      <w:start w:val="7"/>
    </w:lvl>
  </w:abstractNum>
  <w:abstractNum w:abstractNumId="134">
    <w:nsid w:val="11CCA8BA"/>
    <w:multiLevelType w:val="hybridMultilevel"/>
    <w:lvl w:ilvl="0">
      <w:lvlJc w:val="left"/>
      <w:lvlText w:val="%1"/>
      <w:numFmt w:val="lowerRoman"/>
      <w:start w:val="1"/>
    </w:lvl>
    <w:lvl w:ilvl="1">
      <w:lvlJc w:val="left"/>
      <w:lvlText w:val="(%2)"/>
      <w:numFmt w:val="lowerLetter"/>
      <w:start w:val="1"/>
    </w:lvl>
  </w:abstractNum>
  <w:abstractNum w:abstractNumId="135">
    <w:nsid w:val="4D32AB86"/>
    <w:multiLevelType w:val="hybridMultilevel"/>
    <w:lvl w:ilvl="0">
      <w:lvlJc w:val="left"/>
      <w:lvlText w:val="(%1)"/>
      <w:numFmt w:val="lowerRoman"/>
      <w:start w:val="1"/>
    </w:lvl>
    <w:lvl w:ilvl="1">
      <w:lvlJc w:val="left"/>
      <w:lvlText w:val="(%2)"/>
      <w:numFmt w:val="lowerLetter"/>
      <w:start w:val="4"/>
    </w:lvl>
  </w:abstractNum>
  <w:abstractNum w:abstractNumId="136">
    <w:nsid w:val="3F07ACC3"/>
    <w:multiLevelType w:val="hybridMultilevel"/>
    <w:lvl w:ilvl="0">
      <w:lvlJc w:val="left"/>
      <w:lvlText w:val="(%1)"/>
      <w:numFmt w:val="upperLetter"/>
      <w:start w:val="2"/>
    </w:lvl>
  </w:abstractNum>
  <w:abstractNum w:abstractNumId="137">
    <w:nsid w:val="6B47F63E"/>
    <w:multiLevelType w:val="hybridMultilevel"/>
    <w:lvl w:ilvl="0">
      <w:lvlJc w:val="left"/>
      <w:lvlText w:val="(%1)"/>
      <w:numFmt w:val="lowerLetter"/>
      <w:start w:val="1"/>
    </w:lvl>
  </w:abstractNum>
  <w:abstractNum w:abstractNumId="138">
    <w:nsid w:val="5CB44A05"/>
    <w:multiLevelType w:val="hybridMultilevel"/>
    <w:lvl w:ilvl="0">
      <w:lvlJc w:val="left"/>
      <w:lvlText w:val="(%1)"/>
      <w:numFmt w:val="lowerLetter"/>
      <w:start w:val="1"/>
    </w:lvl>
  </w:abstractNum>
  <w:abstractNum w:abstractNumId="139">
    <w:nsid w:val="16CF80F1"/>
    <w:multiLevelType w:val="hybridMultilevel"/>
    <w:lvl w:ilvl="0">
      <w:lvlJc w:val="left"/>
      <w:lvlText w:val="(%1)"/>
      <w:numFmt w:val="lowerLetter"/>
      <w:start w:val="2"/>
    </w:lvl>
  </w:abstractNum>
  <w:abstractNum w:abstractNumId="140">
    <w:nsid w:val="1C695DEC"/>
    <w:multiLevelType w:val="hybridMultilevel"/>
    <w:lvl w:ilvl="0">
      <w:lvlJc w:val="left"/>
      <w:lvlText w:val="(%1)"/>
      <w:numFmt w:val="lowerLetter"/>
      <w:start w:val="1"/>
    </w:lvl>
  </w:abstractNum>
  <w:abstractNum w:abstractNumId="141">
    <w:nsid w:val="3FCFAED9"/>
    <w:multiLevelType w:val="hybridMultilevel"/>
    <w:lvl w:ilvl="0">
      <w:lvlJc w:val="left"/>
      <w:lvlText w:val="%1"/>
      <w:numFmt w:val="decimal"/>
      <w:start w:val="1"/>
    </w:lvl>
    <w:lvl w:ilvl="1">
      <w:lvlJc w:val="left"/>
      <w:lvlText w:val="(%2)"/>
      <w:numFmt w:val="lowerLetter"/>
      <w:start w:val="6"/>
    </w:lvl>
  </w:abstractNum>
  <w:abstractNum w:abstractNumId="142">
    <w:nsid w:val="F856867"/>
    <w:multiLevelType w:val="hybridMultilevel"/>
    <w:lvl w:ilvl="0">
      <w:lvlJc w:val="left"/>
      <w:lvlText w:val="(%1)"/>
      <w:numFmt w:val="decimal"/>
      <w:start w:val="1"/>
    </w:lvl>
    <w:lvl w:ilvl="1">
      <w:lvlJc w:val="left"/>
      <w:lvlText w:val="(%2)"/>
      <w:numFmt w:val="lowerLetter"/>
      <w:start w:val="9"/>
    </w:lvl>
  </w:abstractNum>
  <w:abstractNum w:abstractNumId="143">
    <w:nsid w:val="11B1CC33"/>
    <w:multiLevelType w:val="hybridMultilevel"/>
    <w:lvl w:ilvl="0">
      <w:lvlJc w:val="left"/>
      <w:lvlText w:val="(%1)"/>
      <w:numFmt w:val="lowerLetter"/>
      <w:start w:val="11"/>
    </w:lvl>
  </w:abstractNum>
  <w:abstractNum w:abstractNumId="144">
    <w:nsid w:val="2E22FBB7"/>
    <w:multiLevelType w:val="hybridMultilevel"/>
    <w:lvl w:ilvl="0">
      <w:lvlJc w:val="left"/>
      <w:lvlText w:val="(%1)"/>
      <w:numFmt w:val="lowerLetter"/>
      <w:start w:val="9"/>
    </w:lvl>
  </w:abstractNum>
  <w:abstractNum w:abstractNumId="145">
    <w:nsid w:val="29934699"/>
    <w:multiLevelType w:val="hybridMultilevel"/>
    <w:lvl w:ilvl="0">
      <w:lvlJc w:val="left"/>
      <w:lvlText w:val="%1"/>
      <w:numFmt w:val="lowerLetter"/>
      <w:start w:val="1"/>
    </w:lvl>
    <w:lvl w:ilvl="1">
      <w:lvlJc w:val="left"/>
      <w:lvlText w:val="(%2)"/>
      <w:numFmt w:val="lowerLetter"/>
      <w:start w:val="1"/>
    </w:lvl>
  </w:abstractNum>
  <w:abstractNum w:abstractNumId="146">
    <w:nsid w:val="77485850"/>
    <w:multiLevelType w:val="hybridMultilevel"/>
    <w:lvl w:ilvl="0">
      <w:lvlJc w:val="left"/>
      <w:lvlText w:val="(%1)"/>
      <w:numFmt w:val="lowerLetter"/>
      <w:start w:val="9"/>
    </w:lvl>
    <w:lvl w:ilvl="1">
      <w:lvlJc w:val="left"/>
      <w:lvlText w:val="%2"/>
      <w:numFmt w:val="lowerLetter"/>
      <w:start w:val="1"/>
    </w:lvl>
  </w:abstractNum>
  <w:abstractNum w:abstractNumId="147">
    <w:nsid w:val="744939A3"/>
    <w:multiLevelType w:val="hybridMultilevel"/>
    <w:lvl w:ilvl="0">
      <w:lvlJc w:val="left"/>
      <w:lvlText w:val="(%1)"/>
      <w:numFmt w:val="lowerLetter"/>
      <w:start w:val="2"/>
    </w:lvl>
  </w:abstractNum>
  <w:abstractNum w:abstractNumId="148">
    <w:nsid w:val="4FA0D2E3"/>
    <w:multiLevelType w:val="hybridMultilevel"/>
    <w:lvl w:ilvl="0">
      <w:lvlJc w:val="left"/>
      <w:lvlText w:val="(%1)"/>
      <w:numFmt w:val="lowerRoman"/>
      <w:start w:val="1"/>
    </w:lvl>
  </w:abstractNum>
  <w:abstractNum w:abstractNumId="149">
    <w:nsid w:val="6B1D2C14"/>
    <w:multiLevelType w:val="hybridMultilevel"/>
    <w:lvl w:ilvl="0">
      <w:lvlJc w:val="left"/>
      <w:lvlText w:val="(%1)"/>
      <w:numFmt w:val="lowerLetter"/>
      <w:start w:val="3"/>
    </w:lvl>
  </w:abstractNum>
  <w:abstractNum w:abstractNumId="150">
    <w:nsid w:val="68B867D3"/>
    <w:multiLevelType w:val="hybridMultilevel"/>
    <w:lvl w:ilvl="0">
      <w:lvlJc w:val="left"/>
      <w:lvlText w:val="(%1)"/>
      <w:numFmt w:val="lowerLetter"/>
      <w:start w:val="1"/>
    </w:lvl>
  </w:abstractNum>
  <w:abstractNum w:abstractNumId="151">
    <w:nsid w:val="3F7F5DD9"/>
    <w:multiLevelType w:val="hybridMultilevel"/>
    <w:lvl w:ilvl="0">
      <w:lvlJc w:val="left"/>
      <w:lvlText w:val="%1"/>
      <w:numFmt w:val="lowerRoman"/>
      <w:start w:val="1"/>
    </w:lvl>
    <w:lvl w:ilvl="1">
      <w:lvlJc w:val="left"/>
      <w:lvlText w:val="(%2)"/>
      <w:numFmt w:val="lowerLetter"/>
      <w:start w:val="2"/>
    </w:lvl>
  </w:abstractNum>
  <w:abstractNum w:abstractNumId="152">
    <w:nsid w:val="2AE05A34"/>
    <w:multiLevelType w:val="hybridMultilevel"/>
    <w:lvl w:ilvl="0">
      <w:lvlJc w:val="left"/>
      <w:lvlText w:val="(%1)"/>
      <w:numFmt w:val="lowerRoman"/>
      <w:start w:val="1"/>
    </w:lvl>
    <w:lvl w:ilvl="1">
      <w:lvlJc w:val="left"/>
      <w:lvlText w:val="%2"/>
      <w:numFmt w:val="lowerLetter"/>
      <w:start w:val="1"/>
    </w:lvl>
  </w:abstractNum>
  <w:abstractNum w:abstractNumId="153">
    <w:nsid w:val="32794FF7"/>
    <w:multiLevelType w:val="hybridMultilevel"/>
    <w:lvl w:ilvl="0">
      <w:lvlJc w:val="left"/>
      <w:lvlText w:val="(%1)"/>
      <w:numFmt w:val="lowerLetter"/>
      <w:start w:val="3"/>
    </w:lvl>
  </w:abstractNum>
  <w:abstractNum w:abstractNumId="154">
    <w:nsid w:val="5454945E"/>
    <w:multiLevelType w:val="hybridMultilevel"/>
    <w:lvl w:ilvl="0">
      <w:lvlJc w:val="left"/>
      <w:lvlText w:val="(%1)"/>
      <w:numFmt w:val="lowerLetter"/>
      <w:start w:val="1"/>
    </w:lvl>
  </w:abstractNum>
  <w:abstractNum w:abstractNumId="155">
    <w:nsid w:val="4DEFDFA0"/>
    <w:multiLevelType w:val="hybridMultilevel"/>
    <w:lvl w:ilvl="0">
      <w:lvlJc w:val="left"/>
      <w:lvlText w:val="(%1)"/>
      <w:numFmt w:val="lowerLetter"/>
      <w:start w:val="3"/>
    </w:lvl>
  </w:abstractNum>
  <w:abstractNum w:abstractNumId="156">
    <w:nsid w:val="2123D5F2"/>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1"/>
    </w:lvl>
  </w:abstractNum>
  <w:abstractNum w:abstractNumId="157">
    <w:nsid w:val="135B8110"/>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1"/>
    </w:lvl>
  </w:abstractNum>
  <w:abstractNum w:abstractNumId="158">
    <w:nsid w:val="94927A8"/>
    <w:multiLevelType w:val="hybridMultilevel"/>
    <w:lvl w:ilvl="0">
      <w:lvlJc w:val="left"/>
      <w:lvlText w:val="%1"/>
      <w:numFmt w:val="lowerRoman"/>
      <w:start w:val="1"/>
    </w:lvl>
    <w:lvl w:ilvl="1">
      <w:lvlJc w:val="left"/>
      <w:lvlText w:val="(%2)"/>
      <w:numFmt w:val="upperLetter"/>
      <w:start w:val="2"/>
    </w:lvl>
  </w:abstractNum>
  <w:abstractNum w:abstractNumId="159">
    <w:nsid w:val="DCDF8F6"/>
    <w:multiLevelType w:val="hybridMultilevel"/>
    <w:lvl w:ilvl="0">
      <w:lvlJc w:val="left"/>
      <w:lvlText w:val="(%1)"/>
      <w:numFmt w:val="lowerRoman"/>
      <w:start w:val="3"/>
    </w:lvl>
    <w:lvl w:ilvl="1">
      <w:lvlJc w:val="left"/>
      <w:lvlText w:val="%2"/>
      <w:numFmt w:val="upperLetter"/>
      <w:start w:val="1"/>
    </w:lvl>
  </w:abstractNum>
  <w:abstractNum w:abstractNumId="160">
    <w:nsid w:val="52D7B105"/>
    <w:multiLevelType w:val="hybridMultilevel"/>
    <w:lvl w:ilvl="0">
      <w:lvlJc w:val="left"/>
      <w:lvlText w:val="(%1)"/>
      <w:numFmt w:val="lowerLetter"/>
      <w:start w:val="3"/>
    </w:lvl>
  </w:abstractNum>
  <w:abstractNum w:abstractNumId="161">
    <w:nsid w:val="2E8A6394"/>
    <w:multiLevelType w:val="hybridMultilevel"/>
    <w:lvl w:ilvl="0">
      <w:lvlJc w:val="left"/>
      <w:lvlText w:val="(%1)"/>
      <w:numFmt w:val="lowerLetter"/>
      <w:start w:val="9"/>
    </w:lvl>
    <w:lvl w:ilvl="1">
      <w:lvlJc w:val="left"/>
      <w:lvlText w:val="(%2)"/>
      <w:numFmt w:val="lowerLetter"/>
      <w:start w:val="6"/>
    </w:lvl>
  </w:abstractNum>
  <w:abstractNum w:abstractNumId="162">
    <w:nsid w:val="24E60401"/>
    <w:multiLevelType w:val="hybridMultilevel"/>
    <w:lvl w:ilvl="0">
      <w:lvlJc w:val="left"/>
      <w:lvlText w:val="(%1)"/>
      <w:numFmt w:val="lowerLetter"/>
      <w:start w:val="61"/>
    </w:lvl>
    <w:lvl w:ilvl="1">
      <w:lvlJc w:val="left"/>
      <w:lvlText w:val="%2"/>
      <w:numFmt w:val="lowerLetter"/>
      <w:start w:val="1"/>
    </w:lvl>
  </w:abstractNum>
  <w:abstractNum w:abstractNumId="163">
    <w:nsid w:val="2A6AD9BE"/>
    <w:multiLevelType w:val="hybridMultilevel"/>
    <w:lvl w:ilvl="0">
      <w:lvlJc w:val="left"/>
      <w:lvlText w:val="(%1)"/>
      <w:numFmt w:val="lowerLetter"/>
      <w:start w:val="7"/>
    </w:lvl>
  </w:abstractNum>
  <w:abstractNum w:abstractNumId="164">
    <w:nsid w:val="BAAC1B4"/>
    <w:multiLevelType w:val="hybridMultilevel"/>
    <w:lvl w:ilvl="0">
      <w:lvlJc w:val="left"/>
      <w:lvlText w:val="(%1)"/>
      <w:numFmt w:val="lowerLetter"/>
      <w:start w:val="1"/>
    </w:lvl>
  </w:abstractNum>
  <w:abstractNum w:abstractNumId="165">
    <w:nsid w:val="36B2ACBC"/>
    <w:multiLevelType w:val="hybridMultilevel"/>
    <w:lvl w:ilvl="0">
      <w:lvlJc w:val="left"/>
      <w:lvlText w:val="(%1)"/>
      <w:numFmt w:val="lowerLetter"/>
      <w:start w:val="1"/>
    </w:lvl>
  </w:abstractNum>
  <w:abstractNum w:abstractNumId="166">
    <w:nsid w:val="779D8544"/>
    <w:multiLevelType w:val="hybridMultilevel"/>
    <w:lvl w:ilvl="0">
      <w:lvlJc w:val="left"/>
      <w:lvlText w:val="(%1)"/>
      <w:numFmt w:val="lowerLetter"/>
      <w:start w:val="1"/>
    </w:lvl>
  </w:abstractNum>
  <w:abstractNum w:abstractNumId="167">
    <w:nsid w:val="4AB26E78"/>
    <w:multiLevelType w:val="hybridMultilevel"/>
    <w:lvl w:ilvl="0">
      <w:lvlJc w:val="left"/>
      <w:lvlText w:val="(%1)"/>
      <w:numFmt w:val="lowerLetter"/>
      <w:start w:val="2"/>
    </w:lvl>
  </w:abstractNum>
  <w:abstractNum w:abstractNumId="168">
    <w:nsid w:val="21FAA2FA"/>
    <w:multiLevelType w:val="hybridMultilevel"/>
    <w:lvl w:ilvl="0">
      <w:lvlJc w:val="left"/>
      <w:lvlText w:val="%1."/>
      <w:numFmt w:val="decimal"/>
      <w:start w:val="1"/>
    </w:lvl>
  </w:abstractNum>
  <w:abstractNum w:abstractNumId="169">
    <w:nsid w:val="5451CF49"/>
    <w:multiLevelType w:val="hybridMultilevel"/>
    <w:lvl w:ilvl="0">
      <w:lvlJc w:val="left"/>
      <w:lvlText w:val="%1."/>
      <w:numFmt w:val="decimal"/>
      <w:start w:val="41"/>
    </w:lvl>
  </w:abstractNum>
  <w:abstractNum w:abstractNumId="170">
    <w:nsid w:val="6181EF69"/>
    <w:multiLevelType w:val="hybridMultilevel"/>
    <w:lvl w:ilvl="0">
      <w:lvlJc w:val="left"/>
      <w:lvlText w:val="%1."/>
      <w:numFmt w:val="decimal"/>
      <w:start w:val="1"/>
    </w:lvl>
  </w:abstractNum>
  <w:abstractNum w:abstractNumId="171">
    <w:nsid w:val="3E6400E6"/>
    <w:multiLevelType w:val="hybridMultilevel"/>
    <w:lvl w:ilvl="0">
      <w:lvlJc w:val="left"/>
      <w:lvlText w:val="%1."/>
      <w:numFmt w:val="decimal"/>
      <w:start w:val="1"/>
    </w:lvl>
  </w:abstractNum>
  <w:abstractNum w:abstractNumId="172">
    <w:nsid w:val="14217E23"/>
    <w:multiLevelType w:val="hybridMultilevel"/>
    <w:lvl w:ilvl="0">
      <w:lvlJc w:val="left"/>
      <w:lvlText w:val="%1."/>
      <w:numFmt w:val="decimal"/>
      <w:start w:val="1"/>
    </w:lvl>
  </w:abstractNum>
  <w:abstractNum w:abstractNumId="173">
    <w:nsid w:val="710757D0"/>
    <w:multiLevelType w:val="hybridMultilevel"/>
    <w:lvl w:ilvl="0">
      <w:lvlJc w:val="left"/>
      <w:lvlText w:val="%1."/>
      <w:numFmt w:val="decimal"/>
      <w:start w:val="3"/>
    </w:lvl>
  </w:abstractNum>
  <w:abstractNum w:abstractNumId="174">
    <w:nsid w:val="5015CD1A"/>
    <w:multiLevelType w:val="hybridMultilevel"/>
    <w:lvl w:ilvl="0">
      <w:lvlJc w:val="left"/>
      <w:lvlText w:val="1"/>
      <w:numFmt w:val="bullet"/>
      <w:start w:val="1"/>
    </w:lvl>
  </w:abstractNum>
  <w:abstractNum w:abstractNumId="175">
    <w:nsid w:val="424479DA"/>
    <w:multiLevelType w:val="hybridMultilevel"/>
    <w:lvl w:ilvl="0">
      <w:lvlJc w:val="left"/>
      <w:lvlText w:val="%1."/>
      <w:numFmt w:val="decimal"/>
      <w:start w:val="5"/>
    </w:lvl>
  </w:abstractNum>
  <w:abstractNum w:abstractNumId="176">
    <w:nsid w:val="1A9A9E69"/>
    <w:multiLevelType w:val="hybridMultilevel"/>
    <w:lvl w:ilvl="0">
      <w:lvlJc w:val="left"/>
      <w:lvlText w:val="2"/>
      <w:numFmt w:val="bullet"/>
      <w:start w:val="1"/>
    </w:lvl>
  </w:abstractNum>
  <w:abstractNum w:abstractNumId="177">
    <w:nsid w:val="475E256A"/>
    <w:multiLevelType w:val="hybridMultilevel"/>
    <w:lvl w:ilvl="0">
      <w:lvlJc w:val="left"/>
      <w:lvlText w:val="3"/>
      <w:numFmt w:val="bullet"/>
      <w:start w:val="1"/>
    </w:lvl>
  </w:abstractNum>
  <w:abstractNum w:abstractNumId="178">
    <w:nsid w:val="368DB37E"/>
    <w:multiLevelType w:val="hybridMultilevel"/>
    <w:lvl w:ilvl="0">
      <w:lvlJc w:val="left"/>
      <w:lvlText w:val="4"/>
      <w:numFmt w:val="bullet"/>
      <w:start w:val="1"/>
    </w:lvl>
  </w:abstractNum>
  <w:abstractNum w:abstractNumId="179">
    <w:nsid w:val="6A3B714C"/>
    <w:multiLevelType w:val="hybridMultilevel"/>
    <w:lvl w:ilvl="0">
      <w:lvlJc w:val="left"/>
      <w:lvlText w:val="5"/>
      <w:numFmt w:val="bullet"/>
      <w:start w:val="1"/>
    </w:lvl>
  </w:abstractNum>
  <w:abstractNum w:abstractNumId="180">
    <w:nsid w:val="327B517E"/>
    <w:multiLevelType w:val="hybridMultilevel"/>
    <w:lvl w:ilvl="0">
      <w:lvlJc w:val="left"/>
      <w:lvlText w:val="%1."/>
      <w:numFmt w:val="decimal"/>
      <w:start w:val="2"/>
    </w:lvl>
  </w:abstractNum>
  <w:abstractNum w:abstractNumId="181">
    <w:nsid w:val="1F461B51"/>
    <w:multiLevelType w:val="hybridMultilevel"/>
    <w:lvl w:ilvl="0">
      <w:lvlJc w:val="left"/>
      <w:lvlText w:val="%1."/>
      <w:numFmt w:val="decimal"/>
      <w:start w:val="3"/>
    </w:lvl>
  </w:abstractNum>
  <w:abstractNum w:abstractNumId="182">
    <w:nsid w:val="29BACF25"/>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2020-05-05T15:20:08Z</dcterms:created>
  <dcterms:modified xsi:type="dcterms:W3CDTF">2020-05-05T15:20:08Z</dcterms:modified>
</cp:coreProperties>
</file>