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left="1060" w:right="1920"/>
        <w:spacing w:after="0" w:line="266" w:lineRule="auto"/>
        <w:rPr>
          <w:sz w:val="20"/>
          <w:szCs w:val="20"/>
          <w:color w:val="auto"/>
        </w:rPr>
      </w:pPr>
      <w:r>
        <w:rPr>
          <w:rFonts w:ascii="Arial" w:cs="Arial" w:eastAsia="Arial" w:hAnsi="Arial"/>
          <w:sz w:val="18"/>
          <w:szCs w:val="18"/>
          <w:b w:val="1"/>
          <w:bCs w:val="1"/>
          <w:color w:val="auto"/>
        </w:rPr>
        <w:t>As filed with the Securities and Exchange Commission on December 13, 2019. Securities Act Registration No. 333-230014 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71755</wp:posOffset>
            </wp:positionV>
            <wp:extent cx="6723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114935</wp:posOffset>
            </wp:positionV>
            <wp:extent cx="6723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64"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177165</wp:posOffset>
            </wp:positionV>
            <wp:extent cx="6723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343535</wp:posOffset>
            </wp:positionV>
            <wp:extent cx="6723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 w:lineRule="exact"/>
        <w:rPr>
          <w:sz w:val="24"/>
          <w:szCs w:val="24"/>
          <w:color w:val="auto"/>
        </w:rPr>
      </w:pPr>
    </w:p>
    <w:p>
      <w:pPr>
        <w:ind w:left="4660"/>
        <w:spacing w:after="0" w:line="207" w:lineRule="exact"/>
        <w:rPr>
          <w:sz w:val="20"/>
          <w:szCs w:val="20"/>
          <w:color w:val="auto"/>
        </w:rPr>
      </w:pPr>
      <w:r>
        <w:rPr>
          <w:rFonts w:ascii="Arial" w:cs="Arial" w:eastAsia="Arial" w:hAnsi="Arial"/>
          <w:sz w:val="18"/>
          <w:szCs w:val="18"/>
          <w:b w:val="1"/>
          <w:bCs w:val="1"/>
          <w:color w:val="auto"/>
        </w:rPr>
        <w:t xml:space="preserve">Post-Effective Amendment No. 2 </w:t>
      </w:r>
      <w:r>
        <w:rPr>
          <w:rFonts w:ascii="MS PGothic" w:cs="MS PGothic" w:eastAsia="MS PGothic" w:hAnsi="MS PGothic"/>
          <w:sz w:val="18"/>
          <w:szCs w:val="18"/>
          <w:color w:val="auto"/>
        </w:rPr>
        <w:t>☒</w:t>
      </w:r>
    </w:p>
    <w:p>
      <w:pPr>
        <w:spacing w:after="0" w:line="9"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b w:val="1"/>
          <w:bCs w:val="1"/>
          <w:color w:val="auto"/>
        </w:rPr>
        <w:t xml:space="preserve">Pre-Effective Amendment </w:t>
      </w:r>
      <w:r>
        <w:rPr>
          <w:rFonts w:ascii="MS PGothic" w:cs="MS PGothic" w:eastAsia="MS PGothic" w:hAnsi="MS PGothic"/>
          <w:sz w:val="18"/>
          <w:szCs w:val="18"/>
          <w:color w:val="auto"/>
        </w:rPr>
        <w:t>☐</w:t>
      </w:r>
    </w:p>
    <w:p>
      <w:pPr>
        <w:spacing w:after="0" w:line="297"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PennantPark Investment Corporation</w:t>
      </w:r>
    </w:p>
    <w:p>
      <w:pPr>
        <w:spacing w:after="0" w:line="4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167640</wp:posOffset>
            </wp:positionV>
            <wp:extent cx="6723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34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590 Madison Avenue</w:t>
      </w:r>
    </w:p>
    <w:p>
      <w:pPr>
        <w:spacing w:after="0" w:line="2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(212) 905-1000</w:t>
      </w:r>
    </w:p>
    <w:p>
      <w:pPr>
        <w:spacing w:after="0" w:line="2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168910</wp:posOffset>
            </wp:positionV>
            <wp:extent cx="6723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34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i w:val="1"/>
          <w:iCs w:val="1"/>
          <w:color w:val="auto"/>
        </w:rPr>
        <w:t>Copies to:</w:t>
      </w:r>
    </w:p>
    <w:p>
      <w:pPr>
        <w:spacing w:after="0" w:line="8"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Thomas Friedmann</w:t>
      </w:r>
    </w:p>
    <w:p>
      <w:pPr>
        <w:spacing w:after="0" w:line="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Washington, DC 20006-1110</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72"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180340</wp:posOffset>
            </wp:positionV>
            <wp:extent cx="6723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304" w:lineRule="exact"/>
        <w:rPr>
          <w:sz w:val="24"/>
          <w:szCs w:val="24"/>
          <w:color w:val="auto"/>
        </w:rPr>
      </w:pPr>
    </w:p>
    <w:p>
      <w:pPr>
        <w:ind w:left="640" w:firstLine="10"/>
        <w:spacing w:after="0" w:line="233" w:lineRule="exact"/>
        <w:rPr>
          <w:sz w:val="20"/>
          <w:szCs w:val="20"/>
          <w:color w:val="auto"/>
        </w:rPr>
      </w:pPr>
      <w:r>
        <w:rPr>
          <w:rFonts w:ascii="Arial" w:cs="Arial" w:eastAsia="Arial" w:hAnsi="Arial"/>
          <w:sz w:val="17"/>
          <w:szCs w:val="17"/>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7"/>
          <w:szCs w:val="17"/>
          <w:color w:val="auto"/>
        </w:rPr>
        <w:t>☒</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77" w:lineRule="exact"/>
        <w:rPr>
          <w:sz w:val="24"/>
          <w:szCs w:val="24"/>
          <w:color w:val="auto"/>
        </w:rPr>
      </w:pPr>
    </w:p>
    <w:p>
      <w:pPr>
        <w:ind w:left="860" w:hanging="206"/>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ectPr>
          <w:pgSz w:w="11900" w:h="16838" w:orient="portrait"/>
          <w:cols w:equalWidth="0" w:num="1">
            <w:col w:w="10620"/>
          </w:cols>
          <w:pgMar w:left="240" w:top="230" w:right="10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3800" w:type="dxa"/>
            <w:vAlign w:val="bottom"/>
            <w:tcBorders>
              <w:top w:val="single" w:sz="8" w:color="auto"/>
              <w:left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Proposed Maximum</w:t>
            </w:r>
          </w:p>
        </w:tc>
        <w:tc>
          <w:tcPr>
            <w:tcW w:w="120" w:type="dxa"/>
            <w:vAlign w:val="bottom"/>
            <w:tcBorders>
              <w:top w:val="single" w:sz="8" w:color="auto"/>
            </w:tcBorders>
          </w:tcPr>
          <w:p>
            <w:pPr>
              <w:spacing w:after="0"/>
              <w:rPr>
                <w:sz w:val="12"/>
                <w:szCs w:val="12"/>
                <w:color w:val="auto"/>
              </w:rPr>
            </w:pPr>
          </w:p>
        </w:tc>
        <w:tc>
          <w:tcPr>
            <w:tcW w:w="1780" w:type="dxa"/>
            <w:vAlign w:val="bottom"/>
            <w:tcBorders>
              <w:top w:val="single" w:sz="8" w:color="auto"/>
              <w:right w:val="single" w:sz="8" w:color="auto"/>
            </w:tcBorders>
          </w:tcPr>
          <w:p>
            <w:pPr>
              <w:jc w:val="center"/>
              <w:ind w:right="428"/>
              <w:spacing w:after="0" w:line="139" w:lineRule="exact"/>
              <w:rPr>
                <w:sz w:val="20"/>
                <w:szCs w:val="20"/>
                <w:color w:val="auto"/>
              </w:rPr>
            </w:pPr>
            <w:r>
              <w:rPr>
                <w:rFonts w:ascii="Arial" w:cs="Arial" w:eastAsia="Arial" w:hAnsi="Arial"/>
                <w:sz w:val="14"/>
                <w:szCs w:val="14"/>
                <w:b w:val="1"/>
                <w:bCs w:val="1"/>
                <w:color w:val="auto"/>
                <w:w w:val="93"/>
              </w:rPr>
              <w:t>Proposed Maximum</w:t>
            </w: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00" w:type="dxa"/>
            <w:vAlign w:val="bottom"/>
            <w:tcBorders>
              <w:left w:val="single" w:sz="8" w:color="auto"/>
              <w:right w:val="single" w:sz="8" w:color="auto"/>
            </w:tcBorders>
            <w:vMerge w:val="restart"/>
          </w:tcPr>
          <w:p>
            <w:pPr>
              <w:ind w:left="880"/>
              <w:spacing w:after="0"/>
              <w:rPr>
                <w:sz w:val="20"/>
                <w:szCs w:val="20"/>
                <w:color w:val="auto"/>
              </w:rPr>
            </w:pPr>
            <w:r>
              <w:rPr>
                <w:rFonts w:ascii="Arial" w:cs="Arial" w:eastAsia="Arial" w:hAnsi="Arial"/>
                <w:sz w:val="14"/>
                <w:szCs w:val="14"/>
                <w:b w:val="1"/>
                <w:bCs w:val="1"/>
                <w:color w:val="auto"/>
              </w:rPr>
              <w:t>Title of Securities Being Registered</w:t>
            </w:r>
          </w:p>
        </w:tc>
        <w:tc>
          <w:tcPr>
            <w:tcW w:w="1160" w:type="dxa"/>
            <w:vAlign w:val="bottom"/>
            <w:tcBorders>
              <w:right w:val="single" w:sz="8" w:color="auto"/>
            </w:tcBorders>
          </w:tcPr>
          <w:p>
            <w:pPr>
              <w:jc w:val="right"/>
              <w:ind w:right="88"/>
              <w:spacing w:after="0" w:line="158" w:lineRule="exact"/>
              <w:rPr>
                <w:sz w:val="20"/>
                <w:szCs w:val="20"/>
                <w:color w:val="auto"/>
              </w:rPr>
            </w:pPr>
            <w:r>
              <w:rPr>
                <w:rFonts w:ascii="Arial" w:cs="Arial" w:eastAsia="Arial" w:hAnsi="Arial"/>
                <w:sz w:val="14"/>
                <w:szCs w:val="14"/>
                <w:b w:val="1"/>
                <w:bCs w:val="1"/>
                <w:color w:val="auto"/>
              </w:rPr>
              <w:t>Amount Being</w:t>
            </w:r>
          </w:p>
        </w:tc>
        <w:tc>
          <w:tcPr>
            <w:tcW w:w="15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20" w:type="dxa"/>
            <w:vAlign w:val="bottom"/>
          </w:tcPr>
          <w:p>
            <w:pPr>
              <w:spacing w:after="0"/>
              <w:rPr>
                <w:sz w:val="13"/>
                <w:szCs w:val="13"/>
                <w:color w:val="auto"/>
              </w:rPr>
            </w:pPr>
          </w:p>
        </w:tc>
        <w:tc>
          <w:tcPr>
            <w:tcW w:w="1780" w:type="dxa"/>
            <w:vAlign w:val="bottom"/>
            <w:tcBorders>
              <w:right w:val="single" w:sz="8" w:color="auto"/>
            </w:tcBorders>
          </w:tcPr>
          <w:p>
            <w:pPr>
              <w:jc w:val="center"/>
              <w:ind w:right="428"/>
              <w:spacing w:after="0" w:line="158" w:lineRule="exact"/>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3"/>
                <w:szCs w:val="13"/>
                <w:color w:val="auto"/>
              </w:rPr>
            </w:pPr>
          </w:p>
        </w:tc>
        <w:tc>
          <w:tcPr>
            <w:tcW w:w="1640" w:type="dxa"/>
            <w:vAlign w:val="bottom"/>
            <w:tcBorders>
              <w:right w:val="single" w:sz="8" w:color="auto"/>
            </w:tcBorders>
          </w:tcPr>
          <w:p>
            <w:pPr>
              <w:jc w:val="center"/>
              <w:ind w:right="42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38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16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Registered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w:t>
            </w: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12"/>
                <w:szCs w:val="12"/>
                <w:color w:val="auto"/>
              </w:rPr>
              <w:t>(2)</w:t>
            </w:r>
          </w:p>
        </w:tc>
        <w:tc>
          <w:tcPr>
            <w:tcW w:w="1160" w:type="dxa"/>
            <w:vAlign w:val="bottom"/>
            <w:tcBorders>
              <w:bottom w:val="single" w:sz="8" w:color="auto"/>
              <w:right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jc w:val="right"/>
              <w:ind w:right="13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Preferred Stock, $0.001 par value</w:t>
            </w:r>
            <w:r>
              <w:rPr>
                <w:rFonts w:ascii="Arial" w:cs="Arial" w:eastAsia="Arial" w:hAnsi="Arial"/>
                <w:sz w:val="12"/>
                <w:szCs w:val="12"/>
                <w:color w:val="auto"/>
              </w:rPr>
              <w:t>(2)</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Warrants</w:t>
            </w:r>
            <w:r>
              <w:rPr>
                <w:rFonts w:ascii="Arial" w:cs="Arial" w:eastAsia="Arial" w:hAnsi="Arial"/>
                <w:sz w:val="12"/>
                <w:szCs w:val="12"/>
                <w:color w:val="auto"/>
              </w:rPr>
              <w:t>(2)</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Subscription Rights</w:t>
            </w:r>
            <w:r>
              <w:rPr>
                <w:rFonts w:ascii="Arial" w:cs="Arial" w:eastAsia="Arial" w:hAnsi="Arial"/>
                <w:sz w:val="12"/>
                <w:szCs w:val="12"/>
                <w:color w:val="auto"/>
              </w:rPr>
              <w:t>(3)</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Debt Securities</w:t>
            </w:r>
            <w:r>
              <w:rPr>
                <w:rFonts w:ascii="Arial" w:cs="Arial" w:eastAsia="Arial" w:hAnsi="Arial"/>
                <w:sz w:val="12"/>
                <w:szCs w:val="12"/>
                <w:color w:val="auto"/>
              </w:rPr>
              <w:t>(4)</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Units</w:t>
            </w:r>
            <w:r>
              <w:rPr>
                <w:rFonts w:ascii="Arial" w:cs="Arial" w:eastAsia="Arial" w:hAnsi="Arial"/>
                <w:sz w:val="12"/>
                <w:szCs w:val="12"/>
                <w:color w:val="auto"/>
              </w:rPr>
              <w:t>(5)</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80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right w:val="single" w:sz="8" w:color="auto"/>
            </w:tcBorders>
          </w:tcPr>
          <w:p>
            <w:pPr>
              <w:jc w:val="right"/>
              <w:ind w:right="928"/>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jc w:val="right"/>
              <w:ind w:right="13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750,000,000</w:t>
            </w:r>
            <w:r>
              <w:rPr>
                <w:rFonts w:ascii="Arial" w:cs="Arial" w:eastAsia="Arial" w:hAnsi="Arial"/>
                <w:sz w:val="12"/>
                <w:szCs w:val="12"/>
                <w:color w:val="auto"/>
              </w:rPr>
              <w:t>(6)</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86,925</w:t>
            </w:r>
            <w:r>
              <w:rPr>
                <w:rFonts w:ascii="Arial" w:cs="Arial" w:eastAsia="Arial" w:hAnsi="Arial"/>
                <w:sz w:val="12"/>
                <w:szCs w:val="12"/>
                <w:color w:val="auto"/>
              </w:rPr>
              <w:t>(7)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80" w:right="200" w:hanging="544"/>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86" w:lineRule="exact"/>
        <w:rPr>
          <w:rFonts w:ascii="Arial" w:cs="Arial" w:eastAsia="Arial" w:hAnsi="Arial"/>
          <w:sz w:val="18"/>
          <w:szCs w:val="18"/>
          <w:color w:val="auto"/>
        </w:rPr>
      </w:pPr>
    </w:p>
    <w:p>
      <w:pPr>
        <w:ind w:left="1180" w:right="480" w:hanging="544"/>
        <w:spacing w:after="0" w:line="342"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spacing w:after="0" w:line="29" w:lineRule="exact"/>
        <w:rPr>
          <w:rFonts w:ascii="Arial" w:cs="Arial" w:eastAsia="Arial" w:hAnsi="Arial"/>
          <w:sz w:val="16"/>
          <w:szCs w:val="16"/>
          <w:color w:val="auto"/>
        </w:rPr>
      </w:pPr>
    </w:p>
    <w:p>
      <w:pPr>
        <w:ind w:left="1180" w:right="200" w:hanging="544"/>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number of subscription rights as may be sold, from time to time, representing rights to purchase common stock.</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spacing w:after="0" w:line="86" w:lineRule="exact"/>
        <w:rPr>
          <w:rFonts w:ascii="Arial" w:cs="Arial" w:eastAsia="Arial" w:hAnsi="Arial"/>
          <w:sz w:val="18"/>
          <w:szCs w:val="18"/>
          <w:color w:val="auto"/>
        </w:rPr>
      </w:pPr>
    </w:p>
    <w:p>
      <w:pPr>
        <w:ind w:left="1180" w:right="200" w:hanging="544"/>
        <w:spacing w:after="0" w:line="342"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principal amount of units. Each unit may consist of a combination of any one or more of the securities being registered hereunder and may also include securities issued by the U.S. Treasury.</w:t>
      </w:r>
    </w:p>
    <w:p>
      <w:pPr>
        <w:spacing w:after="0" w:line="29" w:lineRule="exact"/>
        <w:rPr>
          <w:rFonts w:ascii="Arial" w:cs="Arial" w:eastAsia="Arial" w:hAnsi="Arial"/>
          <w:sz w:val="16"/>
          <w:szCs w:val="16"/>
          <w:color w:val="auto"/>
        </w:rPr>
      </w:pPr>
    </w:p>
    <w:p>
      <w:pPr>
        <w:ind w:left="1180" w:right="600" w:hanging="544"/>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no event will the aggregate offering price of all securities issued from time to time pursuant to this registration statement exceed $750,000,000.</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13" w:lineRule="exact"/>
        <w:rPr>
          <w:sz w:val="20"/>
          <w:szCs w:val="20"/>
          <w:color w:val="auto"/>
        </w:rPr>
      </w:pPr>
    </w:p>
    <w:p>
      <w:pPr>
        <w:ind w:left="200" w:right="160" w:firstLine="441"/>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E1A1E"/>
        </w:rPr>
        <w:t>Subject to Completion</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3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62865</wp:posOffset>
            </wp:positionV>
            <wp:extent cx="176657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65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Subscription Rights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Debt Securities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Units</w:t>
      </w:r>
    </w:p>
    <w:p>
      <w:pPr>
        <w:spacing w:after="0" w:line="29" w:lineRule="exact"/>
        <w:rPr>
          <w:sz w:val="20"/>
          <w:szCs w:val="20"/>
          <w:color w:val="auto"/>
        </w:rPr>
      </w:pPr>
    </w:p>
    <w:p>
      <w:pPr>
        <w:ind w:left="200" w:right="280" w:firstLine="55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10" w:lineRule="exact"/>
        <w:rPr>
          <w:sz w:val="20"/>
          <w:szCs w:val="20"/>
          <w:color w:val="auto"/>
        </w:rPr>
      </w:pPr>
    </w:p>
    <w:p>
      <w:pPr>
        <w:ind w:left="200" w:right="120" w:firstLine="55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19" w:lineRule="exact"/>
        <w:rPr>
          <w:sz w:val="20"/>
          <w:szCs w:val="20"/>
          <w:color w:val="auto"/>
        </w:rPr>
      </w:pPr>
    </w:p>
    <w:p>
      <w:pPr>
        <w:ind w:left="200" w:right="32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0" w:lineRule="exact"/>
        <w:rPr>
          <w:sz w:val="20"/>
          <w:szCs w:val="20"/>
          <w:color w:val="auto"/>
        </w:rPr>
      </w:pPr>
    </w:p>
    <w:p>
      <w:pPr>
        <w:ind w:left="200" w:firstLine="551"/>
        <w:spacing w:after="0" w:line="306"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12">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7 and “</w:t>
      </w:r>
      <w:hyperlink w:anchor="page18">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13 of this prospectus for more information.</w:t>
      </w:r>
    </w:p>
    <w:p>
      <w:pPr>
        <w:spacing w:after="0" w:line="2" w:lineRule="exact"/>
        <w:rPr>
          <w:sz w:val="20"/>
          <w:szCs w:val="20"/>
          <w:color w:val="auto"/>
        </w:rPr>
      </w:pPr>
    </w:p>
    <w:p>
      <w:pPr>
        <w:ind w:left="200" w:right="80" w:firstLine="551"/>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December 12, 2019 was $6.57 per share, and our net asset value on September 30, 2019 was $8.68 per share. Our 5.50% notes due 2024, or the 2024 Notes, are traded on The Nasdaq Global Select Market under the symbol “PNNTG.” The last reported closing price of the 2024 Notes on December 12, 2019 was $25.58 per $25 unit.</w:t>
      </w:r>
    </w:p>
    <w:p>
      <w:pPr>
        <w:spacing w:after="0" w:line="22" w:lineRule="exact"/>
        <w:rPr>
          <w:sz w:val="20"/>
          <w:szCs w:val="20"/>
          <w:color w:val="auto"/>
        </w:rPr>
      </w:pPr>
    </w:p>
    <w:p>
      <w:pPr>
        <w:ind w:left="200" w:right="40" w:firstLine="551"/>
        <w:spacing w:after="0" w:line="289"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6" w:lineRule="exact"/>
        <w:rPr>
          <w:sz w:val="20"/>
          <w:szCs w:val="20"/>
          <w:color w:val="auto"/>
        </w:rPr>
      </w:pPr>
    </w:p>
    <w:p>
      <w:pPr>
        <w:ind w:left="200" w:right="60" w:firstLine="44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6" w:lineRule="exact"/>
        <w:rPr>
          <w:sz w:val="20"/>
          <w:szCs w:val="20"/>
          <w:color w:val="auto"/>
        </w:rPr>
      </w:pPr>
    </w:p>
    <w:p>
      <w:pPr>
        <w:ind w:left="200" w:right="460" w:firstLine="441"/>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50" w:lineRule="exact"/>
        <w:rPr>
          <w:sz w:val="20"/>
          <w:szCs w:val="20"/>
          <w:color w:val="auto"/>
        </w:rPr>
      </w:pPr>
    </w:p>
    <w:tbl>
      <w:tblPr>
        <w:tblLayout w:type="fixed"/>
        <w:tblInd w:w="4400" w:type="dxa"/>
        <w:tblCellMar>
          <w:top w:w="0" w:type="dxa"/>
          <w:left w:w="0" w:type="dxa"/>
          <w:bottom w:w="0" w:type="dxa"/>
          <w:right w:w="0" w:type="dxa"/>
        </w:tblCellMar>
      </w:tblP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551"/>
        <w:spacing w:after="0" w:line="289"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2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40" w:type="dxa"/>
            <w:vAlign w:val="bottom"/>
            <w:gridSpan w:val="8"/>
            <w:vMerge w:val="restart"/>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PROSPECTUS SUMMARY</w:t>
              </w:r>
            </w:hyperlink>
          </w:p>
        </w:tc>
        <w:tc>
          <w:tcPr>
            <w:tcW w:w="6700" w:type="dxa"/>
            <w:vAlign w:val="bottom"/>
            <w:gridSpan w:val="18"/>
            <w:vMerge w:val="restart"/>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40" w:type="dxa"/>
            <w:vAlign w:val="bottom"/>
            <w:tcBorders>
              <w:bottom w:val="single" w:sz="8" w:color="0000EE"/>
            </w:tcBorders>
            <w:gridSpan w:val="8"/>
            <w:vMerge w:val="continue"/>
          </w:tcPr>
          <w:p>
            <w:pPr>
              <w:spacing w:after="0"/>
              <w:rPr>
                <w:sz w:val="14"/>
                <w:szCs w:val="14"/>
                <w:color w:val="auto"/>
              </w:rPr>
            </w:pPr>
          </w:p>
        </w:tc>
        <w:tc>
          <w:tcPr>
            <w:tcW w:w="6700" w:type="dxa"/>
            <w:vAlign w:val="bottom"/>
            <w:gridSpan w:val="18"/>
            <w:vMerge w:val="continue"/>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FEES AND EXPENSES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7000" w:type="dxa"/>
            <w:vAlign w:val="bottom"/>
            <w:gridSpan w:val="20"/>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5880" w:type="dxa"/>
            <w:vAlign w:val="bottom"/>
            <w:gridSpan w:val="1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SENIOR SECURITIES</w:t>
              </w:r>
            </w:hyperlink>
          </w:p>
        </w:tc>
        <w:tc>
          <w:tcPr>
            <w:tcW w:w="7060" w:type="dxa"/>
            <w:vAlign w:val="bottom"/>
            <w:gridSpan w:val="21"/>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PRICE RANGE OF COMMON STOCK</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SALES OF COMMON STOCK BELOW NET ASSET VALUE</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DISTRIBUTIONS</w:t>
              </w:r>
            </w:hyperlink>
          </w:p>
        </w:tc>
        <w:tc>
          <w:tcPr>
            <w:tcW w:w="3180" w:type="dxa"/>
            <w:vAlign w:val="bottom"/>
            <w:tcBorders>
              <w:top w:val="single" w:sz="8" w:color="0000EE"/>
            </w:tcBorders>
            <w:gridSpan w:val="20"/>
          </w:tcPr>
          <w:p>
            <w:pPr>
              <w:spacing w:after="0"/>
              <w:rPr>
                <w:sz w:val="17"/>
                <w:szCs w:val="17"/>
                <w:color w:val="auto"/>
              </w:rPr>
            </w:pPr>
          </w:p>
        </w:tc>
        <w:tc>
          <w:tcPr>
            <w:tcW w:w="4220" w:type="dxa"/>
            <w:vAlign w:val="bottom"/>
            <w:gridSpan w:val="4"/>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PORTFOLIO COMPANIES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PORTFOLIO MANAGEMENT</w:t>
              </w:r>
            </w:hyperlink>
          </w:p>
        </w:tc>
        <w:tc>
          <w:tcPr>
            <w:tcW w:w="6460" w:type="dxa"/>
            <w:vAlign w:val="bottom"/>
            <w:gridSpan w:val="16"/>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DETERMINATION OF NET ASSET VALUE</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DIVIDEND REINVESTMENT PLAN</w:t>
              </w:r>
            </w:hyperlink>
          </w:p>
        </w:tc>
        <w:tc>
          <w:tcPr>
            <w:tcW w:w="520" w:type="dxa"/>
            <w:vAlign w:val="bottom"/>
            <w:tcBorders>
              <w:top w:val="single" w:sz="8" w:color="0000EE"/>
            </w:tcBorders>
            <w:gridSpan w:val="5"/>
          </w:tcPr>
          <w:p>
            <w:pPr>
              <w:spacing w:after="0"/>
              <w:rPr>
                <w:sz w:val="17"/>
                <w:szCs w:val="17"/>
                <w:color w:val="auto"/>
              </w:rPr>
            </w:pPr>
          </w:p>
        </w:tc>
        <w:tc>
          <w:tcPr>
            <w:tcW w:w="5460" w:type="dxa"/>
            <w:vAlign w:val="bottom"/>
            <w:gridSpan w:val="9"/>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DESCRIPTION OF OUR CAPITAL STOCK</w:t>
              </w:r>
            </w:hyperlink>
          </w:p>
        </w:tc>
        <w:tc>
          <w:tcPr>
            <w:tcW w:w="5520" w:type="dxa"/>
            <w:vAlign w:val="bottom"/>
            <w:gridSpan w:val="10"/>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OUR PREFERRED STOCK</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8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DESCRIPTION OF OUR WARRANTS</w:t>
              </w:r>
            </w:hyperlink>
          </w:p>
        </w:tc>
        <w:tc>
          <w:tcPr>
            <w:tcW w:w="640" w:type="dxa"/>
            <w:vAlign w:val="bottom"/>
            <w:tcBorders>
              <w:top w:val="single" w:sz="8" w:color="0000EE"/>
            </w:tcBorders>
            <w:gridSpan w:val="6"/>
          </w:tcPr>
          <w:p>
            <w:pPr>
              <w:spacing w:after="0"/>
              <w:rPr>
                <w:sz w:val="17"/>
                <w:szCs w:val="17"/>
                <w:color w:val="auto"/>
              </w:rPr>
            </w:pPr>
          </w:p>
        </w:tc>
        <w:tc>
          <w:tcPr>
            <w:tcW w:w="5260" w:type="dxa"/>
            <w:vAlign w:val="bottom"/>
            <w:gridSpan w:val="7"/>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DESCRIPTION OF OUR SUBSCRIPTION RIGHTS</w:t>
              </w:r>
            </w:hyperlink>
          </w:p>
        </w:tc>
        <w:tc>
          <w:tcPr>
            <w:tcW w:w="4940" w:type="dxa"/>
            <w:vAlign w:val="bottom"/>
            <w:gridSpan w:val="6"/>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OUR DEBT SECURITIES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OUR UNITS</w:t>
              </w:r>
            </w:hyperlink>
          </w:p>
        </w:tc>
        <w:tc>
          <w:tcPr>
            <w:tcW w:w="5380" w:type="dxa"/>
            <w:vAlign w:val="bottom"/>
            <w:gridSpan w:val="8"/>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BROKERAGE ALLOCATIONS AND OTHER PRACTICES</w:t>
              </w:r>
            </w:hyperlink>
          </w:p>
        </w:tc>
        <w:tc>
          <w:tcPr>
            <w:tcW w:w="4360" w:type="dxa"/>
            <w:vAlign w:val="bottom"/>
            <w:gridSpan w:val="5"/>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MATERIAL U.S. FEDERAL INCOME TAX CONSIDERATIONS</w:t>
              </w:r>
            </w:hyperlink>
          </w:p>
        </w:tc>
        <w:tc>
          <w:tcPr>
            <w:tcW w:w="3980" w:type="dxa"/>
            <w:vAlign w:val="bottom"/>
            <w:gridSpan w:val="3"/>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PLAN OF DISTRIBUTION</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SUB-ADMINISTRATOR, CUSTODIAN, TRANSFER AGENT AND TRUSTEE</w:t>
              </w:r>
            </w:hyperlink>
          </w:p>
        </w:tc>
        <w:tc>
          <w:tcPr>
            <w:tcW w:w="2940" w:type="dxa"/>
            <w:vAlign w:val="bottom"/>
            <w:gridSpan w:val="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LEGAL MATTERS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20" w:type="dxa"/>
            <w:vAlign w:val="bottom"/>
            <w:gridSpan w:val="1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INDEPENDENT REGISTERED PUBLIC ACCOUNTING FIRM/INDEPENDENT AUDITOR</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INCORPORATION BY REFERENCE</w:t>
              </w:r>
            </w:hyperlink>
          </w:p>
        </w:tc>
        <w:tc>
          <w:tcPr>
            <w:tcW w:w="4020" w:type="dxa"/>
            <w:vAlign w:val="bottom"/>
            <w:tcBorders>
              <w:top w:val="single" w:sz="8" w:color="0000EE"/>
            </w:tcBorders>
            <w:gridSpan w:val="13"/>
          </w:tcPr>
          <w:p>
            <w:pPr>
              <w:spacing w:after="0"/>
              <w:rPr>
                <w:sz w:val="17"/>
                <w:szCs w:val="17"/>
                <w:color w:val="auto"/>
              </w:rPr>
            </w:pPr>
          </w:p>
        </w:tc>
        <w:tc>
          <w:tcPr>
            <w:tcW w:w="1960" w:type="dxa"/>
            <w:vAlign w:val="bottom"/>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AVAILABLE INFORMATION</w:t>
              </w:r>
            </w:hyperlink>
          </w:p>
        </w:tc>
        <w:tc>
          <w:tcPr>
            <w:tcW w:w="6520" w:type="dxa"/>
            <w:vAlign w:val="bottom"/>
            <w:gridSpan w:val="17"/>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firstLine="551"/>
        <w:spacing w:after="0" w:line="306"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24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64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59645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8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prior to dissolution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which were redeemed in March 2019; “2024 Notes” refers to our 5.50% Notes due 2024; “2025 Notes” refers to our 6.25% notes due 2025;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41" w:lineRule="exact"/>
        <w:rPr>
          <w:sz w:val="20"/>
          <w:szCs w:val="20"/>
          <w:color w:val="auto"/>
        </w:rPr>
      </w:pPr>
    </w:p>
    <w:p>
      <w:pPr>
        <w:ind w:left="380" w:right="40" w:firstLine="426"/>
        <w:spacing w:after="0" w:line="269"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please see “Management’s Discussion and Analysis of Financial Condition and Results of Operations—Liquidity and Capital Resources” in our most recent Annual Report on Form 10-K or Quarterly Report on Form 10-Q.</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80" w:right="240" w:firstLine="42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80" w:right="80" w:firstLine="426"/>
        <w:spacing w:after="0" w:line="255" w:lineRule="auto"/>
        <w:rPr>
          <w:sz w:val="20"/>
          <w:szCs w:val="20"/>
          <w:color w:val="auto"/>
        </w:rPr>
      </w:pPr>
      <w:r>
        <w:rPr>
          <w:rFonts w:ascii="Arial" w:cs="Arial" w:eastAsia="Arial" w:hAnsi="Arial"/>
          <w:sz w:val="18"/>
          <w:szCs w:val="18"/>
          <w:color w:val="auto"/>
        </w:rPr>
        <w:t>SBIC II, our wholly owned subsidiary, was organized in Delaware as a limited partnership in July 2012. SBIC II received a license from the SBA to operate as a Small Business Investment Company, or SBIC, under Section 301(c) of the Small Business Investment Act of 1958, as amended, or the 1958 Act, in 2013. SBIC II’s objectives are to generate both current income and capital appreciation through debt and equity investments generally by investing with us in SBA-eligible businesses that meet the investment selection criteria used by PennantPark Investment. SBIC II may rely on an exclusion from the definition of “investment company” under the 1940 Act. As such, it will not elect to be regulated as a BDC under the 1940 Act.</w:t>
      </w:r>
    </w:p>
    <w:p>
      <w:pPr>
        <w:spacing w:after="0" w:line="193" w:lineRule="exact"/>
        <w:rPr>
          <w:sz w:val="20"/>
          <w:szCs w:val="20"/>
          <w:color w:val="auto"/>
        </w:rPr>
      </w:pPr>
    </w:p>
    <w:p>
      <w:pPr>
        <w:ind w:left="380" w:right="180" w:firstLine="426"/>
        <w:spacing w:after="0" w:line="259"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167" w:lineRule="exact"/>
        <w:rPr>
          <w:sz w:val="20"/>
          <w:szCs w:val="20"/>
          <w:color w:val="auto"/>
        </w:rPr>
      </w:pPr>
    </w:p>
    <w:p>
      <w:pPr>
        <w:ind w:left="380" w:right="240" w:firstLine="426"/>
        <w:spacing w:after="0" w:line="276"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86" w:lineRule="auto"/>
        <w:rPr>
          <w:sz w:val="20"/>
          <w:szCs w:val="20"/>
          <w:color w:val="auto"/>
        </w:rPr>
      </w:pPr>
      <w:r>
        <w:rPr>
          <w:rFonts w:ascii="Arial" w:cs="Arial" w:eastAsia="Arial" w:hAnsi="Arial"/>
          <w:sz w:val="17"/>
          <w:szCs w:val="17"/>
          <w:color w:val="auto"/>
        </w:rPr>
        <w:t>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in our most recent Annual Report on Form 10-K for more information.</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80" w:right="22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80" w:right="160" w:firstLine="533"/>
        <w:spacing w:after="0" w:line="276"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335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4335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80" w:right="380" w:firstLine="426"/>
        <w:spacing w:after="0" w:line="277"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0"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8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right="80" w:firstLine="551"/>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Sales load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Management fees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40" w:type="dxa"/>
            <w:vAlign w:val="bottom"/>
            <w:gridSpan w:val="2"/>
            <w:vMerge w:val="continue"/>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11.25%</w:t>
            </w:r>
            <w:r>
              <w:rPr>
                <w:rFonts w:ascii="Arial" w:cs="Arial" w:eastAsia="Arial" w:hAnsi="Arial"/>
                <w:sz w:val="15"/>
                <w:szCs w:val="15"/>
                <w:color w:val="auto"/>
                <w:w w:val="95"/>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763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4" w:lineRule="exact"/>
        <w:rPr>
          <w:sz w:val="20"/>
          <w:szCs w:val="20"/>
          <w:color w:val="auto"/>
        </w:rPr>
      </w:pPr>
    </w:p>
    <w:p>
      <w:pPr>
        <w:ind w:left="640" w:right="840" w:hanging="436"/>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2019.</w:t>
      </w:r>
    </w:p>
    <w:p>
      <w:pPr>
        <w:spacing w:after="0" w:line="9" w:lineRule="exact"/>
        <w:rPr>
          <w:rFonts w:ascii="Arial" w:cs="Arial" w:eastAsia="Arial" w:hAnsi="Arial"/>
          <w:sz w:val="18"/>
          <w:szCs w:val="18"/>
          <w:color w:val="auto"/>
        </w:rPr>
      </w:pPr>
    </w:p>
    <w:p>
      <w:pPr>
        <w:jc w:val="both"/>
        <w:ind w:left="640" w:right="100" w:hanging="436"/>
        <w:spacing w:after="0" w:line="28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contractual management fee is calculated at an annual rate of 1.50% of our average adjusted gross assets up to 200% of the Company’s total net assets as of the immediately preceding quarter-end and 1.00% for amounts that exceed such amount on September 30, 2019. See “Business— Investment Management Agreement” and “Business—Management Fees” in our most recent Annual Report on Form 10-K for more information.</w:t>
      </w:r>
    </w:p>
    <w:p>
      <w:pPr>
        <w:spacing w:after="0" w:line="2" w:lineRule="exact"/>
        <w:rPr>
          <w:rFonts w:ascii="Arial" w:cs="Arial" w:eastAsia="Arial" w:hAnsi="Arial"/>
          <w:sz w:val="16"/>
          <w:szCs w:val="16"/>
          <w:color w:val="auto"/>
        </w:rPr>
      </w:pPr>
    </w:p>
    <w:p>
      <w:pPr>
        <w:ind w:left="640" w:right="60" w:hanging="436"/>
        <w:spacing w:after="0" w:line="265"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“Business—Management Fees” in our most recent Annual Report on Form 10-K for more information.</w:t>
      </w:r>
    </w:p>
    <w:p>
      <w:pPr>
        <w:spacing w:after="0" w:line="2" w:lineRule="exact"/>
        <w:rPr>
          <w:rFonts w:ascii="Arial" w:cs="Arial" w:eastAsia="Arial" w:hAnsi="Arial"/>
          <w:sz w:val="17"/>
          <w:szCs w:val="17"/>
          <w:color w:val="auto"/>
        </w:rPr>
      </w:pPr>
    </w:p>
    <w:p>
      <w:pPr>
        <w:ind w:left="640" w:right="60" w:hanging="436"/>
        <w:spacing w:after="0" w:line="273"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of September 30, 2019, we had $252.4 million of unused borrowing capacity, subject to maintenance of the applicable total assets to debt ratio, under the 1940 Act. As of such date, we had $301.6 million in borrowings outstanding under our $475.0 million SunTrust Credit Facility, $171.0 million in borrowings outstanding under our $250.0 million BNP Credit Facility and $75.0 million in aggregate principal of 2024 Notes. As of September 30, 2019, our SBIC Funds had debenture commitments from the SBA in the amount</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spacing w:after="0" w:line="268" w:lineRule="auto"/>
        <w:rPr>
          <w:sz w:val="20"/>
          <w:szCs w:val="20"/>
          <w:color w:val="auto"/>
        </w:rPr>
      </w:pPr>
      <w:r>
        <w:rPr>
          <w:rFonts w:ascii="Arial" w:cs="Arial" w:eastAsia="Arial" w:hAnsi="Arial"/>
          <w:sz w:val="17"/>
          <w:szCs w:val="17"/>
          <w:color w:val="auto"/>
        </w:rPr>
        <w:t>of $150.0 million, all of which were outstanding with a weighted average interest rate of 3.11%, exclusive of the 3.43% of upfront fees. We may use proceeds of an offering of securities under this registration statement to repay outstanding obligations under our Credit Facilities. After completing any such offering, we may continue to borrow under our Credit Facilities to finance our investment objectives. Annual interest expense on borrowed funds represents actual interest expense incurred for the fiscal year ended September 30, 2019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1" w:lineRule="exact"/>
        <w:rPr>
          <w:sz w:val="20"/>
          <w:szCs w:val="20"/>
          <w:color w:val="auto"/>
        </w:rPr>
      </w:pPr>
    </w:p>
    <w:p>
      <w:pPr>
        <w:ind w:left="640" w:right="200" w:hanging="436"/>
        <w:spacing w:after="0" w:line="28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right="20" w:hanging="436"/>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5.39% of average total assets.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10.40%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680" w:type="dxa"/>
            <w:vAlign w:val="bottom"/>
            <w:gridSpan w:val="2"/>
          </w:tcPr>
          <w:p>
            <w:pPr>
              <w:ind w:left="280"/>
              <w:spacing w:after="0"/>
              <w:rPr>
                <w:sz w:val="20"/>
                <w:szCs w:val="20"/>
                <w:color w:val="auto"/>
              </w:rPr>
            </w:pPr>
            <w:r>
              <w:rPr>
                <w:rFonts w:ascii="Arial" w:cs="Arial" w:eastAsia="Arial" w:hAnsi="Arial"/>
                <w:sz w:val="14"/>
                <w:szCs w:val="14"/>
                <w:b w:val="1"/>
                <w:bCs w:val="1"/>
                <w:color w:val="auto"/>
                <w:w w:val="90"/>
              </w:rPr>
              <w:t>1 Year</w:t>
            </w:r>
          </w:p>
        </w:tc>
        <w:tc>
          <w:tcPr>
            <w:tcW w:w="1020" w:type="dxa"/>
            <w:vAlign w:val="bottom"/>
            <w:gridSpan w:val="3"/>
          </w:tcPr>
          <w:p>
            <w:pPr>
              <w:ind w:left="560"/>
              <w:spacing w:after="0"/>
              <w:rPr>
                <w:sz w:val="20"/>
                <w:szCs w:val="20"/>
                <w:color w:val="auto"/>
              </w:rPr>
            </w:pPr>
            <w:r>
              <w:rPr>
                <w:rFonts w:ascii="Arial" w:cs="Arial" w:eastAsia="Arial" w:hAnsi="Arial"/>
                <w:sz w:val="14"/>
                <w:szCs w:val="14"/>
                <w:b w:val="1"/>
                <w:bCs w:val="1"/>
                <w:color w:val="auto"/>
                <w:w w:val="88"/>
              </w:rPr>
              <w:t>3 Years</w:t>
            </w:r>
          </w:p>
        </w:tc>
        <w:tc>
          <w:tcPr>
            <w:tcW w:w="1020" w:type="dxa"/>
            <w:vAlign w:val="bottom"/>
            <w:gridSpan w:val="3"/>
          </w:tcPr>
          <w:p>
            <w:pPr>
              <w:ind w:left="56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4"/>
          </w:tcPr>
          <w:p>
            <w:pPr>
              <w:ind w:left="580"/>
              <w:spacing w:after="0"/>
              <w:rPr>
                <w:sz w:val="20"/>
                <w:szCs w:val="20"/>
                <w:color w:val="auto"/>
              </w:rPr>
            </w:pPr>
            <w:r>
              <w:rPr>
                <w:rFonts w:ascii="Arial" w:cs="Arial" w:eastAsia="Arial" w:hAnsi="Arial"/>
                <w:sz w:val="14"/>
                <w:szCs w:val="14"/>
                <w:b w:val="1"/>
                <w:bCs w:val="1"/>
                <w:color w:val="auto"/>
                <w:w w:val="97"/>
              </w:rPr>
              <w:t>10 Years</w:t>
            </w: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Assuming a 5% annual return (assumes no return from net realized capital gains or</w:t>
            </w: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44"/>
        </w:trPr>
        <w:tc>
          <w:tcPr>
            <w:tcW w:w="20" w:type="dxa"/>
            <w:vAlign w:val="bottom"/>
          </w:tcPr>
          <w:p>
            <w:pPr>
              <w:spacing w:after="0"/>
              <w:rPr>
                <w:sz w:val="21"/>
                <w:szCs w:val="21"/>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unrealized capital appreciation)</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$ 133</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312</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473</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4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spacing w:after="0" w:line="201" w:lineRule="exact"/>
              <w:rPr>
                <w:sz w:val="20"/>
                <w:szCs w:val="20"/>
                <w:color w:val="auto"/>
              </w:rPr>
            </w:pPr>
            <w:r>
              <w:rPr>
                <w:rFonts w:ascii="Arial" w:cs="Arial" w:eastAsia="Arial" w:hAnsi="Arial"/>
                <w:sz w:val="18"/>
                <w:szCs w:val="18"/>
                <w:color w:val="auto"/>
                <w:w w:val="94"/>
              </w:rPr>
              <w:t>Assuming a 5% annual return (assumes return from only realized capital gains and</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thus subject to the capital gains incentive fee)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w w:val="84"/>
              </w:rPr>
              <w:t>$ 140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332</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500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836</w:t>
            </w:r>
          </w:p>
        </w:tc>
        <w:tc>
          <w:tcPr>
            <w:tcW w:w="40" w:type="dxa"/>
            <w:vAlign w:val="bottom"/>
          </w:tcPr>
          <w:p>
            <w:pPr>
              <w:spacing w:after="0"/>
              <w:rPr>
                <w:sz w:val="21"/>
                <w:szCs w:val="21"/>
                <w:color w:val="auto"/>
              </w:rPr>
            </w:pPr>
          </w:p>
        </w:tc>
      </w:tr>
    </w:tbl>
    <w:p>
      <w:pPr>
        <w:spacing w:after="0" w:line="20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net asset value and market price of our common stock could decline or the value of our preferred stock, warrants, subscription rights, debt securities or units may decline, and investors may lose all or part of their investment. Please also read carefully the section titled “Forward-Looking Statements.”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4"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6" w:lineRule="exact"/>
        <w:rPr>
          <w:sz w:val="20"/>
          <w:szCs w:val="20"/>
          <w:color w:val="auto"/>
        </w:rPr>
      </w:pPr>
    </w:p>
    <w:p>
      <w:pPr>
        <w:ind w:left="200" w:right="660" w:firstLine="4"/>
        <w:spacing w:after="0" w:line="323" w:lineRule="auto"/>
        <w:tabs>
          <w:tab w:leader="none" w:pos="485" w:val="left"/>
        </w:tabs>
        <w:numPr>
          <w:ilvl w:val="0"/>
          <w:numId w:val="6"/>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September 30, 2019, 2018, 2017, 2016, 2015, 2014, 2013, 2012, 2011, and 2010,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Asset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13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0"/>
              </w:rPr>
              <w:t>Coverage</w:t>
            </w:r>
          </w:p>
        </w:tc>
        <w:tc>
          <w:tcPr>
            <w:tcW w:w="172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58"/>
        </w:trPr>
        <w:tc>
          <w:tcPr>
            <w:tcW w:w="5600" w:type="dxa"/>
            <w:vAlign w:val="bottom"/>
            <w:gridSpan w:val="3"/>
            <w:vMerge w:val="continue"/>
          </w:tcPr>
          <w:p>
            <w:pPr>
              <w:spacing w:after="0"/>
              <w:rPr>
                <w:sz w:val="13"/>
                <w:szCs w:val="13"/>
                <w:color w:val="auto"/>
              </w:rPr>
            </w:pPr>
          </w:p>
        </w:tc>
        <w:tc>
          <w:tcPr>
            <w:tcW w:w="2240" w:type="dxa"/>
            <w:vAlign w:val="bottom"/>
            <w:gridSpan w:val="3"/>
          </w:tcPr>
          <w:p>
            <w:pPr>
              <w:ind w:left="132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480" w:type="dxa"/>
            <w:vAlign w:val="bottom"/>
            <w:gridSpan w:val="3"/>
          </w:tcPr>
          <w:p>
            <w:pPr>
              <w:ind w:left="640"/>
              <w:spacing w:after="0" w:line="158" w:lineRule="exact"/>
              <w:rPr>
                <w:sz w:val="20"/>
                <w:szCs w:val="20"/>
                <w:color w:val="auto"/>
              </w:rPr>
            </w:pPr>
            <w:r>
              <w:rPr>
                <w:rFonts w:ascii="Arial" w:cs="Arial" w:eastAsia="Arial" w:hAnsi="Arial"/>
                <w:sz w:val="14"/>
                <w:szCs w:val="14"/>
                <w:b w:val="1"/>
                <w:bCs w:val="1"/>
                <w:color w:val="auto"/>
                <w:w w:val="95"/>
              </w:rPr>
              <w:t>per Unit</w:t>
            </w:r>
            <w:r>
              <w:rPr>
                <w:rFonts w:ascii="Arial" w:cs="Arial" w:eastAsia="Arial" w:hAnsi="Arial"/>
                <w:sz w:val="12"/>
                <w:szCs w:val="12"/>
                <w:b w:val="1"/>
                <w:bCs w:val="1"/>
                <w:color w:val="auto"/>
                <w:w w:val="95"/>
              </w:rPr>
              <w:t>(2),(3)</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Facilities, 2019 Notes, 2024 Notes and 2025 Notes</w:t>
            </w: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5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547,636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2,066</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24.87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330,520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15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329,393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2,998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1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15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458,114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2,586</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25.13</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1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376,476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24.51</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15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216,750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4,205</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24.79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1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5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240,900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15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640" w:right="26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ind w:left="640" w:right="460" w:hanging="436"/>
        <w:spacing w:after="0" w:line="281"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1" w:lineRule="exact"/>
        <w:rPr>
          <w:rFonts w:ascii="Arial" w:cs="Arial" w:eastAsia="Arial" w:hAnsi="Arial"/>
          <w:sz w:val="16"/>
          <w:szCs w:val="16"/>
          <w:color w:val="auto"/>
        </w:rPr>
      </w:pPr>
    </w:p>
    <w:p>
      <w:pPr>
        <w:ind w:left="640" w:right="200" w:hanging="436"/>
        <w:spacing w:after="0" w:line="265"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 and no amounts were outstanding as of September 30, 2019.</w:t>
      </w: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amount includes SBIC LP’s SBA debentures in the total amount outstanding and our asset coverage per unit computation.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02"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2017. On December 12, 2019, the last reported closing price of our common stock was $6.57 per share.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w w:val="98"/>
              </w:rPr>
              <w:t>Closing Sales Price</w:t>
            </w: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Premium (Discount)</w:t>
            </w:r>
          </w:p>
        </w:tc>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Premium (Discount)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40" w:type="dxa"/>
            <w:vAlign w:val="bottom"/>
            <w:tcBorders>
              <w:bottom w:val="single" w:sz="8" w:color="auto"/>
            </w:tcBorders>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160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of High Sales</w:t>
            </w:r>
          </w:p>
        </w:tc>
        <w:tc>
          <w:tcPr>
            <w:tcW w:w="200" w:type="dxa"/>
            <w:vAlign w:val="bottom"/>
          </w:tcPr>
          <w:p>
            <w:pPr>
              <w:spacing w:after="0"/>
              <w:rPr>
                <w:sz w:val="6"/>
                <w:szCs w:val="6"/>
                <w:color w:val="auto"/>
              </w:rPr>
            </w:pPr>
          </w:p>
        </w:tc>
        <w:tc>
          <w:tcPr>
            <w:tcW w:w="16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1260" w:type="dxa"/>
            <w:vAlign w:val="bottom"/>
            <w:gridSpan w:val="4"/>
            <w:vMerge w:val="restart"/>
          </w:tcPr>
          <w:p>
            <w:pPr>
              <w:ind w:left="200"/>
              <w:spacing w:after="0" w:line="149" w:lineRule="exact"/>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52"/>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420" w:type="dxa"/>
            <w:vAlign w:val="bottom"/>
          </w:tcPr>
          <w:p>
            <w:pPr>
              <w:spacing w:after="0"/>
              <w:rPr>
                <w:sz w:val="4"/>
                <w:szCs w:val="4"/>
                <w:color w:val="auto"/>
              </w:rPr>
            </w:pP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4"/>
                <w:szCs w:val="4"/>
                <w:color w:val="auto"/>
              </w:rPr>
            </w:pPr>
          </w:p>
        </w:tc>
        <w:tc>
          <w:tcPr>
            <w:tcW w:w="5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28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200" w:type="dxa"/>
            <w:vAlign w:val="bottom"/>
          </w:tcPr>
          <w:p>
            <w:pPr>
              <w:spacing w:after="0"/>
              <w:rPr>
                <w:sz w:val="13"/>
                <w:szCs w:val="13"/>
                <w:color w:val="auto"/>
              </w:rPr>
            </w:pPr>
          </w:p>
        </w:tc>
        <w:tc>
          <w:tcPr>
            <w:tcW w:w="16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September 30, 2020</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First quarter (As of December 12, 2019)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5.92</w:t>
            </w:r>
          </w:p>
        </w:tc>
        <w:tc>
          <w:tcPr>
            <w:tcW w:w="420" w:type="dxa"/>
            <w:vAlign w:val="bottom"/>
          </w:tcPr>
          <w:p>
            <w:pPr>
              <w:spacing w:after="0"/>
              <w:rPr>
                <w:sz w:val="18"/>
                <w:szCs w:val="18"/>
                <w:color w:val="auto"/>
              </w:rPr>
            </w:pPr>
          </w:p>
        </w:tc>
        <w:tc>
          <w:tcPr>
            <w:tcW w:w="1600" w:type="dxa"/>
            <w:vAlign w:val="bottom"/>
            <w:gridSpan w:val="2"/>
          </w:tcPr>
          <w:p>
            <w:pPr>
              <w:jc w:val="center"/>
              <w:ind w:left="662"/>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8"/>
                <w:szCs w:val="18"/>
                <w:color w:val="auto"/>
              </w:rPr>
            </w:pPr>
          </w:p>
        </w:tc>
        <w:tc>
          <w:tcPr>
            <w:tcW w:w="1600" w:type="dxa"/>
            <w:vAlign w:val="bottom"/>
            <w:gridSpan w:val="2"/>
          </w:tcPr>
          <w:p>
            <w:pPr>
              <w:jc w:val="center"/>
              <w:ind w:left="662"/>
              <w:spacing w:after="0"/>
              <w:rPr>
                <w:sz w:val="20"/>
                <w:szCs w:val="20"/>
                <w:color w:val="auto"/>
              </w:rPr>
            </w:pPr>
            <w:r>
              <w:rPr>
                <w:rFonts w:ascii="Arial" w:cs="Arial" w:eastAsia="Arial" w:hAnsi="Arial"/>
                <w:sz w:val="18"/>
                <w:szCs w:val="18"/>
                <w:color w:val="auto"/>
                <w:w w:val="99"/>
              </w:rPr>
              <w:t>N/A%</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0.18</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2019</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8.68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2020" w:type="dxa"/>
            <w:vAlign w:val="bottom"/>
            <w:gridSpan w:val="3"/>
          </w:tcPr>
          <w:p>
            <w:pPr>
              <w:jc w:val="center"/>
              <w:ind w:left="1032"/>
              <w:spacing w:after="0"/>
              <w:rPr>
                <w:sz w:val="20"/>
                <w:szCs w:val="20"/>
                <w:color w:val="auto"/>
              </w:rPr>
            </w:pPr>
            <w:r>
              <w:rPr>
                <w:rFonts w:ascii="Arial" w:cs="Arial" w:eastAsia="Arial" w:hAnsi="Arial"/>
                <w:sz w:val="18"/>
                <w:szCs w:val="18"/>
                <w:color w:val="auto"/>
                <w:w w:val="93"/>
              </w:rPr>
              <w:t>(23)</w:t>
            </w:r>
          </w:p>
        </w:tc>
        <w:tc>
          <w:tcPr>
            <w:tcW w:w="180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0.18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20" w:type="dxa"/>
            <w:vAlign w:val="bottom"/>
            <w:gridSpan w:val="3"/>
            <w:shd w:val="clear" w:color="auto" w:fill="CCEEFF"/>
          </w:tcPr>
          <w:p>
            <w:pPr>
              <w:jc w:val="center"/>
              <w:ind w:left="1032"/>
              <w:spacing w:after="0"/>
              <w:rPr>
                <w:sz w:val="20"/>
                <w:szCs w:val="20"/>
                <w:color w:val="auto"/>
              </w:rPr>
            </w:pPr>
            <w:r>
              <w:rPr>
                <w:rFonts w:ascii="Arial" w:cs="Arial" w:eastAsia="Arial" w:hAnsi="Arial"/>
                <w:sz w:val="18"/>
                <w:szCs w:val="18"/>
                <w:color w:val="auto"/>
                <w:w w:val="93"/>
              </w:rPr>
              <w:t>(18)</w:t>
            </w:r>
          </w:p>
        </w:tc>
        <w:tc>
          <w:tcPr>
            <w:tcW w:w="180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0.18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2020" w:type="dxa"/>
            <w:vAlign w:val="bottom"/>
            <w:gridSpan w:val="3"/>
          </w:tcPr>
          <w:p>
            <w:pPr>
              <w:jc w:val="center"/>
              <w:ind w:left="1032"/>
              <w:spacing w:after="0"/>
              <w:rPr>
                <w:sz w:val="20"/>
                <w:szCs w:val="20"/>
                <w:color w:val="auto"/>
              </w:rPr>
            </w:pPr>
            <w:r>
              <w:rPr>
                <w:rFonts w:ascii="Arial" w:cs="Arial" w:eastAsia="Arial" w:hAnsi="Arial"/>
                <w:sz w:val="18"/>
                <w:szCs w:val="18"/>
                <w:color w:val="auto"/>
                <w:w w:val="93"/>
              </w:rPr>
              <w:t>(17)</w:t>
            </w:r>
          </w:p>
        </w:tc>
        <w:tc>
          <w:tcPr>
            <w:tcW w:w="180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0.18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20" w:type="dxa"/>
            <w:vAlign w:val="bottom"/>
            <w:gridSpan w:val="3"/>
            <w:shd w:val="clear" w:color="auto" w:fill="CCEEFF"/>
          </w:tcPr>
          <w:p>
            <w:pPr>
              <w:jc w:val="center"/>
              <w:ind w:left="1032"/>
              <w:spacing w:after="0"/>
              <w:rPr>
                <w:sz w:val="20"/>
                <w:szCs w:val="20"/>
                <w:color w:val="auto"/>
              </w:rPr>
            </w:pPr>
            <w:r>
              <w:rPr>
                <w:rFonts w:ascii="Arial" w:cs="Arial" w:eastAsia="Arial" w:hAnsi="Arial"/>
                <w:sz w:val="18"/>
                <w:szCs w:val="18"/>
                <w:color w:val="auto"/>
                <w:w w:val="93"/>
              </w:rPr>
              <w:t>(16)</w:t>
            </w:r>
          </w:p>
        </w:tc>
        <w:tc>
          <w:tcPr>
            <w:tcW w:w="180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0.18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2018</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20" w:type="dxa"/>
            <w:vAlign w:val="bottom"/>
            <w:gridSpan w:val="3"/>
            <w:shd w:val="clear" w:color="auto" w:fill="CCEEFF"/>
          </w:tcPr>
          <w:p>
            <w:pPr>
              <w:jc w:val="center"/>
              <w:ind w:left="1032"/>
              <w:spacing w:after="0"/>
              <w:rPr>
                <w:sz w:val="20"/>
                <w:szCs w:val="20"/>
                <w:color w:val="auto"/>
              </w:rPr>
            </w:pPr>
            <w:r>
              <w:rPr>
                <w:rFonts w:ascii="Arial" w:cs="Arial" w:eastAsia="Arial" w:hAnsi="Arial"/>
                <w:sz w:val="18"/>
                <w:szCs w:val="18"/>
                <w:color w:val="auto"/>
                <w:w w:val="93"/>
              </w:rPr>
              <w:t>(14)</w:t>
            </w:r>
          </w:p>
        </w:tc>
        <w:tc>
          <w:tcPr>
            <w:tcW w:w="180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0.18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2020" w:type="dxa"/>
            <w:vAlign w:val="bottom"/>
            <w:gridSpan w:val="3"/>
          </w:tcPr>
          <w:p>
            <w:pPr>
              <w:jc w:val="center"/>
              <w:ind w:left="1032"/>
              <w:spacing w:after="0"/>
              <w:rPr>
                <w:sz w:val="20"/>
                <w:szCs w:val="20"/>
                <w:color w:val="auto"/>
              </w:rPr>
            </w:pPr>
            <w:r>
              <w:rPr>
                <w:rFonts w:ascii="Arial" w:cs="Arial" w:eastAsia="Arial" w:hAnsi="Arial"/>
                <w:sz w:val="18"/>
                <w:szCs w:val="18"/>
                <w:color w:val="auto"/>
                <w:w w:val="93"/>
              </w:rPr>
              <w:t>(18)</w:t>
            </w:r>
          </w:p>
        </w:tc>
        <w:tc>
          <w:tcPr>
            <w:tcW w:w="180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0.18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20" w:type="dxa"/>
            <w:vAlign w:val="bottom"/>
            <w:gridSpan w:val="3"/>
            <w:shd w:val="clear" w:color="auto" w:fill="CCEEFF"/>
          </w:tcPr>
          <w:p>
            <w:pPr>
              <w:jc w:val="center"/>
              <w:ind w:left="1032"/>
              <w:spacing w:after="0"/>
              <w:rPr>
                <w:sz w:val="20"/>
                <w:szCs w:val="20"/>
                <w:color w:val="auto"/>
              </w:rPr>
            </w:pPr>
            <w:r>
              <w:rPr>
                <w:rFonts w:ascii="Arial" w:cs="Arial" w:eastAsia="Arial" w:hAnsi="Arial"/>
                <w:sz w:val="18"/>
                <w:szCs w:val="18"/>
                <w:color w:val="auto"/>
                <w:w w:val="93"/>
              </w:rPr>
              <w:t>(20)</w:t>
            </w:r>
          </w:p>
        </w:tc>
        <w:tc>
          <w:tcPr>
            <w:tcW w:w="180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0.18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6.91</w:t>
            </w:r>
          </w:p>
        </w:tc>
        <w:tc>
          <w:tcPr>
            <w:tcW w:w="2020" w:type="dxa"/>
            <w:vAlign w:val="bottom"/>
            <w:gridSpan w:val="3"/>
          </w:tcPr>
          <w:p>
            <w:pPr>
              <w:jc w:val="center"/>
              <w:ind w:left="1032"/>
              <w:spacing w:after="0"/>
              <w:rPr>
                <w:sz w:val="20"/>
                <w:szCs w:val="20"/>
                <w:color w:val="auto"/>
              </w:rPr>
            </w:pPr>
            <w:r>
              <w:rPr>
                <w:rFonts w:ascii="Arial" w:cs="Arial" w:eastAsia="Arial" w:hAnsi="Arial"/>
                <w:sz w:val="18"/>
                <w:szCs w:val="18"/>
                <w:color w:val="auto"/>
                <w:w w:val="93"/>
              </w:rPr>
              <w:t>(14)</w:t>
            </w:r>
          </w:p>
        </w:tc>
        <w:tc>
          <w:tcPr>
            <w:tcW w:w="180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0.18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7" w:lineRule="exact"/>
        <w:rPr>
          <w:sz w:val="20"/>
          <w:szCs w:val="20"/>
          <w:color w:val="auto"/>
        </w:rPr>
      </w:pPr>
    </w:p>
    <w:p>
      <w:pPr>
        <w:ind w:left="640" w:right="160" w:hanging="436"/>
        <w:spacing w:after="0" w:line="25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dividend of $0.18 per share payable on January 2, 2020 to stockholders of record as of December 19, 2019.</w:t>
      </w:r>
    </w:p>
    <w:p>
      <w:pPr>
        <w:spacing w:after="0" w:line="211" w:lineRule="exact"/>
        <w:rPr>
          <w:sz w:val="20"/>
          <w:szCs w:val="20"/>
          <w:color w:val="auto"/>
        </w:rPr>
      </w:pPr>
    </w:p>
    <w:p>
      <w:pPr>
        <w:jc w:val="both"/>
        <w:ind w:left="200" w:right="80" w:firstLine="441"/>
        <w:spacing w:after="0" w:line="297"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$6.27 and $7.46 as of September 30, 2019 and 2018, respectively. Our NAV per share was $8.68 and $9.11 as of September 30, 2019 and 2018,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30, 2019, we had 9 stockholders of record.</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180" w:right="4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200" w:right="160" w:firstLine="441"/>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8"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NAV per share</w:t>
            </w:r>
          </w:p>
        </w:tc>
        <w:tc>
          <w:tcPr>
            <w:tcW w:w="520" w:type="dxa"/>
            <w:vAlign w:val="bottom"/>
            <w:gridSpan w:val="2"/>
          </w:tcPr>
          <w:p>
            <w:pPr>
              <w:ind w:left="4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Example 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Example 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2"/>
              </w:rPr>
              <w:t>Prior to Sale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at 5% Discount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at 10% Discount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2"/>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Below NAV</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Asset Values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Total NAV held by stockholder A</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100,000</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99,800</w:t>
            </w:r>
          </w:p>
        </w:tc>
        <w:tc>
          <w:tcPr>
            <w:tcW w:w="18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99,100</w:t>
            </w:r>
          </w:p>
        </w:tc>
        <w:tc>
          <w:tcPr>
            <w:tcW w:w="18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(0.90)%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95,000</w:t>
            </w:r>
          </w:p>
        </w:tc>
        <w:tc>
          <w:tcPr>
            <w:tcW w:w="18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Total investment by stockholder A (assumed to be $10.00 per</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Total dilution to stockholder A (total NAV less total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NAV per share held by stockholder 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Investment per share held by stockholder A (assumed to be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 on shares held prior to sale)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w w:val="98"/>
              </w:rPr>
              <w:t>Dilution per share held by stockholder A (NAV per share less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6"/>
                <w:szCs w:val="16"/>
                <w:color w:val="auto"/>
              </w:rPr>
              <w:t>investment per share)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(0.09)</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5"/>
              </w:rPr>
              <w:t>Percentage dilution to stockholder A (dilution per share divided</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by investment per share)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 of the offering (i.e., 3,750 shares which is 1.50% of the offering of 250,000 shares rather than their 1.00% proportionate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50% Participation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2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64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Following</w:t>
            </w:r>
          </w:p>
        </w:tc>
        <w:tc>
          <w:tcPr>
            <w:tcW w:w="64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25.00 %</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2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NAV per share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28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(5.00)%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2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11,250</w:t>
            </w:r>
          </w:p>
        </w:tc>
        <w:tc>
          <w:tcPr>
            <w:tcW w:w="28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12.50 %</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13,750</w:t>
            </w:r>
          </w:p>
        </w:tc>
        <w:tc>
          <w:tcPr>
            <w:tcW w:w="2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37.50 %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106,875</w:t>
            </w: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6.88 %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2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30.63 %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 held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140"/>
              <w:spacing w:after="0"/>
              <w:rPr>
                <w:sz w:val="20"/>
                <w:szCs w:val="20"/>
                <w:color w:val="auto"/>
              </w:rPr>
            </w:pPr>
            <w:r>
              <w:rPr>
                <w:rFonts w:ascii="Arial" w:cs="Arial" w:eastAsia="Arial" w:hAnsi="Arial"/>
                <w:sz w:val="16"/>
                <w:szCs w:val="16"/>
                <w:color w:val="auto"/>
              </w:rPr>
              <w:t>prior to sale)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109,863</w:t>
            </w:r>
          </w:p>
        </w:tc>
        <w:tc>
          <w:tcPr>
            <w:tcW w:w="28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9.86 %</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129,588</w:t>
            </w:r>
          </w:p>
        </w:tc>
        <w:tc>
          <w:tcPr>
            <w:tcW w:w="2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29.59 %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(2,988)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NAV per share held by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ind w:left="300"/>
              <w:spacing w:after="0"/>
              <w:rPr>
                <w:sz w:val="20"/>
                <w:szCs w:val="20"/>
                <w:color w:val="auto"/>
              </w:rPr>
            </w:pPr>
            <w:r>
              <w:rPr>
                <w:rFonts w:ascii="Arial" w:cs="Arial" w:eastAsia="Arial" w:hAnsi="Arial"/>
                <w:sz w:val="16"/>
                <w:szCs w:val="16"/>
                <w:color w:val="auto"/>
                <w:w w:val="92"/>
              </w:rPr>
              <w:t>Investment per share held by stockholder A (assumed to be $10.00 per share 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Arial" w:cs="Arial" w:eastAsia="Arial" w:hAnsi="Arial"/>
                <w:sz w:val="16"/>
                <w:szCs w:val="16"/>
                <w:color w:val="auto"/>
              </w:rPr>
              <w:t>shares held prior to sale)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9.77</w:t>
            </w:r>
          </w:p>
        </w:tc>
        <w:tc>
          <w:tcPr>
            <w:tcW w:w="2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(2.30)%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9.42</w:t>
            </w:r>
          </w:p>
        </w:tc>
        <w:tc>
          <w:tcPr>
            <w:tcW w:w="2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ind w:left="300"/>
              <w:spacing w:after="0"/>
              <w:rPr>
                <w:sz w:val="20"/>
                <w:szCs w:val="20"/>
                <w:color w:val="auto"/>
              </w:rPr>
            </w:pPr>
            <w:r>
              <w:rPr>
                <w:rFonts w:ascii="Arial" w:cs="Arial" w:eastAsia="Arial" w:hAnsi="Arial"/>
                <w:sz w:val="16"/>
                <w:szCs w:val="16"/>
                <w:color w:val="auto"/>
                <w:w w:val="97"/>
              </w:rPr>
              <w:t>Percentage (dilution)/accretion to stockholder A (dilution)/accretion per share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480"/>
              <w:spacing w:after="0"/>
              <w:rPr>
                <w:sz w:val="20"/>
                <w:szCs w:val="20"/>
                <w:color w:val="auto"/>
              </w:rPr>
            </w:pPr>
            <w:r>
              <w:rPr>
                <w:rFonts w:ascii="Arial" w:cs="Arial" w:eastAsia="Arial" w:hAnsi="Arial"/>
                <w:sz w:val="16"/>
                <w:szCs w:val="16"/>
                <w:color w:val="auto"/>
              </w:rPr>
              <w:t>divided by investment per share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(2.76)%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5.00 %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NAV per share</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0.09%</w:t>
            </w: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NAV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rPr>
              <w:t>Total investment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(dilution)/accretion to stockholder A</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w w:val="98"/>
              </w:rPr>
              <w:t>Investment per share held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(Dilution)/accretion per share held by</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rPr>
              <w:t>Percentage (dilution)/accretion to</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480"/>
              <w:spacing w:after="0"/>
              <w:rPr>
                <w:sz w:val="20"/>
                <w:szCs w:val="20"/>
                <w:color w:val="auto"/>
              </w:rPr>
            </w:pPr>
            <w:r>
              <w:rPr>
                <w:rFonts w:ascii="Arial" w:cs="Arial" w:eastAsia="Arial" w:hAnsi="Arial"/>
                <w:sz w:val="16"/>
                <w:szCs w:val="16"/>
                <w:color w:val="auto"/>
              </w:rPr>
              <w:t>stockholder A (dilution)/ accretion per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6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gridSpan w:val="3"/>
          </w:tcPr>
          <w:p>
            <w:pPr>
              <w:ind w:left="160"/>
              <w:spacing w:after="0"/>
              <w:rPr>
                <w:sz w:val="20"/>
                <w:szCs w:val="20"/>
                <w:color w:val="auto"/>
              </w:rPr>
            </w:pPr>
            <w:r>
              <w:rPr>
                <w:rFonts w:ascii="Arial" w:cs="Arial" w:eastAsia="Arial" w:hAnsi="Arial"/>
                <w:sz w:val="16"/>
                <w:szCs w:val="16"/>
                <w:color w:val="auto"/>
              </w:rPr>
              <w:t>(0.20)%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provided information with respect to appropriate tax treatment of our distributions.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w:t>
      </w:r>
    </w:p>
    <w:p>
      <w:pPr>
        <w:spacing w:after="0" w:line="46" w:lineRule="exact"/>
        <w:rPr>
          <w:sz w:val="20"/>
          <w:szCs w:val="20"/>
          <w:color w:val="auto"/>
        </w:rPr>
      </w:pPr>
    </w:p>
    <w:p>
      <w:pPr>
        <w:ind w:left="200" w:right="420"/>
        <w:spacing w:after="0" w:line="261" w:lineRule="auto"/>
        <w:rPr>
          <w:sz w:val="20"/>
          <w:szCs w:val="20"/>
          <w:color w:val="auto"/>
        </w:rPr>
      </w:pPr>
      <w:r>
        <w:rPr>
          <w:rFonts w:ascii="Arial" w:cs="Arial" w:eastAsia="Arial" w:hAnsi="Arial"/>
          <w:sz w:val="18"/>
          <w:szCs w:val="18"/>
          <w:color w:val="auto"/>
        </w:rPr>
        <w:t>2018 from ordinary income (including short-term gains, if any), totaled $48.4 million and $50.6 million, or $0.72 and $0.72 per share, respectively, based on weighted average shares outstanding for the respective periods.</w:t>
      </w:r>
    </w:p>
    <w:p>
      <w:pPr>
        <w:spacing w:after="0" w:line="18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2019 Consolidated Financial Statements included in our most recent Annual Report on Form 10-K.</w:t>
      </w:r>
    </w:p>
    <w:p>
      <w:pPr>
        <w:spacing w:after="0" w:line="18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Substantially all of our investments (except those of SBIC II) are pledged as collateral under our Credit Facilities. Unless otherwise noted, we held no voting board membership on any of our portfolio companies.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 of Investment,</w:t>
            </w:r>
          </w:p>
        </w:tc>
        <w:tc>
          <w:tcPr>
            <w:tcW w:w="2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20" w:type="dxa"/>
            <w:vAlign w:val="bottom"/>
            <w:gridSpan w:val="3"/>
            <w:vMerge w:val="continue"/>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60" w:type="dxa"/>
            <w:vAlign w:val="bottom"/>
            <w:gridSpan w:val="2"/>
            <w:vMerge w:val="continue"/>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0" w:type="dxa"/>
            <w:vAlign w:val="bottom"/>
            <w:gridSpan w:val="2"/>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76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2"/>
              </w:rPr>
              <w:t>Consumer</w:t>
            </w:r>
          </w:p>
        </w:tc>
        <w:tc>
          <w:tcPr>
            <w:tcW w:w="3000" w:type="dxa"/>
            <w:vAlign w:val="bottom"/>
          </w:tcPr>
          <w:p>
            <w:pPr>
              <w:jc w:val="center"/>
              <w:spacing w:after="0" w:line="130" w:lineRule="exact"/>
              <w:rPr>
                <w:sz w:val="20"/>
                <w:szCs w:val="20"/>
                <w:color w:val="auto"/>
              </w:rPr>
            </w:pPr>
            <w:r>
              <w:rPr>
                <w:rFonts w:ascii="Arial" w:cs="Arial" w:eastAsia="Arial" w:hAnsi="Arial"/>
                <w:sz w:val="14"/>
                <w:szCs w:val="14"/>
                <w:color w:val="auto"/>
                <w:w w:val="91"/>
              </w:rPr>
              <w:t>Warrants</w:t>
            </w:r>
          </w:p>
        </w:tc>
        <w:tc>
          <w:tcPr>
            <w:tcW w:w="280" w:type="dxa"/>
            <w:vAlign w:val="bottom"/>
          </w:tcPr>
          <w:p>
            <w:pPr>
              <w:spacing w:after="0"/>
              <w:rPr>
                <w:sz w:val="11"/>
                <w:szCs w:val="11"/>
                <w:color w:val="auto"/>
              </w:rPr>
            </w:pPr>
          </w:p>
        </w:tc>
        <w:tc>
          <w:tcPr>
            <w:tcW w:w="108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0" w:lineRule="exact"/>
              <w:rPr>
                <w:sz w:val="20"/>
                <w:szCs w:val="20"/>
                <w:color w:val="auto"/>
              </w:rPr>
            </w:pPr>
            <w:r>
              <w:rPr>
                <w:rFonts w:ascii="Arial" w:cs="Arial" w:eastAsia="Arial" w:hAnsi="Arial"/>
                <w:sz w:val="14"/>
                <w:szCs w:val="14"/>
                <w:color w:val="auto"/>
              </w:rPr>
              <w:t>817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Products</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Business Services</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Common Equity</w:t>
            </w:r>
            <w:r>
              <w:rPr>
                <w:rFonts w:ascii="Arial" w:cs="Arial" w:eastAsia="Arial" w:hAnsi="Arial"/>
                <w:sz w:val="12"/>
                <w:szCs w:val="12"/>
                <w:color w:val="auto"/>
                <w:w w:val="94"/>
              </w:rPr>
              <w:t>(4)</w:t>
            </w:r>
          </w:p>
        </w:tc>
        <w:tc>
          <w:tcPr>
            <w:tcW w:w="13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715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 Little Falls Drive</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19808</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AH Holdings,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Healthcare, Education</w:t>
            </w:r>
          </w:p>
        </w:tc>
        <w:tc>
          <w:tcPr>
            <w:tcW w:w="3000" w:type="dxa"/>
            <w:vAlign w:val="bottom"/>
          </w:tcPr>
          <w:p>
            <w:pPr>
              <w:jc w:val="center"/>
              <w:spacing w:after="0"/>
              <w:rPr>
                <w:sz w:val="20"/>
                <w:szCs w:val="20"/>
                <w:color w:val="auto"/>
              </w:rPr>
            </w:pPr>
            <w:r>
              <w:rPr>
                <w:rFonts w:ascii="Arial" w:cs="Arial" w:eastAsia="Arial" w:hAnsi="Arial"/>
                <w:sz w:val="14"/>
                <w:szCs w:val="14"/>
                <w:color w:val="auto"/>
                <w:w w:val="94"/>
              </w:rPr>
              <w:t>Preferred Equity</w:t>
            </w:r>
          </w:p>
        </w:tc>
        <w:tc>
          <w:tcPr>
            <w:tcW w:w="2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and Childcare</w:t>
            </w: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1"/>
              </w:rPr>
              <w:t>Warrants</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Aerospace and Defense</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L+600, 07/24/2025</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American Insulated Glass,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Building Materials</w:t>
            </w:r>
          </w:p>
        </w:tc>
        <w:tc>
          <w:tcPr>
            <w:tcW w:w="30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31,247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L+550, 12/21/2023</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3965 E. Conley Road</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Conley, GA 30288</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ASP LCG Holdings, Inc.</w:t>
            </w:r>
          </w:p>
        </w:tc>
        <w:tc>
          <w:tcPr>
            <w:tcW w:w="17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Education</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Warrants</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2,260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Novi, MI 48375</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Autumn Games,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Broadcasting and</w:t>
            </w:r>
          </w:p>
        </w:tc>
        <w:tc>
          <w:tcPr>
            <w:tcW w:w="300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54 Thompson Street</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Entertainment</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New York, NY 10012</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Bazaarvoice, Inc.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Printing and Publishing</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First Lien Secured Debt,</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14,628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10901 South Stonelake Blvd.</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1M L+575, 02/01/2024</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78759</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60" w:type="dxa"/>
            <w:vAlign w:val="bottom"/>
            <w:gridSpan w:val="3"/>
            <w:vMerge w:val="continue"/>
          </w:tcPr>
          <w:p>
            <w:pPr>
              <w:spacing w:after="0"/>
              <w:rPr>
                <w:sz w:val="12"/>
                <w:szCs w:val="12"/>
                <w:color w:val="auto"/>
              </w:rPr>
            </w:pPr>
          </w:p>
        </w:tc>
        <w:tc>
          <w:tcPr>
            <w:tcW w:w="1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40" w:type="dxa"/>
            <w:vAlign w:val="bottom"/>
            <w:gridSpan w:val="2"/>
            <w:vMerge w:val="continue"/>
          </w:tcPr>
          <w:p>
            <w:pPr>
              <w:spacing w:after="0"/>
              <w:rPr>
                <w:sz w:val="15"/>
                <w:szCs w:val="15"/>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Bottom Line Systems, LLC</w:t>
            </w:r>
          </w:p>
        </w:tc>
        <w:tc>
          <w:tcPr>
            <w:tcW w:w="1980" w:type="dxa"/>
            <w:vAlign w:val="bottom"/>
            <w:tcBorders>
              <w:top w:val="single" w:sz="8" w:color="CCEEFF"/>
            </w:tcBorders>
            <w:shd w:val="clear" w:color="auto" w:fill="CCEEFF"/>
          </w:tcPr>
          <w:p>
            <w:pPr>
              <w:spacing w:after="0"/>
              <w:rPr>
                <w:sz w:val="9"/>
                <w:szCs w:val="9"/>
                <w:color w:val="auto"/>
              </w:rPr>
            </w:pP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 and</w:t>
            </w:r>
          </w:p>
        </w:tc>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21,718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541 Buttermilk Pike, Suite 401</w:t>
            </w:r>
          </w:p>
        </w:tc>
        <w:tc>
          <w:tcPr>
            <w:tcW w:w="17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L+600, 02/13/2023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Broder Bros., Co.</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Consumer</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27,219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12/02/2022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Trevose, PA 19053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Blackhawk Industrial Distribution,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Subordinated Debt,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1.5%</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16,052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(Cowboy Parent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12.0% fixed (PIK 2.0%), 03/17/2025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SW Expressway Drive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Cano Health,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Healthcare, Education and</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3.2%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12/23/2021</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680 N. University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Pembroke Pines, FL 33024</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Subordinated Debt,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2.8%</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47,884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17270 Woodinville-Redmond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15.0% fixed (PIK 15.0%), 08/20/2021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Woodinville, WA 98072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CI (Summit) Investment Holdings,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Buildings and Real Estate</w:t>
            </w:r>
          </w:p>
        </w:tc>
        <w:tc>
          <w:tcPr>
            <w:tcW w:w="312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1.5%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575 Minnehaha Ave. W.</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St. Paul, MN 55103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Business Services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0.3%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10,860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L+875, 04/25/2025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Confie Seguros Holding Co.</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Insurance</w:t>
            </w:r>
          </w:p>
        </w:tc>
        <w:tc>
          <w:tcPr>
            <w:tcW w:w="312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13,594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7711 Center Avenue, 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10/31/2025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Huntington Beach, CA 92647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2"/>
              </w:rPr>
              <w:t>Beverage, Food</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26,279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7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and Tobacco</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L+825, 03/31/2025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DermaRite Industries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Manufacturing / Basic</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9,256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7777 West Side Avenue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Industries</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03/03/2022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North Bergen, NJ 07047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2"/>
              </w:rPr>
              <w:t>Consumer</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4,486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10/31/2023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Financial Services</w:t>
            </w:r>
          </w:p>
        </w:tc>
        <w:tc>
          <w:tcPr>
            <w:tcW w:w="312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1.3%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11612 Bee Caves Road, Building II,</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Austin, TX, 78738</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7"/>
              </w:rPr>
              <w:t>Building Materials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0.2%</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1,243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Halo Buyer,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Consumer</w:t>
            </w:r>
          </w:p>
        </w:tc>
        <w:tc>
          <w:tcPr>
            <w:tcW w:w="312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32,013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1980 Industrial Drive</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L+825, 07/06/2026</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Sterling, IL 61081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Media</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17,969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L+625, 12/10/2024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14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7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Impact Group, LLC</w:t>
            </w:r>
          </w:p>
        </w:tc>
        <w:tc>
          <w:tcPr>
            <w:tcW w:w="12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Personal, Food</w:t>
            </w:r>
          </w:p>
        </w:tc>
        <w:tc>
          <w:tcPr>
            <w:tcW w:w="180" w:type="dxa"/>
            <w:vAlign w:val="bottom"/>
            <w:tcBorders>
              <w:top w:val="single" w:sz="8" w:color="CCEEFF"/>
            </w:tcBorders>
            <w:shd w:val="clear" w:color="auto" w:fill="CCEEFF"/>
          </w:tcPr>
          <w:p>
            <w:pPr>
              <w:spacing w:after="0"/>
              <w:rPr>
                <w:sz w:val="9"/>
                <w:szCs w:val="9"/>
                <w:color w:val="auto"/>
              </w:rPr>
            </w:pPr>
          </w:p>
        </w:tc>
        <w:tc>
          <w:tcPr>
            <w:tcW w:w="31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19,901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2480" w:type="dxa"/>
            <w:vAlign w:val="bottom"/>
            <w:gridSpan w:val="3"/>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1"/>
              </w:rPr>
              <w:t>and Miscelleneous Services</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L+650, 06/27/2023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Infogroup, Inc.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Other Media</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1.0%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22,213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(Infogroup Parent Holdings, Inc.)</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L+925, 04/03/2024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1020 E 1st Street</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Papillion, NE 68046</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Juniper Landscaping of Florida, LLC</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Personal, Food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4.0%</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16,470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(ZS Juniper L.P.</w:t>
            </w:r>
            <w:r>
              <w:rPr>
                <w:rFonts w:ascii="Arial" w:cs="Arial" w:eastAsia="Arial" w:hAnsi="Arial"/>
                <w:sz w:val="12"/>
                <w:szCs w:val="12"/>
                <w:color w:val="auto"/>
              </w:rPr>
              <w:t>(5)</w:t>
            </w:r>
            <w:r>
              <w:rPr>
                <w:rFonts w:ascii="Arial" w:cs="Arial" w:eastAsia="Arial" w:hAnsi="Arial"/>
                <w:sz w:val="14"/>
                <w:szCs w:val="14"/>
                <w:color w:val="auto"/>
              </w:rPr>
              <w:t>)</w:t>
            </w:r>
          </w:p>
        </w:tc>
        <w:tc>
          <w:tcPr>
            <w:tcW w:w="2480" w:type="dxa"/>
            <w:vAlign w:val="bottom"/>
            <w:gridSpan w:val="3"/>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1"/>
              </w:rPr>
              <w:t>and Miscelleneous Services</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L+850, 12/22/2021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5880 Staley Road</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Kadmon Holdings, Inc.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Healthcare, Education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7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450 East 29 Street, 5 Floor</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New York, NY 10016</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5"/>
              </w:rPr>
              <w:t>Chemicals,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27,259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7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Plastics and Rubber</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L+475, 12/20/2023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Kentucky Downs, LLC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Hotels, Motels,</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10,332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(Kentucky Racing Holdco, LLC</w:t>
            </w:r>
            <w:r>
              <w:rPr>
                <w:rFonts w:ascii="Arial" w:cs="Arial" w:eastAsia="Arial" w:hAnsi="Arial"/>
                <w:sz w:val="12"/>
                <w:szCs w:val="12"/>
                <w:color w:val="auto"/>
              </w:rPr>
              <w:t>(5)</w:t>
            </w: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Inns and Gaming</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L+850, 03/07/2025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5629 Nashville Road</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87"/>
              </w:rPr>
              <w:t>Warrants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Franklin, KY 42134</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Lariat ecoserv Co-invest Holdings, LLC</w:t>
            </w:r>
            <w:r>
              <w:rPr>
                <w:rFonts w:ascii="Arial" w:cs="Arial" w:eastAsia="Arial" w:hAnsi="Arial"/>
                <w:sz w:val="12"/>
                <w:szCs w:val="12"/>
                <w:color w:val="auto"/>
              </w:rPr>
              <w:t>(5)</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451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Lombart Brothers, Inc.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Healthcare, Education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17,539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5358 Robin Hood Road</w:t>
            </w:r>
          </w:p>
        </w:tc>
        <w:tc>
          <w:tcPr>
            <w:tcW w:w="7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L+625, 04/13/2023</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Norfolk, VA 23513</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Printing and Publishing</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35,724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12M L+925, 10/23/2024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MBS Holdings, Inc.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Telecommunications</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19,624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L+850, 01/02/2024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Birmingham, AL 35213</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MeritDirect, LLC</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Media</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0.6%</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19,828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05/23/2024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Preferred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Ox Two, LLC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Building Materials</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24,073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22260 Haggerty Road #365</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02/27/2023</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Northville, MI 48167</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Peninsula Pacific Entertainment LLC</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7"/>
              </w:rPr>
              <w:t>Hotels, Motels,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8,495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7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Inns and Gaming</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L+725, 11/13/2024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Kent, VA 23124</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(6)</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Beverage, Food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5,404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141 Hamilton Road</w:t>
            </w:r>
          </w:p>
        </w:tc>
        <w:tc>
          <w:tcPr>
            <w:tcW w:w="70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and Tobacco</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L+525, 06/01/2023</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New Hamburg, Ontario, Canada N3A 2H1</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PlayPower, Inc.</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4,184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05/08/2026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Huntersville, NC 28078</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80" w:type="dxa"/>
            <w:vAlign w:val="bottom"/>
            <w:gridSpan w:val="2"/>
          </w:tcPr>
          <w:p>
            <w:pPr>
              <w:jc w:val="center"/>
              <w:ind w:right="218"/>
              <w:spacing w:after="0"/>
              <w:rPr>
                <w:sz w:val="20"/>
                <w:szCs w:val="20"/>
                <w:color w:val="auto"/>
              </w:rPr>
            </w:pPr>
            <w:r>
              <w:rPr>
                <w:rFonts w:ascii="Arial" w:cs="Arial" w:eastAsia="Arial" w:hAnsi="Arial"/>
                <w:sz w:val="14"/>
                <w:szCs w:val="14"/>
                <w:b w:val="1"/>
                <w:bCs w:val="1"/>
                <w:color w:val="auto"/>
                <w:w w:val="91"/>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18"/>
              <w:spacing w:after="0" w:line="145" w:lineRule="exact"/>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40" w:type="dxa"/>
            <w:vAlign w:val="bottom"/>
            <w:gridSpan w:val="2"/>
            <w:vMerge w:val="continue"/>
          </w:tcPr>
          <w:p>
            <w:pPr>
              <w:spacing w:after="0"/>
              <w:rPr>
                <w:sz w:val="15"/>
                <w:szCs w:val="15"/>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PRA Events, Inc.</w:t>
            </w:r>
          </w:p>
        </w:tc>
        <w:tc>
          <w:tcPr>
            <w:tcW w:w="1960" w:type="dxa"/>
            <w:vAlign w:val="bottom"/>
            <w:tcBorders>
              <w:top w:val="single" w:sz="8" w:color="CCEEFF"/>
            </w:tcBorders>
            <w:shd w:val="clear" w:color="auto" w:fill="CCEEFF"/>
          </w:tcPr>
          <w:p>
            <w:pPr>
              <w:spacing w:after="0"/>
              <w:rPr>
                <w:sz w:val="9"/>
                <w:szCs w:val="9"/>
                <w:color w:val="auto"/>
              </w:rPr>
            </w:pP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w w:val="95"/>
              </w:rPr>
              <w:t>1.5</w:t>
            </w:r>
          </w:p>
        </w:tc>
        <w:tc>
          <w:tcPr>
            <w:tcW w:w="260" w:type="dxa"/>
            <w:vAlign w:val="bottom"/>
            <w:tcBorders>
              <w:top w:val="single" w:sz="8" w:color="CCEEFF"/>
            </w:tcBorders>
            <w:shd w:val="clear" w:color="auto" w:fill="CCEEFF"/>
          </w:tcPr>
          <w:p>
            <w:pPr>
              <w:jc w:val="right"/>
              <w:ind w:right="78"/>
              <w:spacing w:after="0" w:line="109" w:lineRule="exact"/>
              <w:rPr>
                <w:sz w:val="20"/>
                <w:szCs w:val="20"/>
                <w:color w:val="auto"/>
              </w:rPr>
            </w:pPr>
            <w:r>
              <w:rPr>
                <w:rFonts w:ascii="Arial" w:cs="Arial" w:eastAsia="Arial" w:hAnsi="Arial"/>
                <w:sz w:val="12"/>
                <w:szCs w:val="12"/>
                <w:color w:val="auto"/>
                <w:w w:val="93"/>
              </w:rPr>
              <w:t>%</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20,640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L+700, 08/08/2022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Provation Medical,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Electronics</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26,422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800 Washington Avenue North, Suite 400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L+700, 03/11/2024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Minneapolis, MN 55401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Aerospace and Defense</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14,775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L+525, 09/04/2024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Questex,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Media</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L+500, 09/09/2024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Newton, MA 02466</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Radius Aerospace,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Aerospace and Defense</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8,882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153 Extrusion Place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L+575, 03/31/2025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Hot Springs, AR 71901</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Research Horizons,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Media</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30,416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1140 Broadway, Suite 1002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06/28/2022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New York, NY 10001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Research Now Group, Inc. and Survey Sampling International</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Business Services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9,940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12/20/2024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Riverpoint Medical,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Healthcare, Education and</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825 NE 25th Avenue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L+500, 06/20/2025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Portland, OR 97232</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Schlesinger Global,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Business Services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393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L+500, 07/14/2025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Iselin, NJ 08830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Shift4 Payments,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Financial Services</w:t>
            </w:r>
          </w:p>
        </w:tc>
        <w:tc>
          <w:tcPr>
            <w:tcW w:w="312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1491 Center Crossing Road</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11/28/2025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Las Vegas, NV 89144</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Chemicals, Plastics and</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3"/>
            <w:shd w:val="clear" w:color="auto" w:fill="CCEEFF"/>
          </w:tcPr>
          <w:p>
            <w:pPr>
              <w:ind w:left="840"/>
              <w:spacing w:after="0" w:line="130" w:lineRule="exact"/>
              <w:rPr>
                <w:sz w:val="20"/>
                <w:szCs w:val="20"/>
                <w:color w:val="auto"/>
              </w:rPr>
            </w:pPr>
            <w:r>
              <w:rPr>
                <w:rFonts w:ascii="Arial" w:cs="Arial" w:eastAsia="Arial" w:hAnsi="Arial"/>
                <w:sz w:val="14"/>
                <w:szCs w:val="14"/>
                <w:color w:val="auto"/>
              </w:rPr>
              <w:t>1.9%</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16,354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Rubber</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P+650, 05/03/2024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Solutionreach,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Communications</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13,061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2600 N. Ashton Blvd.</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L+575, 01/17/2024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Lehi, UT 84043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Electronics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280" w:type="dxa"/>
            <w:vAlign w:val="bottom"/>
            <w:gridSpan w:val="3"/>
            <w:shd w:val="clear" w:color="auto" w:fill="CCEEFF"/>
          </w:tcPr>
          <w:p>
            <w:pPr>
              <w:ind w:left="840"/>
              <w:spacing w:after="0" w:line="130" w:lineRule="exact"/>
              <w:rPr>
                <w:sz w:val="20"/>
                <w:szCs w:val="20"/>
                <w:color w:val="auto"/>
              </w:rPr>
            </w:pPr>
            <w:r>
              <w:rPr>
                <w:rFonts w:ascii="Arial" w:cs="Arial" w:eastAsia="Arial" w:hAnsi="Arial"/>
                <w:sz w:val="14"/>
                <w:szCs w:val="14"/>
                <w:color w:val="auto"/>
              </w:rPr>
              <w:t>2.9%</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3,806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Avenue, Suite 200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Triad Manufacturing,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Manufacturing / Basic</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21,374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4321 Semple Avenue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Industries</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L+1,325, 12/28/2020</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St. Louis, MO 63120</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TVC Enterprises,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Transportation</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3"/>
            <w:shd w:val="clear" w:color="auto" w:fill="CCEEFF"/>
          </w:tcPr>
          <w:p>
            <w:pPr>
              <w:ind w:left="840"/>
              <w:spacing w:after="0" w:line="130" w:lineRule="exact"/>
              <w:rPr>
                <w:sz w:val="20"/>
                <w:szCs w:val="20"/>
                <w:color w:val="auto"/>
              </w:rPr>
            </w:pPr>
            <w:r>
              <w:rPr>
                <w:rFonts w:ascii="Arial" w:cs="Arial" w:eastAsia="Arial" w:hAnsi="Arial"/>
                <w:sz w:val="14"/>
                <w:szCs w:val="14"/>
                <w:color w:val="auto"/>
              </w:rPr>
              <w:t>1.4%</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34,757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TVC Coinvest,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L+550, 01/18/2024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6100 Lake Forrest Drive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80" w:type="dxa"/>
            <w:vAlign w:val="bottom"/>
            <w:gridSpan w:val="3"/>
            <w:vMerge w:val="continue"/>
          </w:tcPr>
          <w:p>
            <w:pPr>
              <w:spacing w:after="0"/>
              <w:rPr>
                <w:sz w:val="12"/>
                <w:szCs w:val="12"/>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680" w:type="dxa"/>
            <w:vAlign w:val="bottom"/>
            <w:gridSpan w:val="2"/>
            <w:vMerge w:val="continue"/>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TWS Acquisition Corporation</w:t>
            </w:r>
          </w:p>
        </w:tc>
        <w:tc>
          <w:tcPr>
            <w:tcW w:w="200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Education</w:t>
            </w:r>
          </w:p>
        </w:tc>
        <w:tc>
          <w:tcPr>
            <w:tcW w:w="1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ind w:right="10"/>
              <w:spacing w:after="0" w:line="109"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9,146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L+625, 06/16/2025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Tyto Athene, LLC</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Aerospace and Defense</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260"/>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(NXOF Holdings, Inc.)</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L+575, 08/27/2024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510 Spring Street, Suite 200</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Herndon, VA 20170</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Printing and Publishing</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2,277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L+450, 04/03/2024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US Med Acquisition, Inc.</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8,389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8260 NW 27th Street, Suite 401</w:t>
            </w: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and Childcare</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L+900, 08/13/2021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Doral, FL 33122</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Inc.</w:t>
            </w:r>
            <w:r>
              <w:rPr>
                <w:rFonts w:ascii="Arial" w:cs="Arial" w:eastAsia="Arial" w:hAnsi="Arial"/>
                <w:sz w:val="12"/>
                <w:szCs w:val="12"/>
                <w:color w:val="auto"/>
              </w:rPr>
              <w:t>(6)</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Oil and Gas</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38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4.0%</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2,632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(USWS Holdings, LLC</w:t>
            </w:r>
            <w:r>
              <w:rPr>
                <w:rFonts w:ascii="Arial" w:cs="Arial" w:eastAsia="Arial" w:hAnsi="Arial"/>
                <w:sz w:val="12"/>
                <w:szCs w:val="12"/>
                <w:color w:val="auto"/>
              </w:rPr>
              <w:t>(5)(6)</w:t>
            </w:r>
            <w:r>
              <w:rPr>
                <w:rFonts w:ascii="Arial" w:cs="Arial" w:eastAsia="Arial" w:hAnsi="Arial"/>
                <w:sz w:val="14"/>
                <w:szCs w:val="14"/>
                <w:color w:val="auto"/>
              </w:rPr>
              <w:t>)</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770 South Post Oak Lane, Suite 405</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Vision Purchaser Corporation</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Media</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7650 185th Street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06/10/2025</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Tinley Park, IL 60477</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VT Topco, Inc.</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38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12,318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(Green Veracity Holdings, LP)</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L+700, 08/24/2026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 West Mount Pleasant Avenue,</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Suite 3200</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Livingston, NJ 07039</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Walker Edison Furniture Company LLC</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Home and Office</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260"/>
              <w:spacing w:after="0"/>
              <w:rPr>
                <w:sz w:val="20"/>
                <w:szCs w:val="20"/>
                <w:color w:val="auto"/>
              </w:rPr>
            </w:pPr>
            <w:r>
              <w:rPr>
                <w:rFonts w:ascii="Arial" w:cs="Arial" w:eastAsia="Arial" w:hAnsi="Arial"/>
                <w:sz w:val="14"/>
                <w:szCs w:val="14"/>
                <w:color w:val="auto"/>
              </w:rPr>
              <w:t>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27,205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(JWC-WE Holdings, L.P.)</w:t>
            </w: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L+650, 09/26/2024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Salt Lake City, UT 84120</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Whitney, Bradley &amp; Brown, Inc.</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Aerospace and Defense</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2.5%</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12,399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(WBB Equity, LLC</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L+750, 10/18/2022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Reston, VA 20191</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Winter Park Intermediate, Inc.</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Auto Sector</w:t>
            </w:r>
          </w:p>
        </w:tc>
        <w:tc>
          <w:tcPr>
            <w:tcW w:w="304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1380" w:type="dxa"/>
            <w:vAlign w:val="bottom"/>
            <w:gridSpan w:val="3"/>
          </w:tcPr>
          <w:p>
            <w:pPr>
              <w:jc w:val="right"/>
              <w:ind w:right="260"/>
              <w:spacing w:after="0"/>
              <w:rPr>
                <w:sz w:val="20"/>
                <w:szCs w:val="20"/>
                <w:color w:val="auto"/>
              </w:rPr>
            </w:pPr>
            <w:r>
              <w:rPr>
                <w:rFonts w:ascii="Arial" w:cs="Arial" w:eastAsia="Arial" w:hAnsi="Arial"/>
                <w:sz w:val="14"/>
                <w:szCs w:val="14"/>
                <w:color w:val="auto"/>
              </w:rPr>
              <w:t>2.5%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49,955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(Wheel Pros Holdings, L.P.)</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L+850, 04/06/2026</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44 Union Boulevard, Suite 620</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Lakewood, CO 80228</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ETX Energy, LLC</w:t>
            </w:r>
            <w:r>
              <w:rPr>
                <w:rFonts w:ascii="Arial" w:cs="Arial" w:eastAsia="Arial" w:hAnsi="Arial"/>
                <w:sz w:val="12"/>
                <w:szCs w:val="12"/>
                <w:color w:val="auto"/>
              </w:rPr>
              <w:t>(5)</w:t>
            </w:r>
          </w:p>
        </w:tc>
        <w:tc>
          <w:tcPr>
            <w:tcW w:w="16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Oil and Gas</w:t>
            </w:r>
          </w:p>
        </w:tc>
        <w:tc>
          <w:tcPr>
            <w:tcW w:w="3040" w:type="dxa"/>
            <w:vAlign w:val="bottom"/>
          </w:tcPr>
          <w:p>
            <w:pPr>
              <w:jc w:val="center"/>
              <w:spacing w:after="0" w:line="130" w:lineRule="exact"/>
              <w:rPr>
                <w:sz w:val="20"/>
                <w:szCs w:val="20"/>
                <w:color w:val="auto"/>
              </w:rPr>
            </w:pPr>
            <w:r>
              <w:rPr>
                <w:rFonts w:ascii="Arial" w:cs="Arial" w:eastAsia="Arial" w:hAnsi="Arial"/>
                <w:sz w:val="14"/>
                <w:szCs w:val="14"/>
                <w:color w:val="auto"/>
                <w:w w:val="94"/>
              </w:rPr>
              <w:t>Preferred Equity</w:t>
            </w:r>
          </w:p>
        </w:tc>
        <w:tc>
          <w:tcPr>
            <w:tcW w:w="138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15.3%</w:t>
            </w:r>
            <w:r>
              <w:rPr>
                <w:rFonts w:ascii="Arial" w:cs="Arial" w:eastAsia="Arial" w:hAnsi="Arial"/>
                <w:sz w:val="12"/>
                <w:szCs w:val="12"/>
                <w:color w:val="auto"/>
              </w:rPr>
              <w:t>(3)</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22,717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(ETX Energy Management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Company, LLC)</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10441 S. Regal Blvd. Ste. 210</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Tulsa, OK 74133</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6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3040" w:type="dxa"/>
            <w:vAlign w:val="bottom"/>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83.5%</w:t>
            </w:r>
            <w:r>
              <w:rPr>
                <w:rFonts w:ascii="Arial" w:cs="Arial" w:eastAsia="Arial" w:hAnsi="Arial"/>
                <w:sz w:val="12"/>
                <w:szCs w:val="12"/>
                <w:color w:val="auto"/>
              </w:rPr>
              <w:t>(3)</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37,059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Unit L, Snugborough Trading Estate</w:t>
            </w: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and Childcare</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L+575, 03/13/2024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Braddan, Isle of Man IM4 4LH</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16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Preferred Equity</w:t>
            </w:r>
          </w:p>
        </w:tc>
        <w:tc>
          <w:tcPr>
            <w:tcW w:w="138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35.8%</w:t>
            </w:r>
            <w:r>
              <w:rPr>
                <w:rFonts w:ascii="Arial" w:cs="Arial" w:eastAsia="Arial" w:hAnsi="Arial"/>
                <w:sz w:val="12"/>
                <w:szCs w:val="12"/>
                <w:color w:val="auto"/>
              </w:rPr>
              <w:t>(3)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26,632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27605</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20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91"/>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2140" w:type="dxa"/>
            <w:vAlign w:val="bottom"/>
            <w:gridSpan w:val="3"/>
            <w:vMerge w:val="continue"/>
          </w:tcPr>
          <w:p>
            <w:pPr>
              <w:spacing w:after="0"/>
              <w:rPr>
                <w:sz w:val="12"/>
                <w:szCs w:val="12"/>
                <w:color w:val="auto"/>
              </w:rPr>
            </w:pPr>
          </w:p>
        </w:tc>
        <w:tc>
          <w:tcPr>
            <w:tcW w:w="1740" w:type="dxa"/>
            <w:vAlign w:val="bottom"/>
          </w:tcPr>
          <w:p>
            <w:pPr>
              <w:spacing w:after="0"/>
              <w:rPr>
                <w:sz w:val="12"/>
                <w:szCs w:val="12"/>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8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2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PT Network Intermediate Holdings,</w:t>
            </w:r>
          </w:p>
        </w:tc>
        <w:tc>
          <w:tcPr>
            <w:tcW w:w="1740" w:type="dxa"/>
            <w:vAlign w:val="bottom"/>
            <w:shd w:val="clear" w:color="auto" w:fill="CCEEFF"/>
          </w:tcPr>
          <w:p>
            <w:pPr>
              <w:ind w:left="120"/>
              <w:spacing w:after="0" w:line="109" w:lineRule="exact"/>
              <w:rPr>
                <w:sz w:val="20"/>
                <w:szCs w:val="20"/>
                <w:color w:val="auto"/>
              </w:rPr>
            </w:pPr>
            <w:r>
              <w:rPr>
                <w:rFonts w:ascii="Arial" w:cs="Arial" w:eastAsia="Arial" w:hAnsi="Arial"/>
                <w:sz w:val="12"/>
                <w:szCs w:val="12"/>
                <w:color w:val="auto"/>
              </w:rPr>
              <w:t>LLC</w:t>
            </w:r>
            <w:r>
              <w:rPr>
                <w:rFonts w:ascii="Arial" w:cs="Arial" w:eastAsia="Arial" w:hAnsi="Arial"/>
                <w:sz w:val="10"/>
                <w:szCs w:val="10"/>
                <w:color w:val="auto"/>
              </w:rPr>
              <w:t>(5)</w:t>
            </w:r>
          </w:p>
        </w:tc>
        <w:tc>
          <w:tcPr>
            <w:tcW w:w="148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w:t>
            </w:r>
          </w:p>
        </w:tc>
        <w:tc>
          <w:tcPr>
            <w:tcW w:w="180" w:type="dxa"/>
            <w:vAlign w:val="bottom"/>
            <w:shd w:val="clear" w:color="auto" w:fill="CCEEFF"/>
          </w:tcPr>
          <w:p>
            <w:pPr>
              <w:spacing w:after="0"/>
              <w:rPr>
                <w:sz w:val="9"/>
                <w:szCs w:val="9"/>
                <w:color w:val="auto"/>
              </w:rPr>
            </w:pPr>
          </w:p>
        </w:tc>
        <w:tc>
          <w:tcPr>
            <w:tcW w:w="306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62.1</w:t>
            </w:r>
          </w:p>
        </w:tc>
        <w:tc>
          <w:tcPr>
            <w:tcW w:w="360" w:type="dxa"/>
            <w:vAlign w:val="bottom"/>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5"/>
              </w:rPr>
              <w:t>%</w:t>
            </w:r>
            <w:r>
              <w:rPr>
                <w:rFonts w:ascii="Arial" w:cs="Arial" w:eastAsia="Arial" w:hAnsi="Arial"/>
                <w:sz w:val="10"/>
                <w:szCs w:val="10"/>
                <w:color w:val="auto"/>
                <w:w w:val="95"/>
              </w:rPr>
              <w:t>(3)</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72,434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(PTN) Investment Holdings II,</w:t>
            </w:r>
          </w:p>
        </w:tc>
        <w:tc>
          <w:tcPr>
            <w:tcW w:w="17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LLC</w:t>
            </w:r>
            <w:r>
              <w:rPr>
                <w:rFonts w:ascii="Arial" w:cs="Arial" w:eastAsia="Arial" w:hAnsi="Arial"/>
                <w:sz w:val="12"/>
                <w:szCs w:val="12"/>
                <w:color w:val="auto"/>
              </w:rPr>
              <w:t>(5)</w:t>
            </w:r>
            <w:r>
              <w:rPr>
                <w:rFonts w:ascii="Arial" w:cs="Arial" w:eastAsia="Arial" w:hAnsi="Arial"/>
                <w:sz w:val="14"/>
                <w:szCs w:val="14"/>
                <w:color w:val="auto"/>
              </w:rPr>
              <w:t>)</w:t>
            </w:r>
          </w:p>
        </w:tc>
        <w:tc>
          <w:tcPr>
            <w:tcW w:w="16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and Childcare</w:t>
            </w:r>
          </w:p>
        </w:tc>
        <w:tc>
          <w:tcPr>
            <w:tcW w:w="3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L+1,000 PIK, 11/30/2024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501 Fairmount Avenue</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Towson, MD 21286</w:t>
            </w:r>
          </w:p>
        </w:tc>
        <w:tc>
          <w:tcPr>
            <w:tcW w:w="17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RAM Energy LLC</w:t>
            </w:r>
          </w:p>
        </w:tc>
        <w:tc>
          <w:tcPr>
            <w:tcW w:w="174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Energy and Utilities</w:t>
            </w:r>
          </w:p>
        </w:tc>
        <w:tc>
          <w:tcPr>
            <w:tcW w:w="306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58"/>
              <w:spacing w:after="0"/>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123,958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140" w:type="dxa"/>
            <w:vAlign w:val="bottom"/>
            <w:gridSpan w:val="3"/>
          </w:tcPr>
          <w:p>
            <w:pPr>
              <w:spacing w:after="0" w:line="149" w:lineRule="exact"/>
              <w:rPr>
                <w:sz w:val="20"/>
                <w:szCs w:val="20"/>
                <w:color w:val="auto"/>
              </w:rPr>
            </w:pPr>
            <w:r>
              <w:rPr>
                <w:rFonts w:ascii="Arial" w:cs="Arial" w:eastAsia="Arial" w:hAnsi="Arial"/>
                <w:sz w:val="14"/>
                <w:szCs w:val="14"/>
                <w:color w:val="auto"/>
              </w:rPr>
              <w:t>(RAM Energy Holdings LLC)</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94"/>
              </w:rPr>
              <w:t>8.0% fixed, 07/01/2022</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3"/>
          </w:tcPr>
          <w:p>
            <w:pPr>
              <w:spacing w:after="0" w:line="149" w:lineRule="exact"/>
              <w:rPr>
                <w:sz w:val="20"/>
                <w:szCs w:val="20"/>
                <w:color w:val="auto"/>
              </w:rPr>
            </w:pPr>
            <w:r>
              <w:rPr>
                <w:rFonts w:ascii="Arial" w:cs="Arial" w:eastAsia="Arial" w:hAnsi="Arial"/>
                <w:sz w:val="14"/>
                <w:szCs w:val="14"/>
                <w:color w:val="auto"/>
                <w:w w:val="96"/>
              </w:rPr>
              <w:t>2100 South Utica Avenue, Ste. 165</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gridSpan w:val="3"/>
          </w:tcPr>
          <w:p>
            <w:pPr>
              <w:spacing w:after="0"/>
              <w:rPr>
                <w:sz w:val="20"/>
                <w:szCs w:val="20"/>
                <w:color w:val="auto"/>
              </w:rPr>
            </w:pPr>
            <w:r>
              <w:rPr>
                <w:rFonts w:ascii="Arial" w:cs="Arial" w:eastAsia="Arial" w:hAnsi="Arial"/>
                <w:sz w:val="14"/>
                <w:szCs w:val="14"/>
                <w:color w:val="auto"/>
              </w:rPr>
              <w:t>Tulsa, OK 74114</w:t>
            </w:r>
          </w:p>
        </w:tc>
        <w:tc>
          <w:tcPr>
            <w:tcW w:w="1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1,219,433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right="40" w:hanging="436"/>
        <w:spacing w:after="0" w:line="225"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64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64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640" w:right="6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64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Investment is held through our Taxable Subsidiaries.</w:t>
      </w:r>
    </w:p>
    <w:p>
      <w:pPr>
        <w:ind w:left="640" w:right="36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ind w:left="640" w:hanging="436"/>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Less than 0.1% voting ownership percentage.</w:t>
      </w:r>
    </w:p>
    <w:p>
      <w:pPr>
        <w:spacing w:after="0" w:line="196"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September 30, 2019:</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PT Network Intermediate Holdings, LLC (CI (PTN) Investment Holdings II, LLC) (Healthcare, Education and Childcare)</w:t>
      </w:r>
    </w:p>
    <w:p>
      <w:pPr>
        <w:spacing w:after="0" w:line="117" w:lineRule="exact"/>
        <w:rPr>
          <w:sz w:val="20"/>
          <w:szCs w:val="20"/>
          <w:color w:val="auto"/>
        </w:rPr>
      </w:pPr>
    </w:p>
    <w:p>
      <w:pPr>
        <w:ind w:left="1200" w:right="280"/>
        <w:spacing w:after="0" w:line="277" w:lineRule="auto"/>
        <w:rPr>
          <w:sz w:val="20"/>
          <w:szCs w:val="20"/>
          <w:color w:val="auto"/>
        </w:rPr>
      </w:pPr>
      <w:r>
        <w:rPr>
          <w:rFonts w:ascii="Arial" w:cs="Arial" w:eastAsia="Arial" w:hAnsi="Arial"/>
          <w:sz w:val="18"/>
          <w:szCs w:val="18"/>
          <w:color w:val="auto"/>
        </w:rPr>
        <w:t>PT Network Intermediate Holdings, LLC (CI (PTN) Investment Holdings II, LLC) is a provider of physical therapy, corporate wellness and occupational health services.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RAM Energy LLC (RAM Energy Holdings LLC) (Energy and Utilities)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RAM Energy LLC (RAM Energy Holdings LLC) is an exploration and production company focused on operations in the East Texas.</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580" w:type="dxa"/>
            <w:vAlign w:val="bottom"/>
          </w:tcPr>
          <w:p>
            <w:pPr>
              <w:spacing w:after="0"/>
              <w:rPr>
                <w:sz w:val="14"/>
                <w:szCs w:val="14"/>
                <w:color w:val="auto"/>
              </w:rPr>
            </w:pPr>
          </w:p>
        </w:tc>
        <w:tc>
          <w:tcPr>
            <w:tcW w:w="244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90"/>
              </w:rPr>
              <w:t>September 30, 2019</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58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jc w:val="right"/>
              <w:ind w:right="1080"/>
              <w:spacing w:after="0" w:line="203" w:lineRule="exact"/>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Energy and Utilities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440" w:type="dxa"/>
            <w:vAlign w:val="bottom"/>
            <w:gridSpan w:val="2"/>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vMerge w:val="restart"/>
          </w:tcPr>
          <w:p>
            <w:pPr>
              <w:jc w:val="right"/>
              <w:ind w:right="610"/>
              <w:spacing w:after="0"/>
              <w:rPr>
                <w:sz w:val="20"/>
                <w:szCs w:val="20"/>
                <w:color w:val="auto"/>
              </w:rPr>
            </w:pPr>
            <w:r>
              <w:rPr>
                <w:rFonts w:ascii="Arial" w:cs="Arial" w:eastAsia="Arial" w:hAnsi="Arial"/>
                <w:sz w:val="18"/>
                <w:szCs w:val="18"/>
                <w:color w:val="auto"/>
              </w:rPr>
              <w:t>25</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40" w:top="459" w:right="11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Arthur H. Penn became the Chief Executive Officer and a Director of PennantPark Investment at its inception in 2007.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78"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8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39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Investment Focus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6"/>
              </w:rPr>
              <w:t>Gross Assets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10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80"/>
        </w:trPr>
        <w:tc>
          <w:tcPr>
            <w:tcW w:w="3160" w:type="dxa"/>
            <w:vAlign w:val="bottom"/>
            <w:gridSpan w:val="2"/>
          </w:tcPr>
          <w:p>
            <w:pPr>
              <w:spacing w:after="0" w:line="180" w:lineRule="exact"/>
              <w:rPr>
                <w:sz w:val="20"/>
                <w:szCs w:val="20"/>
                <w:color w:val="auto"/>
              </w:rPr>
            </w:pPr>
            <w:r>
              <w:rPr>
                <w:rFonts w:ascii="Arial" w:cs="Arial" w:eastAsia="Arial" w:hAnsi="Arial"/>
                <w:sz w:val="16"/>
                <w:szCs w:val="16"/>
                <w:color w:val="auto"/>
              </w:rPr>
              <w:t>PennantPark Floating Rate Capital Ltd.</w:t>
            </w:r>
          </w:p>
        </w:tc>
        <w:tc>
          <w:tcPr>
            <w:tcW w:w="620" w:type="dxa"/>
            <w:vAlign w:val="bottom"/>
          </w:tcPr>
          <w:p>
            <w:pPr>
              <w:spacing w:after="0"/>
              <w:rPr>
                <w:sz w:val="15"/>
                <w:szCs w:val="15"/>
                <w:color w:val="auto"/>
              </w:rPr>
            </w:pPr>
          </w:p>
        </w:tc>
        <w:tc>
          <w:tcPr>
            <w:tcW w:w="19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Pr>
          <w:p>
            <w:pPr>
              <w:spacing w:after="0"/>
              <w:rPr>
                <w:sz w:val="15"/>
                <w:szCs w:val="15"/>
                <w:color w:val="auto"/>
              </w:rPr>
            </w:pPr>
          </w:p>
        </w:tc>
        <w:tc>
          <w:tcPr>
            <w:tcW w:w="39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floating rate loans, with an emphasis on senior</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company</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Joint Venture</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Primarily floating rate loans, with an emphasis on senior</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Other Managed Funds</w:t>
            </w: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Direct Lending</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Other credit opportunities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Funds</w:t>
            </w: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December 12, 2019. Information as to the beneficial ownerships is based on information furnished to us by such persons. We are not part of a “family of investment companies,” as that term is defined in the 1940 Act.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the</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PennantPark Investment</w:t>
            </w:r>
          </w:p>
        </w:tc>
      </w:tr>
      <w:tr>
        <w:trPr>
          <w:trHeight w:val="185"/>
        </w:trPr>
        <w:tc>
          <w:tcPr>
            <w:tcW w:w="20" w:type="dxa"/>
            <w:vAlign w:val="bottom"/>
          </w:tcPr>
          <w:p>
            <w:pPr>
              <w:spacing w:after="0"/>
              <w:rPr>
                <w:sz w:val="16"/>
                <w:szCs w:val="16"/>
                <w:color w:val="auto"/>
              </w:rPr>
            </w:pPr>
          </w:p>
        </w:tc>
        <w:tc>
          <w:tcPr>
            <w:tcW w:w="88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Corporation</w:t>
            </w:r>
            <w:r>
              <w:rPr>
                <w:rFonts w:ascii="Arial" w:cs="Arial" w:eastAsia="Arial" w:hAnsi="Arial"/>
                <w:sz w:val="12"/>
                <w:szCs w:val="12"/>
                <w:b w:val="1"/>
                <w:bCs w:val="1"/>
                <w:color w:val="auto"/>
                <w:w w:val="97"/>
              </w:rPr>
              <w:t>(1)</w:t>
            </w: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(2)</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Jose A. Briones</w:t>
            </w:r>
          </w:p>
        </w:tc>
        <w:tc>
          <w:tcPr>
            <w:tcW w:w="2220" w:type="dxa"/>
            <w:vAlign w:val="bottom"/>
          </w:tcPr>
          <w:p>
            <w:pPr>
              <w:jc w:val="right"/>
              <w:spacing w:after="0"/>
              <w:rPr>
                <w:sz w:val="20"/>
                <w:szCs w:val="20"/>
                <w:color w:val="auto"/>
              </w:rPr>
            </w:pPr>
            <w:r>
              <w:rPr>
                <w:rFonts w:ascii="Arial" w:cs="Arial" w:eastAsia="Arial" w:hAnsi="Arial"/>
                <w:sz w:val="16"/>
                <w:szCs w:val="16"/>
                <w:color w:val="auto"/>
              </w:rPr>
              <w:t>$500,001 - $1,000,000</w:t>
            </w: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Salvatore Giannetti III</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r>
      <w:tr>
        <w:trPr>
          <w:trHeight w:val="206"/>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P. Whitridge Williams, Jr.</w:t>
            </w:r>
          </w:p>
        </w:tc>
        <w:tc>
          <w:tcPr>
            <w:tcW w:w="2220" w:type="dxa"/>
            <w:vAlign w:val="bottom"/>
          </w:tcPr>
          <w:p>
            <w:pPr>
              <w:jc w:val="right"/>
              <w:spacing w:after="0"/>
              <w:rPr>
                <w:sz w:val="20"/>
                <w:szCs w:val="20"/>
                <w:color w:val="auto"/>
              </w:rPr>
            </w:pPr>
            <w:r>
              <w:rPr>
                <w:rFonts w:ascii="Arial" w:cs="Arial" w:eastAsia="Arial" w:hAnsi="Arial"/>
                <w:sz w:val="16"/>
                <w:szCs w:val="16"/>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63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1" w:lineRule="exact"/>
        <w:rPr>
          <w:sz w:val="20"/>
          <w:szCs w:val="20"/>
          <w:color w:val="auto"/>
        </w:rPr>
      </w:pPr>
    </w:p>
    <w:p>
      <w:pPr>
        <w:ind w:left="640" w:right="680" w:hanging="436"/>
        <w:spacing w:after="0" w:line="29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180" w:hanging="54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180" w:right="140" w:hanging="544"/>
        <w:spacing w:after="0" w:line="279"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180" w:right="60" w:hanging="544"/>
        <w:spacing w:after="0" w:line="312" w:lineRule="auto"/>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780" w:right="1180" w:hanging="1120"/>
        <w:spacing w:after="0" w:line="277" w:lineRule="auto"/>
        <w:tabs>
          <w:tab w:leader="none" w:pos="1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780" w:right="460" w:hanging="1120"/>
        <w:spacing w:after="0" w:line="264" w:lineRule="auto"/>
        <w:tabs>
          <w:tab w:leader="none" w:pos="1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780" w:right="900" w:hanging="1120"/>
        <w:spacing w:after="0" w:line="277" w:lineRule="auto"/>
        <w:tabs>
          <w:tab w:leader="none" w:pos="1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1180" w:right="120" w:hanging="436"/>
        <w:spacing w:after="0" w:line="312" w:lineRule="auto"/>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180" w:right="20" w:hanging="436"/>
        <w:spacing w:after="0" w:line="279"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24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200" w:right="460" w:firstLine="441"/>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4"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of November 30, 2019,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last reported closing market price of our common stock on December 12, 2019 was $6.57 per share. As of November 30, 2019, we had 9 stockholders of record.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our outstanding classes of securities as of November 30, 2019:</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9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160" w:type="dxa"/>
            <w:vAlign w:val="bottom"/>
            <w:gridSpan w:val="3"/>
            <w:vMerge w:val="continue"/>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Authorized</w:t>
            </w:r>
          </w:p>
        </w:tc>
        <w:tc>
          <w:tcPr>
            <w:tcW w:w="540" w:type="dxa"/>
            <w:vAlign w:val="bottom"/>
          </w:tcPr>
          <w:p>
            <w:pPr>
              <w:spacing w:after="0"/>
              <w:rPr>
                <w:sz w:val="13"/>
                <w:szCs w:val="13"/>
                <w:color w:val="auto"/>
              </w:rPr>
            </w:pPr>
          </w:p>
        </w:tc>
        <w:tc>
          <w:tcPr>
            <w:tcW w:w="15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9"/>
              </w:rPr>
              <w:t>Account</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67,045,105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There can be no assurance that such provision will not be amended or eliminated at any time in the future to the extent permitted by the 1940 Act.</w:t>
      </w:r>
    </w:p>
    <w:p>
      <w:pPr>
        <w:spacing w:after="0" w:line="22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180" w:right="420" w:hanging="436"/>
        <w:spacing w:after="0" w:line="342"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right="460" w:firstLine="441"/>
        <w:spacing w:after="0" w:line="291" w:lineRule="auto"/>
        <w:rPr>
          <w:sz w:val="20"/>
          <w:szCs w:val="20"/>
          <w:color w:val="auto"/>
        </w:rPr>
      </w:pPr>
      <w:r>
        <w:rPr>
          <w:rFonts w:ascii="Arial" w:cs="Arial" w:eastAsia="Arial" w:hAnsi="Arial"/>
          <w:sz w:val="16"/>
          <w:szCs w:val="16"/>
          <w:color w:val="auto"/>
        </w:rPr>
        <w:t>In September 2019, we issued $75.0 million in aggregate principal amount of 2024 Notes, for net proceeds of $72.3 million after deducting underwriting discounts and offering costs. Interest on the 2024 Notes is paid quarterly on January 15, April 15, July 15 and October 15, at a rate of</w:t>
      </w:r>
    </w:p>
    <w:p>
      <w:pPr>
        <w:ind w:left="200" w:right="80"/>
        <w:spacing w:after="0" w:line="253" w:lineRule="auto"/>
        <w:rPr>
          <w:sz w:val="20"/>
          <w:szCs w:val="20"/>
          <w:color w:val="auto"/>
        </w:rPr>
      </w:pPr>
      <w:r>
        <w:rPr>
          <w:rFonts w:ascii="Arial" w:cs="Arial" w:eastAsia="Arial" w:hAnsi="Arial"/>
          <w:sz w:val="18"/>
          <w:szCs w:val="18"/>
          <w:color w:val="auto"/>
        </w:rPr>
        <w:t>5.50% per year, commencing January 15, 2020. The 2024 Notes mature on October 15, 2024. The 2024 Notes are direct unsecured obligations and rank pari passu in right of payment with our existing and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October 2019, we issued an additional $11.3 million in aggregate principal of the 2024 Notes at par value, generating net proceeds of $10.9 million after underwriting discounts and offering expenses payable by us, as a result of the underwriters’ full exercise of the option to purchase additional 2024 Notes we granted to them in connection with the offering that closed in September 2019. In total, the Company has issued $86.3 of 2024 Notes at par value, generating net proceeds of $83.2 million.</w:t>
      </w:r>
    </w:p>
    <w:p>
      <w:pPr>
        <w:spacing w:after="0" w:line="18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September 2014, we issued $250.0 million in aggregate principal amount of 2019 Notes. Interest on the 2019 Notes accrued at a rate of 4.50% per year and was paid semi-annually. The 2019 Notes were prepaid at 100% of the principal amount, plus accrued and unpaid interest through the payment date of March 4, 2019, as well as a make-whole premium. As of September 30, 2019 and 2018, we had zero and $250.0 million in aggregate principal amount of 2019 Notes outstanding, respectively.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SunTrust Credit Facility.</w:t>
      </w:r>
    </w:p>
    <w:p>
      <w:pPr>
        <w:spacing w:after="0" w:line="16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4"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conversion or exchange of other offered securities, or underlying debt securities may be issued under the indenture in one or more series.</w:t>
      </w:r>
    </w:p>
    <w:p>
      <w:pPr>
        <w:spacing w:after="0" w:line="22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441"/>
        <w:spacing w:after="0" w:line="297"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3"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3"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180" w:right="26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180" w:right="100" w:hanging="436"/>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180" w:right="480" w:hanging="436"/>
        <w:spacing w:after="0" w:line="308"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180" w:right="40" w:hanging="436"/>
        <w:spacing w:after="0" w:line="286"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180" w:right="14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jc w:val="both"/>
        <w:ind w:left="1180" w:right="460" w:hanging="436"/>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6" w:lineRule="exact"/>
        <w:rPr>
          <w:rFonts w:ascii="Arial" w:cs="Arial" w:eastAsia="Arial" w:hAnsi="Arial"/>
          <w:sz w:val="18"/>
          <w:szCs w:val="18"/>
          <w:color w:val="auto"/>
        </w:rPr>
      </w:pPr>
    </w:p>
    <w:p>
      <w:pPr>
        <w:ind w:left="1180" w:right="80" w:hanging="436"/>
        <w:spacing w:after="0" w:line="259"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180" w:right="14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0"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24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180" w:right="24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620" w:right="4660" w:hanging="4876"/>
        <w:spacing w:after="0" w:line="490" w:lineRule="auto"/>
        <w:tabs>
          <w:tab w:leader="none" w:pos="11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52</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180" w:right="160" w:hanging="436"/>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35"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180" w:right="68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hanging="436"/>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200" w:right="12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78" w:lineRule="exact"/>
        <w:rPr>
          <w:sz w:val="20"/>
          <w:szCs w:val="20"/>
          <w:color w:val="auto"/>
        </w:rPr>
      </w:pPr>
    </w:p>
    <w:p>
      <w:pPr>
        <w:ind w:left="1180" w:right="80" w:hanging="436"/>
        <w:spacing w:after="0" w:line="286" w:lineRule="auto"/>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180" w:right="80" w:hanging="436"/>
        <w:spacing w:after="0" w:line="26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180" w:right="100" w:hanging="436"/>
        <w:spacing w:after="0" w:line="286" w:lineRule="auto"/>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180" w:right="80" w:hanging="436"/>
        <w:spacing w:after="0" w:line="273" w:lineRule="auto"/>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180" w:right="360" w:hanging="436"/>
        <w:spacing w:after="0" w:line="308" w:lineRule="auto"/>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180" w:right="360" w:hanging="436"/>
        <w:spacing w:after="0" w:line="279" w:lineRule="auto"/>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1180" w:right="420" w:hanging="436"/>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3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ind w:left="200" w:right="20" w:firstLine="4"/>
        <w:spacing w:after="0" w:line="252" w:lineRule="auto"/>
        <w:tabs>
          <w:tab w:leader="none" w:pos="4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4"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180" w:right="260" w:hanging="436"/>
        <w:spacing w:after="0" w:line="264"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620" w:right="180" w:hanging="430"/>
        <w:spacing w:after="0" w:line="264"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jc w:val="both"/>
        <w:ind w:left="1620" w:hanging="430"/>
        <w:spacing w:after="0" w:line="286" w:lineRule="auto"/>
        <w:tabs>
          <w:tab w:leader="none" w:pos="16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3"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purposes. The Taxable Subsidiaries generally will be subject to corporate income taxes on their earnings, which ultimately will reduce our return on such income and fees.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3"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5"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subsequent years as provided in the Code. Corporate stockholders generally may not deduct any net capital losses for a year, but may carryback such losses for three taxable years or carry forward such losses for five taxable years.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3"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4"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3"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180" w:hanging="436"/>
        <w:spacing w:after="0"/>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180" w:right="160" w:hanging="436"/>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serves as trustee for our 2024 Notes.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 Certain legal matters will be passed upon for underwriters, if any, by the counsel named in the prospectus supplement, if any.</w:t>
      </w:r>
    </w:p>
    <w:p>
      <w:pPr>
        <w:spacing w:after="0" w:line="28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w:t>
      </w:r>
      <w:r>
        <w:rPr>
          <w:rFonts w:ascii="Arial" w:cs="Arial" w:eastAsia="Arial" w:hAnsi="Arial"/>
          <w:sz w:val="14"/>
          <w:szCs w:val="14"/>
          <w:color w:val="auto"/>
        </w:rPr>
        <w:t>nd</w:t>
      </w:r>
      <w:r>
        <w:rPr>
          <w:rFonts w:ascii="Arial" w:cs="Arial" w:eastAsia="Arial" w:hAnsi="Arial"/>
          <w:sz w:val="17"/>
          <w:szCs w:val="17"/>
          <w:color w:val="auto"/>
        </w:rPr>
        <w:t xml:space="preserve">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17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consolidated financial statements of RAM Energy Holdings LLC and subsidiaries as of and for the year ended September 30, 2019 incorporated by reference in this Prospectus have been so incorporated in reliance on the report of BDO USA, LLP, an independent auditor, incorporated herein by reference, given on the authority of said firm as experts in auditing and accounting.</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spacing w:after="0" w:line="342" w:lineRule="auto"/>
        <w:rPr>
          <w:sz w:val="20"/>
          <w:szCs w:val="20"/>
          <w:color w:val="auto"/>
        </w:rPr>
      </w:pPr>
      <w:r>
        <w:rPr>
          <w:rFonts w:ascii="Arial" w:cs="Arial" w:eastAsia="Arial" w:hAnsi="Arial"/>
          <w:sz w:val="16"/>
          <w:szCs w:val="16"/>
          <w:color w:val="auto"/>
        </w:rPr>
        <w:t>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ind w:left="1180" w:hanging="436"/>
        <w:spacing w:after="0"/>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September 30, 2019, filed with the SEC on November 21, 2019; and</w:t>
      </w:r>
    </w:p>
    <w:p>
      <w:pPr>
        <w:spacing w:after="0" w:line="142" w:lineRule="exact"/>
        <w:rPr>
          <w:rFonts w:ascii="Arial" w:cs="Arial" w:eastAsia="Arial" w:hAnsi="Arial"/>
          <w:sz w:val="17"/>
          <w:szCs w:val="17"/>
          <w:color w:val="auto"/>
        </w:rPr>
      </w:pPr>
    </w:p>
    <w:p>
      <w:pPr>
        <w:ind w:left="1180" w:right="20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description of our Common Stock referenced in our Registration Statement on Form 8-A (No. 001-33418), as filed with the SEC on April 19, 2007, including any amendment or report filed for the purpose of updating such description prior to the termination of the offering of the common stock registered hereby.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1240" w:hanging="87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1240" w:right="180"/>
        <w:spacing w:after="0" w:line="298" w:lineRule="auto"/>
        <w:rPr>
          <w:rFonts w:ascii="Arial" w:cs="Arial" w:eastAsia="Arial" w:hAnsi="Arial"/>
          <w:sz w:val="18"/>
          <w:szCs w:val="18"/>
          <w:color w:val="auto"/>
        </w:rPr>
      </w:pPr>
      <w:r>
        <w:rPr>
          <w:rFonts w:ascii="Arial" w:cs="Arial" w:eastAsia="Arial" w:hAnsi="Arial"/>
          <w:sz w:val="16"/>
          <w:szCs w:val="16"/>
          <w:color w:val="auto"/>
        </w:rPr>
        <w:t>The consolidated financial statements as of September 30, 2019 and September 30, 2018 and for each of the three years in the period ended September 30, 2019 and management’s assessment of the effectiveness of internal control over financial reporting (which is included in Management’s Report on Internal Control over Financial Reporting) as of September 30, 2019 have been incorporated by reference in this registration statement in “Part A—Information Required in a Prospectus.”</w:t>
      </w:r>
    </w:p>
    <w:p>
      <w:pPr>
        <w:spacing w:after="0" w:line="126" w:lineRule="exact"/>
        <w:rPr>
          <w:sz w:val="20"/>
          <w:szCs w:val="20"/>
          <w:color w:val="auto"/>
        </w:rPr>
      </w:pPr>
    </w:p>
    <w:p>
      <w:pPr>
        <w:ind w:left="1240" w:hanging="87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1240" w:right="520" w:hanging="880"/>
        <w:spacing w:after="0" w:line="332" w:lineRule="auto"/>
        <w:tabs>
          <w:tab w:leader="none" w:pos="12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Articles of Amendment and Restatement of the Registrant (Incorporated by reference to Exhibit 99(a) to the Registrant’s Pre-Effective Amendment No. 3 to the Registration Statement on Form N-2/A (File No. 333-140092), filed on April 5, 2007).</w:t>
      </w:r>
    </w:p>
    <w:p>
      <w:pPr>
        <w:spacing w:after="0" w:line="98" w:lineRule="exact"/>
        <w:rPr>
          <w:rFonts w:ascii="Arial" w:cs="Arial" w:eastAsia="Arial" w:hAnsi="Arial"/>
          <w:sz w:val="16"/>
          <w:szCs w:val="16"/>
          <w:color w:val="auto"/>
        </w:rPr>
      </w:pPr>
    </w:p>
    <w:p>
      <w:pPr>
        <w:ind w:left="1240" w:right="260" w:hanging="885"/>
        <w:spacing w:after="0" w:line="268" w:lineRule="auto"/>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814-00736), filed on December 2, 2015).</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w:t>
            </w: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Form of Share Certificate (Incorporated by reference to Exhibit 99.(d)(1) to the Registrant’s Registration Statement on Form N-2 (File No.</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333-150033), filed on April 2,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(d)(2)</w:t>
            </w:r>
          </w:p>
        </w:tc>
        <w:tc>
          <w:tcPr>
            <w:tcW w:w="10280" w:type="dxa"/>
            <w:vAlign w:val="bottom"/>
          </w:tcPr>
          <w:p>
            <w:pPr>
              <w:ind w:left="300"/>
              <w:spacing w:after="0"/>
              <w:rPr>
                <w:sz w:val="20"/>
                <w:szCs w:val="20"/>
                <w:color w:val="auto"/>
              </w:rPr>
            </w:pPr>
            <w:r>
              <w:rPr>
                <w:rFonts w:ascii="Arial" w:cs="Arial" w:eastAsia="Arial" w:hAnsi="Arial"/>
                <w:sz w:val="18"/>
                <w:szCs w:val="18"/>
                <w:color w:val="auto"/>
                <w:w w:val="96"/>
              </w:rPr>
              <w:t>Form of Subscription Certificate (Incorporated by reference to Exhibit 99.(d)(2) to the Registrant’s Pre-Effective Amendment to the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Registration Statement on Form N-2/A (File No. 333-150033), filed on May 30,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(d)(3)</w:t>
            </w: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Form of Subscription Agent Agreement (Incorporated by reference to Exhibit 99.(d)(4) to the Registrant’s Pre-Effective Amendment to the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Registration Statement on Form N-2/A (File No. 333-150033), filed on May 30,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(d)(4)</w:t>
            </w:r>
          </w:p>
        </w:tc>
        <w:tc>
          <w:tcPr>
            <w:tcW w:w="10280" w:type="dxa"/>
            <w:vAlign w:val="bottom"/>
          </w:tcPr>
          <w:p>
            <w:pPr>
              <w:ind w:left="300"/>
              <w:spacing w:after="0"/>
              <w:rPr>
                <w:sz w:val="20"/>
                <w:szCs w:val="20"/>
                <w:color w:val="auto"/>
              </w:rPr>
            </w:pPr>
            <w:r>
              <w:rPr>
                <w:rFonts w:ascii="Arial" w:cs="Arial" w:eastAsia="Arial" w:hAnsi="Arial"/>
                <w:sz w:val="18"/>
                <w:szCs w:val="18"/>
                <w:color w:val="auto"/>
                <w:w w:val="90"/>
              </w:rPr>
              <w:t>Form of Warrant Agreement (Incorporated by reference to Exhibit 99.(d)(5) to the Registrant’s Pre-Effective Amendment to the Registration</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Statement on Form N-2/A (File No. 333-150033), filed on May 30,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(d)(5)</w:t>
            </w:r>
          </w:p>
        </w:tc>
        <w:tc>
          <w:tcPr>
            <w:tcW w:w="10280" w:type="dxa"/>
            <w:vAlign w:val="bottom"/>
          </w:tcPr>
          <w:p>
            <w:pPr>
              <w:ind w:left="300"/>
              <w:spacing w:after="0"/>
              <w:rPr>
                <w:sz w:val="20"/>
                <w:szCs w:val="20"/>
                <w:color w:val="auto"/>
              </w:rPr>
            </w:pPr>
            <w:r>
              <w:rPr>
                <w:rFonts w:ascii="Arial" w:cs="Arial" w:eastAsia="Arial" w:hAnsi="Arial"/>
                <w:sz w:val="18"/>
                <w:szCs w:val="18"/>
                <w:color w:val="auto"/>
                <w:w w:val="90"/>
              </w:rPr>
              <w:t>Form T-1 Statement of Eligibility with respect to the Form of Indenture (Incorporated by reference to Exhibit 2(d)(6) to the Registrant’s Pre-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Effective Amendment to the Registration Statement on Form N-2/A (File No. 333-172524), filed August 22, 2011).</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(d)(6)</w:t>
            </w:r>
          </w:p>
        </w:tc>
        <w:tc>
          <w:tcPr>
            <w:tcW w:w="10280" w:type="dxa"/>
            <w:vAlign w:val="bottom"/>
          </w:tcPr>
          <w:p>
            <w:pPr>
              <w:ind w:left="300"/>
              <w:spacing w:after="0"/>
              <w:rPr>
                <w:sz w:val="20"/>
                <w:szCs w:val="20"/>
                <w:color w:val="auto"/>
              </w:rPr>
            </w:pPr>
            <w:r>
              <w:rPr>
                <w:rFonts w:ascii="Arial" w:cs="Arial" w:eastAsia="Arial" w:hAnsi="Arial"/>
                <w:sz w:val="18"/>
                <w:szCs w:val="18"/>
                <w:color w:val="auto"/>
                <w:w w:val="97"/>
              </w:rPr>
              <w:t>Form of Articles Supplementary (Incorporated by reference to Exhibit 2(d)(7) to the Registrant’s Pre-Effective Amendment to the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Registration Statement on Form N-2/A (File No. 333-172524), filed August 22, 2011).</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(d)(7)</w:t>
            </w: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Base Indenture, dated as of January 22, 2013, relating to the 6.25% Senior Notes due 2025, between the Registrant and American Stock</w:t>
            </w:r>
          </w:p>
        </w:tc>
      </w:tr>
      <w:tr>
        <w:trPr>
          <w:trHeight w:val="216"/>
        </w:trPr>
        <w:tc>
          <w:tcPr>
            <w:tcW w:w="74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w w:val="89"/>
              </w:rPr>
              <w:t>Transfer &amp; Trust Company, LLC, as trustee (Incorporated by reference to Exhibit 99.(d)(8) to the Registrant’s Post-Effective Amendment No.</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4 to the Registration Statement on Form N-2/A (File No. 333-172524), filed on January 22, 2013).</w:t>
            </w:r>
          </w:p>
        </w:tc>
      </w:tr>
      <w:tr>
        <w:trPr>
          <w:trHeight w:val="372"/>
        </w:trPr>
        <w:tc>
          <w:tcPr>
            <w:tcW w:w="740" w:type="dxa"/>
            <w:vAlign w:val="bottom"/>
          </w:tcPr>
          <w:p>
            <w:pPr>
              <w:spacing w:after="0"/>
              <w:rPr>
                <w:sz w:val="20"/>
                <w:szCs w:val="20"/>
                <w:color w:val="auto"/>
              </w:rPr>
            </w:pPr>
            <w:r>
              <w:rPr>
                <w:rFonts w:ascii="Arial" w:cs="Arial" w:eastAsia="Arial" w:hAnsi="Arial"/>
                <w:sz w:val="18"/>
                <w:szCs w:val="18"/>
                <w:color w:val="auto"/>
              </w:rPr>
              <w:t>(d)(8)</w:t>
            </w:r>
          </w:p>
        </w:tc>
        <w:tc>
          <w:tcPr>
            <w:tcW w:w="10280" w:type="dxa"/>
            <w:vAlign w:val="bottom"/>
          </w:tcPr>
          <w:p>
            <w:pPr>
              <w:ind w:left="300"/>
              <w:spacing w:after="0"/>
              <w:rPr>
                <w:sz w:val="20"/>
                <w:szCs w:val="20"/>
                <w:color w:val="auto"/>
              </w:rPr>
            </w:pPr>
            <w:r>
              <w:rPr>
                <w:rFonts w:ascii="Arial" w:cs="Arial" w:eastAsia="Arial" w:hAnsi="Arial"/>
                <w:sz w:val="18"/>
                <w:szCs w:val="18"/>
                <w:color w:val="auto"/>
                <w:w w:val="93"/>
              </w:rPr>
              <w:t>Third Supplemental Indenture, dated as of September 27, 2019, by and between the Registrant and American Stock Transfer &amp; Trust</w:t>
            </w:r>
          </w:p>
        </w:tc>
      </w:tr>
      <w:tr>
        <w:trPr>
          <w:trHeight w:val="216"/>
        </w:trPr>
        <w:tc>
          <w:tcPr>
            <w:tcW w:w="74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Company, LLC, as trustee (Incorporated by reference to Exhibit 4.1 to the Registrant’s Current Report on Form 8-K (File No. 814-00736),</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filed on September 27, 2019).</w:t>
            </w:r>
          </w:p>
        </w:tc>
      </w:tr>
      <w:tr>
        <w:trPr>
          <w:trHeight w:val="378"/>
        </w:trPr>
        <w:tc>
          <w:tcPr>
            <w:tcW w:w="740" w:type="dxa"/>
            <w:vAlign w:val="bottom"/>
          </w:tcPr>
          <w:p>
            <w:pPr>
              <w:spacing w:after="0"/>
              <w:rPr>
                <w:sz w:val="20"/>
                <w:szCs w:val="20"/>
                <w:color w:val="auto"/>
              </w:rPr>
            </w:pPr>
            <w:r>
              <w:rPr>
                <w:rFonts w:ascii="Arial" w:cs="Arial" w:eastAsia="Arial" w:hAnsi="Arial"/>
                <w:sz w:val="18"/>
                <w:szCs w:val="18"/>
                <w:color w:val="auto"/>
              </w:rPr>
              <w:t>(d)(9)</w:t>
            </w:r>
          </w:p>
        </w:tc>
        <w:tc>
          <w:tcPr>
            <w:tcW w:w="10280" w:type="dxa"/>
            <w:vAlign w:val="bottom"/>
          </w:tcPr>
          <w:p>
            <w:pPr>
              <w:ind w:left="300"/>
              <w:spacing w:after="0"/>
              <w:rPr>
                <w:sz w:val="20"/>
                <w:szCs w:val="20"/>
                <w:color w:val="auto"/>
              </w:rPr>
            </w:pPr>
            <w:r>
              <w:rPr>
                <w:rFonts w:ascii="Arial" w:cs="Arial" w:eastAsia="Arial" w:hAnsi="Arial"/>
                <w:sz w:val="18"/>
                <w:szCs w:val="18"/>
                <w:color w:val="auto"/>
              </w:rPr>
              <w:t>Form of 5.50% Notes due 2024 (included as part of Exhibit d(8)).</w:t>
            </w:r>
          </w:p>
        </w:tc>
      </w:tr>
      <w:tr>
        <w:trPr>
          <w:trHeight w:val="365"/>
        </w:trPr>
        <w:tc>
          <w:tcPr>
            <w:tcW w:w="740" w:type="dxa"/>
            <w:vAlign w:val="bottom"/>
          </w:tcPr>
          <w:p>
            <w:pPr>
              <w:spacing w:after="0"/>
              <w:rPr>
                <w:sz w:val="24"/>
                <w:szCs w:val="24"/>
                <w:color w:val="auto"/>
              </w:rPr>
            </w:pPr>
          </w:p>
        </w:tc>
        <w:tc>
          <w:tcPr>
            <w:tcW w:w="10280" w:type="dxa"/>
            <w:vAlign w:val="bottom"/>
          </w:tcPr>
          <w:p>
            <w:pPr>
              <w:ind w:left="4640"/>
              <w:spacing w:after="0"/>
              <w:rPr>
                <w:sz w:val="20"/>
                <w:szCs w:val="20"/>
                <w:color w:val="auto"/>
              </w:rPr>
            </w:pPr>
            <w:r>
              <w:rPr>
                <w:rFonts w:ascii="Arial" w:cs="Arial" w:eastAsia="Arial" w:hAnsi="Arial"/>
                <w:sz w:val="18"/>
                <w:szCs w:val="18"/>
                <w:color w:val="auto"/>
              </w:rPr>
              <w:t>C-1</w:t>
            </w:r>
          </w:p>
        </w:tc>
      </w:tr>
    </w:tbl>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96" w:lineRule="exact"/>
        <w:rPr>
          <w:sz w:val="20"/>
          <w:szCs w:val="20"/>
          <w:color w:val="auto"/>
        </w:rPr>
      </w:pPr>
    </w:p>
    <w:p>
      <w:pPr>
        <w:ind w:left="1220" w:hanging="722"/>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71" w:lineRule="exact"/>
        <w:rPr>
          <w:sz w:val="20"/>
          <w:szCs w:val="20"/>
          <w:color w:val="auto"/>
        </w:rPr>
      </w:pPr>
    </w:p>
    <w:p>
      <w:pPr>
        <w:ind w:left="1220" w:right="120" w:hanging="1019"/>
        <w:spacing w:after="0" w:line="268" w:lineRule="auto"/>
        <w:tabs>
          <w:tab w:leader="none" w:pos="1200" w:val="left"/>
        </w:tabs>
        <w:rPr>
          <w:sz w:val="20"/>
          <w:szCs w:val="20"/>
          <w:color w:val="auto"/>
        </w:rPr>
      </w:pPr>
      <w:r>
        <w:rPr>
          <w:rFonts w:ascii="Arial" w:cs="Arial" w:eastAsia="Arial" w:hAnsi="Arial"/>
          <w:sz w:val="18"/>
          <w:szCs w:val="18"/>
          <w:color w:val="auto"/>
        </w:rPr>
        <w:t>(d)(10)</w:t>
      </w:r>
      <w:r>
        <w:rPr>
          <w:sz w:val="20"/>
          <w:szCs w:val="20"/>
          <w:color w:val="auto"/>
        </w:rPr>
        <w:tab/>
      </w:r>
      <w:r>
        <w:rPr>
          <w:rFonts w:ascii="Arial" w:cs="Arial" w:eastAsia="Arial" w:hAnsi="Arial"/>
          <w:sz w:val="18"/>
          <w:szCs w:val="18"/>
          <w:color w:val="auto"/>
        </w:rPr>
        <w:t>Form T-1 Statement of Eligibility (Incorporated by reference to Exhibit 99.D.5 to the Registrant’s Post-Effective Amendment No. 1 on Form N-2 (File No. 333-230014), filed on September 26, 2019).</w:t>
      </w:r>
    </w:p>
    <w:p>
      <w:pPr>
        <w:spacing w:after="0" w:line="132" w:lineRule="exact"/>
        <w:rPr>
          <w:sz w:val="20"/>
          <w:szCs w:val="20"/>
          <w:color w:val="auto"/>
        </w:rPr>
      </w:pPr>
    </w:p>
    <w:p>
      <w:pPr>
        <w:ind w:left="1220" w:right="240" w:hanging="820"/>
        <w:spacing w:after="0" w:line="268" w:lineRule="auto"/>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132" w:lineRule="exact"/>
        <w:rPr>
          <w:sz w:val="20"/>
          <w:szCs w:val="20"/>
          <w:color w:val="auto"/>
        </w:rPr>
      </w:pPr>
    </w:p>
    <w:p>
      <w:pPr>
        <w:ind w:left="1220" w:right="280" w:hanging="979"/>
        <w:spacing w:after="0" w:line="370" w:lineRule="auto"/>
        <w:tabs>
          <w:tab w:leader="none" w:pos="1200" w:val="left"/>
        </w:tabs>
        <w:rPr>
          <w:sz w:val="20"/>
          <w:szCs w:val="20"/>
          <w:color w:val="auto"/>
        </w:rPr>
      </w:pPr>
      <w:r>
        <w:rPr>
          <w:rFonts w:ascii="Arial" w:cs="Arial" w:eastAsia="Arial" w:hAnsi="Arial"/>
          <w:sz w:val="15"/>
          <w:szCs w:val="15"/>
          <w:color w:val="auto"/>
        </w:rPr>
        <w:t>(g)(1)</w:t>
      </w:r>
      <w:r>
        <w:rPr>
          <w:sz w:val="20"/>
          <w:szCs w:val="20"/>
          <w:color w:val="auto"/>
        </w:rPr>
        <w:tab/>
      </w:r>
      <w:r>
        <w:rPr>
          <w:rFonts w:ascii="Arial" w:cs="Arial" w:eastAsia="Arial" w:hAnsi="Arial"/>
          <w:sz w:val="15"/>
          <w:szCs w:val="15"/>
          <w:color w:val="auto"/>
        </w:rPr>
        <w:t>First Amended and Restated Investment Advisory Management Agreement between the Registrant and PennantPark Investment Advisers, LLC (Incorporated by reference to the Registrant’s Quarterly Report on Form 10-Q (File No. 814-00736), filed on February 3, 2016).</w:t>
      </w:r>
    </w:p>
    <w:p>
      <w:pPr>
        <w:spacing w:after="0" w:line="76" w:lineRule="exact"/>
        <w:rPr>
          <w:sz w:val="20"/>
          <w:szCs w:val="20"/>
          <w:color w:val="auto"/>
        </w:rPr>
      </w:pPr>
    </w:p>
    <w:p>
      <w:pPr>
        <w:ind w:left="1220" w:right="220" w:hanging="979"/>
        <w:spacing w:after="0" w:line="259" w:lineRule="auto"/>
        <w:tabs>
          <w:tab w:leader="none" w:pos="1200" w:val="left"/>
        </w:tabs>
        <w:rPr>
          <w:sz w:val="20"/>
          <w:szCs w:val="20"/>
          <w:color w:val="auto"/>
        </w:rPr>
      </w:pPr>
      <w:r>
        <w:rPr>
          <w:rFonts w:ascii="Arial" w:cs="Arial" w:eastAsia="Arial" w:hAnsi="Arial"/>
          <w:sz w:val="18"/>
          <w:szCs w:val="18"/>
          <w:color w:val="auto"/>
        </w:rPr>
        <w:t>(g)(2)</w:t>
      </w:r>
      <w:r>
        <w:rPr>
          <w:sz w:val="20"/>
          <w:szCs w:val="20"/>
          <w:color w:val="auto"/>
        </w:rPr>
        <w:tab/>
      </w:r>
      <w:r>
        <w:rPr>
          <w:rFonts w:ascii="Arial" w:cs="Arial" w:eastAsia="Arial" w:hAnsi="Arial"/>
          <w:sz w:val="18"/>
          <w:szCs w:val="18"/>
          <w:color w:val="auto"/>
        </w:rPr>
        <w:t>Second Amended and Restated Investment Advisory Management Agreement, dated as of February 6, 2018, between the Registrant and PennantPark Investment Advisers, LLC (Incorporated by reference to Exhibit 10.1 to the Registrant’s Quarterly Report on Form 10-Q (File No. 814-00736), filed on February 7, 2018).</w:t>
      </w:r>
    </w:p>
    <w:p>
      <w:pPr>
        <w:spacing w:after="0" w:line="140" w:lineRule="exact"/>
        <w:rPr>
          <w:sz w:val="20"/>
          <w:szCs w:val="20"/>
          <w:color w:val="auto"/>
        </w:rPr>
      </w:pPr>
    </w:p>
    <w:p>
      <w:pPr>
        <w:ind w:left="1220" w:right="20" w:hanging="979"/>
        <w:spacing w:after="0" w:line="259" w:lineRule="auto"/>
        <w:tabs>
          <w:tab w:leader="none" w:pos="1200" w:val="left"/>
        </w:tabs>
        <w:rPr>
          <w:sz w:val="20"/>
          <w:szCs w:val="20"/>
          <w:color w:val="auto"/>
        </w:rPr>
      </w:pPr>
      <w:r>
        <w:rPr>
          <w:rFonts w:ascii="Arial" w:cs="Arial" w:eastAsia="Arial" w:hAnsi="Arial"/>
          <w:sz w:val="18"/>
          <w:szCs w:val="18"/>
          <w:color w:val="auto"/>
        </w:rPr>
        <w:t>(g)(3)</w:t>
      </w:r>
      <w:r>
        <w:rPr>
          <w:sz w:val="20"/>
          <w:szCs w:val="20"/>
          <w:color w:val="auto"/>
        </w:rPr>
        <w:tab/>
      </w:r>
      <w:r>
        <w:rPr>
          <w:rFonts w:ascii="Arial" w:cs="Arial" w:eastAsia="Arial" w:hAnsi="Arial"/>
          <w:sz w:val="18"/>
          <w:szCs w:val="18"/>
          <w:color w:val="auto"/>
        </w:rPr>
        <w:t>Third Amended and Restated Investment Advisory Management Agreement, dated as of April 12, 2019, between the Registrant and PennantPark Investment Advisers, LLC (Incorporated by reference to Exhibit 99.(G)(3) to the Registrant’s Pre-Effective Amendment No. 1 to the Registration Statement on Form N-2 (File No. 333-230014), filed on April 12, 2019).</w:t>
      </w:r>
    </w:p>
    <w:p>
      <w:pPr>
        <w:spacing w:after="0" w:line="140" w:lineRule="exact"/>
        <w:rPr>
          <w:sz w:val="20"/>
          <w:szCs w:val="20"/>
          <w:color w:val="auto"/>
        </w:rPr>
      </w:pPr>
    </w:p>
    <w:p>
      <w:pPr>
        <w:ind w:left="1220" w:right="240" w:hanging="979"/>
        <w:spacing w:after="0" w:line="332" w:lineRule="auto"/>
        <w:tabs>
          <w:tab w:leader="none" w:pos="1200" w:val="left"/>
        </w:tabs>
        <w:rPr>
          <w:sz w:val="20"/>
          <w:szCs w:val="20"/>
          <w:color w:val="auto"/>
        </w:rPr>
      </w:pPr>
      <w:r>
        <w:rPr>
          <w:rFonts w:ascii="Arial" w:cs="Arial" w:eastAsia="Arial" w:hAnsi="Arial"/>
          <w:sz w:val="16"/>
          <w:szCs w:val="16"/>
          <w:color w:val="auto"/>
        </w:rPr>
        <w:t>(h)(1)</w:t>
      </w:r>
      <w:r>
        <w:rPr>
          <w:sz w:val="20"/>
          <w:szCs w:val="20"/>
          <w:color w:val="auto"/>
        </w:rPr>
        <w:tab/>
      </w:r>
      <w:r>
        <w:rPr>
          <w:rFonts w:ascii="Arial" w:cs="Arial" w:eastAsia="Arial" w:hAnsi="Arial"/>
          <w:sz w:val="16"/>
          <w:szCs w:val="16"/>
          <w:color w:val="auto"/>
        </w:rPr>
        <w:t>Form of Underwriting Agreement for equity (Incorporated by reference to Exhibit 99.(H)(1) to the Registrant’s Post-Effective Amendment No. 4 to the Registration Statement on Form N-2/A (File No. 333-150033), filed on February 22, 2010).</w:t>
      </w:r>
    </w:p>
    <w:p>
      <w:pPr>
        <w:spacing w:after="0" w:line="85" w:lineRule="exact"/>
        <w:rPr>
          <w:sz w:val="20"/>
          <w:szCs w:val="20"/>
          <w:color w:val="auto"/>
        </w:rPr>
      </w:pPr>
    </w:p>
    <w:p>
      <w:pPr>
        <w:ind w:left="1220" w:hanging="979"/>
        <w:spacing w:after="0" w:line="268" w:lineRule="auto"/>
        <w:tabs>
          <w:tab w:leader="none" w:pos="120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(Incorporated by reference to Exhibit 99.(H)(2) to the Registrant’s Pre-Effective Amendment to the Registration Statement on Form N-2/A (File No. 333-150033), filed on May 30, 2008).</w:t>
      </w:r>
    </w:p>
    <w:p>
      <w:pPr>
        <w:spacing w:after="0" w:line="132" w:lineRule="exact"/>
        <w:rPr>
          <w:sz w:val="20"/>
          <w:szCs w:val="20"/>
          <w:color w:val="auto"/>
        </w:rPr>
      </w:pPr>
    </w:p>
    <w:p>
      <w:pPr>
        <w:ind w:left="1220" w:right="20" w:hanging="979"/>
        <w:spacing w:after="0" w:line="256" w:lineRule="auto"/>
        <w:tabs>
          <w:tab w:leader="none" w:pos="1200" w:val="left"/>
        </w:tabs>
        <w:rPr>
          <w:sz w:val="20"/>
          <w:szCs w:val="20"/>
          <w:color w:val="auto"/>
        </w:rPr>
      </w:pPr>
      <w:r>
        <w:rPr>
          <w:rFonts w:ascii="Arial" w:cs="Arial" w:eastAsia="Arial" w:hAnsi="Arial"/>
          <w:sz w:val="18"/>
          <w:szCs w:val="18"/>
          <w:color w:val="auto"/>
        </w:rPr>
        <w:t>(h)(3)</w:t>
      </w:r>
      <w:r>
        <w:rPr>
          <w:sz w:val="20"/>
          <w:szCs w:val="20"/>
          <w:color w:val="auto"/>
        </w:rPr>
        <w:tab/>
      </w:r>
      <w:r>
        <w:rPr>
          <w:rFonts w:ascii="Arial" w:cs="Arial" w:eastAsia="Arial" w:hAnsi="Arial"/>
          <w:sz w:val="18"/>
          <w:szCs w:val="18"/>
          <w:color w:val="auto"/>
        </w:rPr>
        <w:t>Underwriting Agreement, dated September 24, 2019, by and among the Registrant, PennantPark Investment Advisers, LLC, PennantPark Investment Administration, LLC, and Keefe, Bruyette &amp; Woods, Inc. and Morgan Stanley &amp; Co. LLC, as representatives of the several underwriters named on Schedule A thereto (Incorporated by reference to Exhibit 1.1 to the Registrant’s Current Report on Form 8-K (File No. 814-00736), filed on September 27, 2019).</w:t>
      </w:r>
    </w:p>
    <w:p>
      <w:pPr>
        <w:spacing w:after="0" w:line="143" w:lineRule="exact"/>
        <w:rPr>
          <w:sz w:val="20"/>
          <w:szCs w:val="20"/>
          <w:color w:val="auto"/>
        </w:rPr>
      </w:pPr>
    </w:p>
    <w:p>
      <w:pPr>
        <w:ind w:left="1220" w:right="300" w:hanging="849"/>
        <w:spacing w:after="0" w:line="268"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132" w:lineRule="exact"/>
        <w:rPr>
          <w:sz w:val="20"/>
          <w:szCs w:val="20"/>
          <w:color w:val="auto"/>
        </w:rPr>
      </w:pPr>
    </w:p>
    <w:p>
      <w:pPr>
        <w:ind w:left="1220" w:right="220" w:hanging="979"/>
        <w:spacing w:after="0" w:line="332" w:lineRule="auto"/>
        <w:tabs>
          <w:tab w:leader="none" w:pos="1200" w:val="left"/>
        </w:tabs>
        <w:rPr>
          <w:sz w:val="20"/>
          <w:szCs w:val="20"/>
          <w:color w:val="auto"/>
        </w:rPr>
      </w:pPr>
      <w:r>
        <w:rPr>
          <w:rFonts w:ascii="Arial" w:cs="Arial" w:eastAsia="Arial" w:hAnsi="Arial"/>
          <w:sz w:val="16"/>
          <w:szCs w:val="16"/>
          <w:color w:val="auto"/>
        </w:rPr>
        <w:t>(k)(1)</w:t>
      </w:r>
      <w:r>
        <w:rPr>
          <w:sz w:val="20"/>
          <w:szCs w:val="20"/>
          <w:color w:val="auto"/>
        </w:rPr>
        <w:tab/>
      </w:r>
      <w:r>
        <w:rPr>
          <w:rFonts w:ascii="Arial" w:cs="Arial" w:eastAsia="Arial" w:hAnsi="Arial"/>
          <w:sz w:val="16"/>
          <w:szCs w:val="16"/>
          <w:color w:val="auto"/>
        </w:rPr>
        <w:t>Administration Agreement between the Registrant and PennantPark Investment Administration, LLC (Incorporated by reference to Exhibit 99.(K)(1) to the Registrant’s Registration Statement on Form N-2 (File No. 333-150033), filed on April 2, 2008).</w:t>
      </w:r>
    </w:p>
    <w:p>
      <w:pPr>
        <w:spacing w:after="0" w:line="85" w:lineRule="exact"/>
        <w:rPr>
          <w:sz w:val="20"/>
          <w:szCs w:val="20"/>
          <w:color w:val="auto"/>
        </w:rPr>
      </w:pPr>
    </w:p>
    <w:p>
      <w:pPr>
        <w:ind w:left="1220" w:right="260" w:hanging="979"/>
        <w:spacing w:after="0" w:line="332" w:lineRule="auto"/>
        <w:tabs>
          <w:tab w:leader="none" w:pos="120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99.(K)(2) to the Registrant’s Registration Statement on Form N-2 (File No. 333-150033), filed on April 2, 2008).</w:t>
      </w:r>
    </w:p>
    <w:p>
      <w:pPr>
        <w:spacing w:after="0" w:line="85" w:lineRule="exact"/>
        <w:rPr>
          <w:sz w:val="20"/>
          <w:szCs w:val="20"/>
          <w:color w:val="auto"/>
        </w:rPr>
      </w:pPr>
    </w:p>
    <w:p>
      <w:pPr>
        <w:ind w:left="1220" w:right="160" w:hanging="979"/>
        <w:spacing w:after="0" w:line="268" w:lineRule="auto"/>
        <w:tabs>
          <w:tab w:leader="none" w:pos="120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Trademark License Agreement (Incorporated by reference to Exhibit 99.(K)(3) to the Registrant’s Registration Statement on Form N-2 (File No. 333-150033), filed on April 2, 2008).</w:t>
      </w:r>
    </w:p>
    <w:p>
      <w:pPr>
        <w:spacing w:after="0" w:line="145" w:lineRule="exact"/>
        <w:rPr>
          <w:sz w:val="20"/>
          <w:szCs w:val="20"/>
          <w:color w:val="auto"/>
        </w:rPr>
      </w:pPr>
    </w:p>
    <w:p>
      <w:pPr>
        <w:ind w:left="1220" w:hanging="979"/>
        <w:spacing w:after="0" w:line="294" w:lineRule="auto"/>
        <w:tabs>
          <w:tab w:leader="none" w:pos="120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Second Amendment to Second Amended and Restated Senior Secured Revolving Credit Agreement, dated as of September 4, 2019, by and among PennantPark Investment Corporation, as borrower, the lenders party thereto, SunTrust Bank, as administrative agent and collateral agent, and solely with respect to Section 4.9, PNNT CI (GALLS) Prime Investment Holdings, LLC, PNNT Investment Holdings, LLC, PNNT New Gulf Resources, LLC, PNNT ecoserve, LLC and PNNT Cascade Environmental Holdings, LLC (Incorporated by reference to Exhibit 10.1 to the Registrant’s Form 8-K (File No. 814-00736), filed on September 9, 2019).</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204" w:lineRule="exact"/>
        <w:rPr>
          <w:sz w:val="20"/>
          <w:szCs w:val="20"/>
          <w:color w:val="auto"/>
        </w:rPr>
      </w:pPr>
    </w:p>
    <w:p>
      <w:pPr>
        <w:ind w:left="1220" w:hanging="722"/>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(k)(5)</w:t>
            </w: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Indemnification Agreement, dated as of November 15, 2016, between PennantPark Investment Corporation and each of the directors and</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1"/>
              </w:rPr>
              <w:t>officers listed on Schedule A attached thereto (Incorporated by reference to Exhibit 10.5 on the Registrant’s Annual Report on Form 10-K</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(File No. 814-00891), filed on November 21, 2016).</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(k)(6)</w:t>
            </w:r>
          </w:p>
        </w:tc>
        <w:tc>
          <w:tcPr>
            <w:tcW w:w="10220" w:type="dxa"/>
            <w:vAlign w:val="bottom"/>
          </w:tcPr>
          <w:p>
            <w:pPr>
              <w:ind w:left="260"/>
              <w:spacing w:after="0"/>
              <w:rPr>
                <w:sz w:val="20"/>
                <w:szCs w:val="20"/>
                <w:color w:val="auto"/>
              </w:rPr>
            </w:pPr>
            <w:r>
              <w:rPr>
                <w:rFonts w:ascii="Arial" w:cs="Arial" w:eastAsia="Arial" w:hAnsi="Arial"/>
                <w:sz w:val="18"/>
                <w:szCs w:val="18"/>
                <w:color w:val="auto"/>
                <w:w w:val="88"/>
              </w:rPr>
              <w:t>Revolving Credit and Security Agreement by and among PennantPark Investment Funding I, LLC, as borrower, the lenders from time to time</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3"/>
              </w:rPr>
              <w:t>parties thereto, BNP Paribas, as administrative agent, PennantPark Investment Corporation, as equityholder, PennantPark Investment</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4"/>
              </w:rPr>
              <w:t>Advisers, LLC, as servicer, and The Bank of New York Mellon Trust Company, National Association, as collateral agent, dated as of</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February 22, 2019 (Incorporated by reference to Exhibit 10.1 to the Registrant’s Current Report on Form 8-K (File No. 814-00736), filed on</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February 26, 2019).</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(k)(7)</w:t>
            </w:r>
          </w:p>
        </w:tc>
        <w:tc>
          <w:tcPr>
            <w:tcW w:w="10220" w:type="dxa"/>
            <w:vAlign w:val="bottom"/>
          </w:tcPr>
          <w:p>
            <w:pPr>
              <w:ind w:left="260"/>
              <w:spacing w:after="0"/>
              <w:rPr>
                <w:sz w:val="20"/>
                <w:szCs w:val="20"/>
                <w:color w:val="auto"/>
              </w:rPr>
            </w:pPr>
            <w:r>
              <w:rPr>
                <w:rFonts w:ascii="Arial" w:cs="Arial" w:eastAsia="Arial" w:hAnsi="Arial"/>
                <w:sz w:val="18"/>
                <w:szCs w:val="18"/>
                <w:color w:val="auto"/>
                <w:w w:val="94"/>
              </w:rPr>
              <w:t>Account Control Agreement by and among PennantPark Investment Funding I, LLC, as pledgor, The Bank of New York Mellon Trust</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Company, National Association, as secured party, PennantPark Investment Advisers, LLC, as servicer, and The Bank of New York Mellon</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88"/>
              </w:rPr>
              <w:t>Trust Company, National Association, as securities intermediary, dated as of February 22, 2019 (Incorporated by reference to Exhibit 10.2 to</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the Registrant’s Current Report on Form 8-K (File No. 814-00736), filed on February 26, 2019).</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(k)(8)</w:t>
            </w:r>
          </w:p>
        </w:tc>
        <w:tc>
          <w:tcPr>
            <w:tcW w:w="10220" w:type="dxa"/>
            <w:vAlign w:val="bottom"/>
          </w:tcPr>
          <w:p>
            <w:pPr>
              <w:ind w:left="260"/>
              <w:spacing w:after="0"/>
              <w:rPr>
                <w:sz w:val="20"/>
                <w:szCs w:val="20"/>
                <w:color w:val="auto"/>
              </w:rPr>
            </w:pPr>
            <w:r>
              <w:rPr>
                <w:rFonts w:ascii="Arial" w:cs="Arial" w:eastAsia="Arial" w:hAnsi="Arial"/>
                <w:sz w:val="18"/>
                <w:szCs w:val="18"/>
                <w:color w:val="auto"/>
                <w:w w:val="92"/>
              </w:rPr>
              <w:t>Custodian Agreement by and among PennantPark Investment Funding I, LLC, The Bank of New York Mellon Trust Company, National</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88"/>
              </w:rPr>
              <w:t>Association, as custodian, and The Bank of New York Mellon Trust Company, National Association, as collateral agent, dated as of February</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22, 2019 (Incorporated by reference to Exhibit 10.3 to the Registrant’s Current Report on Form 8-K (File No. 814-00736), filed on February</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26, 2019).</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(k)(9)</w:t>
            </w:r>
          </w:p>
        </w:tc>
        <w:tc>
          <w:tcPr>
            <w:tcW w:w="10220" w:type="dxa"/>
            <w:vAlign w:val="bottom"/>
          </w:tcPr>
          <w:p>
            <w:pPr>
              <w:ind w:left="260"/>
              <w:spacing w:after="0"/>
              <w:rPr>
                <w:sz w:val="20"/>
                <w:szCs w:val="20"/>
                <w:color w:val="auto"/>
              </w:rPr>
            </w:pPr>
            <w:r>
              <w:rPr>
                <w:rFonts w:ascii="Arial" w:cs="Arial" w:eastAsia="Arial" w:hAnsi="Arial"/>
                <w:sz w:val="18"/>
                <w:szCs w:val="18"/>
                <w:color w:val="auto"/>
                <w:w w:val="91"/>
              </w:rPr>
              <w:t>Purchase and Sale Agreement by and between PennantPark Investment Funding I, LLC, as the purchaser, and PennantPark Investment</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1"/>
              </w:rPr>
              <w:t>Corporation, as the seller, dated as of February 22, 2019 (Incorporated by reference to Exhibit 10.4 to the Registrant’s Current Report on</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Form 8-K (File No. 814-00736), filed on February 26, 2019).</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9"/>
              </w:rPr>
              <w:t>(l)(1)</w:t>
            </w: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Opinion and Consent of Venable LLP. (Incorporated by reference to Exhibit (l)(1) to the Registration Statement on Form N-2 (File No. 333-</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230014), filed on March 1, 2019).</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9"/>
              </w:rPr>
              <w:t>(l)(2)</w:t>
            </w: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Opinion and Consent of Dechert LLP. (Incorporated by reference to Exhibit (l)(2) to the Registration Statement on Form N-2 (File No. 333-</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230014), filed on March 1, 2019).</w:t>
            </w:r>
          </w:p>
        </w:tc>
      </w:tr>
      <w:tr>
        <w:trPr>
          <w:trHeight w:val="378"/>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(n)(1)*</w:t>
            </w:r>
          </w:p>
        </w:tc>
        <w:tc>
          <w:tcPr>
            <w:tcW w:w="10220" w:type="dxa"/>
            <w:vAlign w:val="bottom"/>
          </w:tcPr>
          <w:p>
            <w:pPr>
              <w:ind w:left="260"/>
              <w:spacing w:after="0"/>
              <w:rPr>
                <w:sz w:val="20"/>
                <w:szCs w:val="20"/>
                <w:color w:val="auto"/>
              </w:rPr>
            </w:pPr>
            <w:r>
              <w:rPr>
                <w:rFonts w:ascii="Arial" w:cs="Arial" w:eastAsia="Arial" w:hAnsi="Arial"/>
                <w:sz w:val="18"/>
                <w:szCs w:val="18"/>
                <w:color w:val="auto"/>
              </w:rPr>
              <w:t>Consent of RSM US LLP.</w:t>
            </w:r>
          </w:p>
        </w:tc>
      </w:tr>
      <w:tr>
        <w:trPr>
          <w:trHeight w:val="378"/>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(n)(2)*</w:t>
            </w:r>
          </w:p>
        </w:tc>
        <w:tc>
          <w:tcPr>
            <w:tcW w:w="10220" w:type="dxa"/>
            <w:vAlign w:val="bottom"/>
          </w:tcPr>
          <w:p>
            <w:pPr>
              <w:ind w:left="260"/>
              <w:spacing w:after="0"/>
              <w:rPr>
                <w:sz w:val="20"/>
                <w:szCs w:val="20"/>
                <w:color w:val="auto"/>
              </w:rPr>
            </w:pPr>
            <w:r>
              <w:rPr>
                <w:rFonts w:ascii="Arial" w:cs="Arial" w:eastAsia="Arial" w:hAnsi="Arial"/>
                <w:sz w:val="18"/>
                <w:szCs w:val="18"/>
                <w:color w:val="auto"/>
              </w:rPr>
              <w:t>Report of RSM US LLP regarding senior securities table contained herein.</w:t>
            </w:r>
          </w:p>
        </w:tc>
      </w:tr>
      <w:tr>
        <w:trPr>
          <w:trHeight w:val="378"/>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(n)(3)*</w:t>
            </w:r>
          </w:p>
        </w:tc>
        <w:tc>
          <w:tcPr>
            <w:tcW w:w="10220" w:type="dxa"/>
            <w:vAlign w:val="bottom"/>
          </w:tcPr>
          <w:p>
            <w:pPr>
              <w:ind w:left="260"/>
              <w:spacing w:after="0"/>
              <w:rPr>
                <w:sz w:val="20"/>
                <w:szCs w:val="20"/>
                <w:color w:val="auto"/>
              </w:rPr>
            </w:pPr>
            <w:r>
              <w:rPr>
                <w:rFonts w:ascii="Arial" w:cs="Arial" w:eastAsia="Arial" w:hAnsi="Arial"/>
                <w:sz w:val="18"/>
                <w:szCs w:val="18"/>
                <w:color w:val="auto"/>
              </w:rPr>
              <w:t>Consent of BDO USA, LLP.</w:t>
            </w:r>
          </w:p>
        </w:tc>
      </w:tr>
    </w:tbl>
    <w:p>
      <w:pPr>
        <w:spacing w:after="0" w:line="156" w:lineRule="exact"/>
        <w:rPr>
          <w:sz w:val="20"/>
          <w:szCs w:val="20"/>
          <w:color w:val="auto"/>
        </w:rPr>
      </w:pPr>
    </w:p>
    <w:p>
      <w:pPr>
        <w:ind w:left="1220" w:right="100" w:hanging="766"/>
        <w:spacing w:after="0" w:line="332" w:lineRule="auto"/>
        <w:tabs>
          <w:tab w:leader="none" w:pos="1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Joint Code of Ethics of the Registrant, PennantPark Floating Rate Capital Ltd. and PennantPark Investment Advisers, LLC (Incorporated by reference to Exhibit 14.1 to the Registrant’s Report on Form 10-K (File No. 814-00736), filed on November 21, 2019).</w:t>
      </w:r>
    </w:p>
    <w:p>
      <w:pPr>
        <w:spacing w:after="0" w:line="85" w:lineRule="exact"/>
        <w:rPr>
          <w:sz w:val="20"/>
          <w:szCs w:val="20"/>
          <w:color w:val="auto"/>
        </w:rPr>
      </w:pPr>
    </w:p>
    <w:p>
      <w:pPr>
        <w:ind w:left="1220" w:right="180" w:hanging="959"/>
        <w:spacing w:after="0" w:line="332" w:lineRule="auto"/>
        <w:tabs>
          <w:tab w:leader="none" w:pos="120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Form of Prospectus Supplement For Common Stock Offerings (Incorporated by reference to Exhibit (s)(1) to the Registrant’s Pre-Effective Amendment to the Registration Statement on Form N-2/A (File No. 333-172524), filed on August 22, 2011).</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204" w:lineRule="exact"/>
        <w:rPr>
          <w:sz w:val="20"/>
          <w:szCs w:val="20"/>
          <w:color w:val="auto"/>
        </w:rPr>
      </w:pPr>
    </w:p>
    <w:p>
      <w:pPr>
        <w:ind w:left="1220" w:hanging="776"/>
        <w:spacing w:after="0"/>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(s)(2)</w:t>
            </w:r>
          </w:p>
        </w:tc>
        <w:tc>
          <w:tcPr>
            <w:tcW w:w="10280" w:type="dxa"/>
            <w:vAlign w:val="bottom"/>
          </w:tcPr>
          <w:p>
            <w:pPr>
              <w:ind w:left="320"/>
              <w:spacing w:after="0"/>
              <w:rPr>
                <w:sz w:val="20"/>
                <w:szCs w:val="20"/>
                <w:color w:val="auto"/>
              </w:rPr>
            </w:pPr>
            <w:r>
              <w:rPr>
                <w:rFonts w:ascii="Arial" w:cs="Arial" w:eastAsia="Arial" w:hAnsi="Arial"/>
                <w:sz w:val="18"/>
                <w:szCs w:val="18"/>
                <w:color w:val="auto"/>
                <w:w w:val="90"/>
              </w:rPr>
              <w:t>Form of Prospectus Supplement For Preferred Stock Offerings (Incorporated by reference to Exhibit (s)(2) to the Registrant’s Pre-Effective</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Amendment to the Registration Statement on Form N-2/A (File No. 333-172524), filed on August 22, 2011).</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(s)(3)</w:t>
            </w:r>
          </w:p>
        </w:tc>
        <w:tc>
          <w:tcPr>
            <w:tcW w:w="10280" w:type="dxa"/>
            <w:vAlign w:val="bottom"/>
          </w:tcPr>
          <w:p>
            <w:pPr>
              <w:ind w:left="320"/>
              <w:spacing w:after="0"/>
              <w:rPr>
                <w:sz w:val="20"/>
                <w:szCs w:val="20"/>
                <w:color w:val="auto"/>
              </w:rPr>
            </w:pPr>
            <w:r>
              <w:rPr>
                <w:rFonts w:ascii="Arial" w:cs="Arial" w:eastAsia="Arial" w:hAnsi="Arial"/>
                <w:sz w:val="18"/>
                <w:szCs w:val="18"/>
                <w:color w:val="auto"/>
                <w:w w:val="89"/>
              </w:rPr>
              <w:t>Form of Prospectus Supplement For Debt Offerings (Incorporated by reference to Exhibit (s)(3) to the Registrant’s Pre-Effective Amendment</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to the Registration Statement on Form N-2/A (File No. 333-172524), filed on August 22, 2011).</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(s)(4)</w:t>
            </w:r>
          </w:p>
        </w:tc>
        <w:tc>
          <w:tcPr>
            <w:tcW w:w="10280" w:type="dxa"/>
            <w:vAlign w:val="bottom"/>
          </w:tcPr>
          <w:p>
            <w:pPr>
              <w:ind w:left="320"/>
              <w:spacing w:after="0"/>
              <w:rPr>
                <w:sz w:val="20"/>
                <w:szCs w:val="20"/>
                <w:color w:val="auto"/>
              </w:rPr>
            </w:pPr>
            <w:r>
              <w:rPr>
                <w:rFonts w:ascii="Arial" w:cs="Arial" w:eastAsia="Arial" w:hAnsi="Arial"/>
                <w:sz w:val="18"/>
                <w:szCs w:val="18"/>
                <w:color w:val="auto"/>
                <w:w w:val="96"/>
              </w:rPr>
              <w:t>Form of Prospectus Supplement For Rights Offerings (Incorporated by reference to Exhibit (s)(4) to the Registrant’s Pre-Effective</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Amendment to the Registration Statement on Form N-2/A (File No. 333-172524), filed on August 22, 2011).</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(s)(5)</w:t>
            </w:r>
          </w:p>
        </w:tc>
        <w:tc>
          <w:tcPr>
            <w:tcW w:w="10280" w:type="dxa"/>
            <w:vAlign w:val="bottom"/>
          </w:tcPr>
          <w:p>
            <w:pPr>
              <w:ind w:left="320"/>
              <w:spacing w:after="0"/>
              <w:rPr>
                <w:sz w:val="20"/>
                <w:szCs w:val="20"/>
                <w:color w:val="auto"/>
              </w:rPr>
            </w:pPr>
            <w:r>
              <w:rPr>
                <w:rFonts w:ascii="Arial" w:cs="Arial" w:eastAsia="Arial" w:hAnsi="Arial"/>
                <w:sz w:val="18"/>
                <w:szCs w:val="18"/>
                <w:color w:val="auto"/>
                <w:w w:val="95"/>
              </w:rPr>
              <w:t>Form of Prospectus Supplement For Warrant Offerings (Incorporated by reference to Exhibit (s)(5) to the Registrant’s Pre-Effective</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Amendment to the Registration Statement on Form N-2/A (File No. 333-172524), filed on August 22, 2011).</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(s)(6)</w:t>
            </w:r>
          </w:p>
        </w:tc>
        <w:tc>
          <w:tcPr>
            <w:tcW w:w="10280" w:type="dxa"/>
            <w:vAlign w:val="bottom"/>
          </w:tcPr>
          <w:p>
            <w:pPr>
              <w:ind w:left="320"/>
              <w:spacing w:after="0"/>
              <w:rPr>
                <w:sz w:val="20"/>
                <w:szCs w:val="20"/>
                <w:color w:val="auto"/>
              </w:rPr>
            </w:pPr>
            <w:r>
              <w:rPr>
                <w:rFonts w:ascii="Arial" w:cs="Arial" w:eastAsia="Arial" w:hAnsi="Arial"/>
                <w:sz w:val="18"/>
                <w:szCs w:val="18"/>
                <w:color w:val="auto"/>
                <w:w w:val="88"/>
              </w:rPr>
              <w:t>Audited Financial Statements of RAM Energy Holdings LLC and Subsidiaries as of and for the year ended September 30, 2019 (Incorporated</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7"/>
              </w:rPr>
              <w:t>by reference to Exhibit 99.2 to the Registrant’s Annual Report on Form 10-K (File No. 814-00736), filed on November 21, 2019).</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(s)(7)</w:t>
            </w:r>
          </w:p>
        </w:tc>
        <w:tc>
          <w:tcPr>
            <w:tcW w:w="10280" w:type="dxa"/>
            <w:vAlign w:val="bottom"/>
          </w:tcPr>
          <w:p>
            <w:pPr>
              <w:ind w:left="320"/>
              <w:spacing w:after="0"/>
              <w:rPr>
                <w:sz w:val="20"/>
                <w:szCs w:val="20"/>
                <w:color w:val="auto"/>
              </w:rPr>
            </w:pPr>
            <w:r>
              <w:rPr>
                <w:rFonts w:ascii="Arial" w:cs="Arial" w:eastAsia="Arial" w:hAnsi="Arial"/>
                <w:sz w:val="18"/>
                <w:szCs w:val="18"/>
                <w:color w:val="auto"/>
                <w:w w:val="89"/>
              </w:rPr>
              <w:t>Unaudited Consolidated Financial Statements of RAM Energy Holdings LLC and Subsidiaries for the Years Ended September 30, 2018 and</w:t>
            </w:r>
          </w:p>
        </w:tc>
      </w:tr>
      <w:tr>
        <w:trPr>
          <w:trHeight w:val="216"/>
        </w:trPr>
        <w:tc>
          <w:tcPr>
            <w:tcW w:w="700" w:type="dxa"/>
            <w:vAlign w:val="bottom"/>
          </w:tcPr>
          <w:p>
            <w:pPr>
              <w:spacing w:after="0"/>
              <w:rPr>
                <w:sz w:val="18"/>
                <w:szCs w:val="18"/>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1"/>
              </w:rPr>
              <w:t>2017 (Incorporated by reference to Exhibit 99.3 to the Registrant’s Annual Report on Form 10-K (File No. 814-00736), filed on November</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21, 2019).</w:t>
            </w:r>
          </w:p>
        </w:tc>
      </w:tr>
    </w:tbl>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herewith.</w:t>
      </w:r>
    </w:p>
    <w:p>
      <w:pPr>
        <w:spacing w:after="0" w:line="20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information contained under the heading “Plan of Distribution” in this Registration Statement is hereby incorporated by reference.</w:t>
      </w:r>
    </w:p>
    <w:p>
      <w:pPr>
        <w:spacing w:after="0" w:line="229"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180"/>
          </w:cols>
          <w:pgMar w:left="240" w:top="459" w:right="479" w:bottom="1440" w:gutter="0" w:footer="0" w:header="0"/>
        </w:sectPr>
      </w:pPr>
    </w:p>
    <w:p>
      <w:pPr>
        <w:spacing w:after="0" w:line="17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-125730</wp:posOffset>
            </wp:positionV>
            <wp:extent cx="349885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-129540</wp:posOffset>
            </wp:positionV>
            <wp:extent cx="349885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Printing (other than certificates)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-129540</wp:posOffset>
            </wp:positionV>
            <wp:extent cx="349885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-114935</wp:posOffset>
            </wp:positionV>
            <wp:extent cx="349885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spacing w:after="0" w:line="14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All of the expenses set forth above shall be borne by the Registrant.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13" w:hanging="313"/>
        <w:spacing w:after="0"/>
        <w:tabs>
          <w:tab w:leader="none" w:pos="3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86,925*</w:t>
      </w:r>
    </w:p>
    <w:p>
      <w:pPr>
        <w:spacing w:after="0" w:line="38" w:lineRule="exact"/>
        <w:rPr>
          <w:rFonts w:ascii="Arial" w:cs="Arial" w:eastAsia="Arial" w:hAnsi="Arial"/>
          <w:sz w:val="16"/>
          <w:szCs w:val="16"/>
          <w:color w:val="auto"/>
        </w:rPr>
      </w:pPr>
    </w:p>
    <w:p>
      <w:pPr>
        <w:ind w:left="233"/>
        <w:spacing w:after="0"/>
        <w:rPr>
          <w:rFonts w:ascii="Arial" w:cs="Arial" w:eastAsia="Arial" w:hAnsi="Arial"/>
          <w:sz w:val="16"/>
          <w:szCs w:val="16"/>
          <w:color w:val="auto"/>
        </w:rPr>
      </w:pPr>
      <w:r>
        <w:rPr>
          <w:rFonts w:ascii="Arial" w:cs="Arial" w:eastAsia="Arial" w:hAnsi="Arial"/>
          <w:sz w:val="16"/>
          <w:szCs w:val="16"/>
          <w:color w:val="auto"/>
        </w:rPr>
        <w:t>65,000**</w:t>
      </w:r>
    </w:p>
    <w:p>
      <w:pPr>
        <w:spacing w:after="0" w:line="32" w:lineRule="exact"/>
        <w:rPr>
          <w:rFonts w:ascii="Arial" w:cs="Arial" w:eastAsia="Arial" w:hAnsi="Arial"/>
          <w:sz w:val="16"/>
          <w:szCs w:val="16"/>
          <w:color w:val="auto"/>
        </w:rPr>
      </w:pPr>
    </w:p>
    <w:p>
      <w:pPr>
        <w:ind w:left="233"/>
        <w:spacing w:after="0"/>
        <w:rPr>
          <w:rFonts w:ascii="Arial" w:cs="Arial" w:eastAsia="Arial" w:hAnsi="Arial"/>
          <w:sz w:val="16"/>
          <w:szCs w:val="16"/>
          <w:color w:val="auto"/>
        </w:rPr>
      </w:pPr>
      <w:r>
        <w:rPr>
          <w:rFonts w:ascii="Arial" w:cs="Arial" w:eastAsia="Arial" w:hAnsi="Arial"/>
          <w:sz w:val="16"/>
          <w:szCs w:val="16"/>
          <w:color w:val="auto"/>
        </w:rPr>
        <w:t>113,000*</w:t>
      </w:r>
    </w:p>
    <w:p>
      <w:pPr>
        <w:spacing w:after="0" w:line="32"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wp:posOffset>
            </wp:positionV>
            <wp:extent cx="6172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18" w:lineRule="exact"/>
        <w:rPr>
          <w:sz w:val="20"/>
          <w:szCs w:val="20"/>
          <w:color w:val="auto"/>
        </w:rPr>
      </w:pPr>
    </w:p>
    <w:p>
      <w:pPr>
        <w:ind w:left="613" w:hanging="613"/>
        <w:spacing w:after="0"/>
        <w:tabs>
          <w:tab w:leader="none" w:pos="6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6172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27940</wp:posOffset>
            </wp:positionV>
            <wp:extent cx="6172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678" w:lineRule="exact"/>
        <w:rPr>
          <w:sz w:val="20"/>
          <w:szCs w:val="20"/>
          <w:color w:val="auto"/>
        </w:rPr>
      </w:pPr>
    </w:p>
    <w:p>
      <w:pPr>
        <w:sectPr>
          <w:pgSz w:w="11900" w:h="16838" w:orient="portrait"/>
          <w:cols w:equalWidth="0" w:num="2">
            <w:col w:w="6767" w:space="720"/>
            <w:col w:w="3693"/>
          </w:cols>
          <w:pgMar w:left="240" w:top="459" w:right="479" w:bottom="1440" w:gutter="0" w:footer="0" w:header="0"/>
          <w:type w:val="continuous"/>
        </w:sectPr>
      </w:pPr>
    </w:p>
    <w:p>
      <w:pPr>
        <w:spacing w:after="0" w:line="46" w:lineRule="exact"/>
        <w:rPr>
          <w:sz w:val="20"/>
          <w:szCs w:val="20"/>
          <w:color w:val="auto"/>
        </w:rPr>
      </w:pPr>
    </w:p>
    <w:p>
      <w:pPr>
        <w:ind w:left="740" w:hanging="536"/>
        <w:spacing w:after="0"/>
        <w:tabs>
          <w:tab w:leader="none" w:pos="7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This amount has been offset against a filing fee associated with unsold securities registered under a previous registration statement.</w:t>
      </w:r>
    </w:p>
    <w:p>
      <w:pPr>
        <w:spacing w:after="0" w:line="49"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This amount is estimated.</w:t>
      </w:r>
    </w:p>
    <w:p>
      <w:pPr>
        <w:spacing w:after="0" w:line="9"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8"/>
          <w:szCs w:val="18"/>
          <w:color w:val="auto"/>
        </w:rPr>
        <w:t>***   To be provided by amendment.</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80"/>
          </w:cols>
          <w:pgMar w:left="240" w:top="459" w:right="47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28.</w:t>
            </w:r>
          </w:p>
        </w:tc>
        <w:tc>
          <w:tcPr>
            <w:tcW w:w="8040" w:type="dxa"/>
            <w:vAlign w:val="bottom"/>
            <w:gridSpan w:val="2"/>
          </w:tcPr>
          <w:p>
            <w:pPr>
              <w:ind w:left="42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Voting Securities</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9060" w:type="dxa"/>
            <w:vAlign w:val="bottom"/>
            <w:gridSpan w:val="4"/>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Owned Percentage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shd w:val="clear" w:color="auto" w:fill="000000"/>
          </w:tcPr>
          <w:p>
            <w:pPr>
              <w:spacing w:after="0" w:line="20" w:lineRule="exact"/>
              <w:rPr>
                <w:sz w:val="1"/>
                <w:szCs w:val="1"/>
                <w:color w:val="auto"/>
              </w:rPr>
            </w:pPr>
          </w:p>
        </w:tc>
        <w:tc>
          <w:tcPr>
            <w:tcW w:w="3120" w:type="dxa"/>
            <w:vAlign w:val="bottom"/>
            <w:vMerge w:val="restart"/>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Investment Funding I, LLC (Delaware)</w:t>
            </w:r>
          </w:p>
        </w:tc>
        <w:tc>
          <w:tcPr>
            <w:tcW w:w="312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PennantPark SBIC GP II, LLC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PennantPark SBIC II LP (Delaware)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PNNT Alabama Holdings Inc.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Cascade Environmental Holdings, LLC (Delaware)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ecoserve, LLC (Delaware)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PNNT Investment Holdings, LLC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New Gulf Resources, LLC (Delaware)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RAM Energy Holdings LLC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AKW Holdings Limited (Isle of Man)</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PT Network Intermediate Holdings, LLC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wp:posOffset>
            </wp:positionV>
            <wp:extent cx="14662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4" w:lineRule="exact"/>
        <w:rPr>
          <w:sz w:val="20"/>
          <w:szCs w:val="20"/>
          <w:color w:val="auto"/>
        </w:rPr>
      </w:pPr>
    </w:p>
    <w:p>
      <w:pPr>
        <w:ind w:left="520" w:hanging="316"/>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SBIC GP II, LLC, which is effectively wholly-owned by us.</w:t>
      </w:r>
    </w:p>
    <w:p>
      <w:pPr>
        <w:spacing w:after="0" w:line="15" w:lineRule="exact"/>
        <w:rPr>
          <w:rFonts w:ascii="Arial" w:cs="Arial" w:eastAsia="Arial" w:hAnsi="Arial"/>
          <w:sz w:val="18"/>
          <w:szCs w:val="18"/>
          <w:color w:val="auto"/>
        </w:rPr>
      </w:pPr>
    </w:p>
    <w:p>
      <w:pPr>
        <w:ind w:left="520" w:hanging="316"/>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entity is not operational.</w:t>
      </w:r>
    </w:p>
    <w:p>
      <w:pPr>
        <w:spacing w:after="0" w:line="9" w:lineRule="exact"/>
        <w:rPr>
          <w:rFonts w:ascii="Arial" w:cs="Arial" w:eastAsia="Arial" w:hAnsi="Arial"/>
          <w:sz w:val="18"/>
          <w:szCs w:val="18"/>
          <w:color w:val="auto"/>
        </w:rPr>
      </w:pPr>
    </w:p>
    <w:p>
      <w:pPr>
        <w:ind w:left="520" w:hanging="316"/>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is a controlled affiliated investment.</w:t>
      </w: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89"/>
              </w:rPr>
              <w:t>Item 29.</w:t>
            </w:r>
          </w:p>
        </w:tc>
        <w:tc>
          <w:tcPr>
            <w:tcW w:w="7040" w:type="dxa"/>
            <w:vAlign w:val="bottom"/>
            <w:gridSpan w:val="2"/>
          </w:tcPr>
          <w:p>
            <w:pPr>
              <w:ind w:left="820"/>
              <w:spacing w:after="0"/>
              <w:rPr>
                <w:sz w:val="20"/>
                <w:szCs w:val="20"/>
                <w:color w:val="auto"/>
              </w:rPr>
            </w:pPr>
            <w:r>
              <w:rPr>
                <w:rFonts w:ascii="Arial" w:cs="Arial" w:eastAsia="Arial" w:hAnsi="Arial"/>
                <w:sz w:val="18"/>
                <w:szCs w:val="18"/>
                <w:b w:val="1"/>
                <w:bCs w:val="1"/>
                <w:color w:val="auto"/>
              </w:rPr>
              <w:t>Number of holders of securities</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40" w:type="dxa"/>
            <w:vAlign w:val="bottom"/>
            <w:gridSpan w:val="3"/>
          </w:tcPr>
          <w:p>
            <w:pPr>
              <w:ind w:left="420"/>
              <w:spacing w:after="0"/>
              <w:rPr>
                <w:sz w:val="20"/>
                <w:szCs w:val="20"/>
                <w:color w:val="auto"/>
              </w:rPr>
            </w:pPr>
            <w:r>
              <w:rPr>
                <w:rFonts w:ascii="Arial" w:cs="Arial" w:eastAsia="Arial" w:hAnsi="Arial"/>
                <w:sz w:val="18"/>
                <w:szCs w:val="18"/>
                <w:color w:val="auto"/>
              </w:rPr>
              <w:t>As of November 30, 2019</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4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Title of Class</w:t>
            </w:r>
          </w:p>
        </w:tc>
        <w:tc>
          <w:tcPr>
            <w:tcW w:w="1980" w:type="dxa"/>
            <w:vAlign w:val="bottom"/>
          </w:tcPr>
          <w:p>
            <w:pPr>
              <w:jc w:val="right"/>
              <w:ind w:right="59"/>
              <w:spacing w:after="0"/>
              <w:rPr>
                <w:sz w:val="20"/>
                <w:szCs w:val="20"/>
                <w:color w:val="auto"/>
              </w:rPr>
            </w:pPr>
            <w:r>
              <w:rPr>
                <w:rFonts w:ascii="Arial" w:cs="Arial" w:eastAsia="Arial" w:hAnsi="Arial"/>
                <w:sz w:val="14"/>
                <w:szCs w:val="14"/>
                <w:b w:val="1"/>
                <w:bCs w:val="1"/>
                <w:color w:val="auto"/>
              </w:rPr>
              <w:t>Number of Record 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40" w:type="dxa"/>
            <w:vAlign w:val="bottom"/>
            <w:gridSpan w:val="2"/>
            <w:vMerge w:val="continue"/>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536"/>
              <w:spacing w:after="0" w:line="195" w:lineRule="exact"/>
              <w:rPr>
                <w:sz w:val="20"/>
                <w:szCs w:val="20"/>
                <w:color w:val="auto"/>
              </w:rPr>
            </w:pPr>
            <w:r>
              <w:rPr>
                <w:rFonts w:ascii="Arial" w:cs="Arial" w:eastAsia="Arial" w:hAnsi="Arial"/>
                <w:sz w:val="18"/>
                <w:szCs w:val="18"/>
                <w:color w:val="auto"/>
                <w:w w:val="88"/>
              </w:rPr>
              <w:t>Common Stock, $0.001 par value</w:t>
            </w:r>
          </w:p>
        </w:tc>
        <w:tc>
          <w:tcPr>
            <w:tcW w:w="4020" w:type="dxa"/>
            <w:vAlign w:val="bottom"/>
          </w:tcPr>
          <w:p>
            <w:pPr>
              <w:spacing w:after="0"/>
              <w:rPr>
                <w:sz w:val="16"/>
                <w:szCs w:val="16"/>
                <w:color w:val="auto"/>
              </w:rPr>
            </w:pPr>
          </w:p>
        </w:tc>
        <w:tc>
          <w:tcPr>
            <w:tcW w:w="1980" w:type="dxa"/>
            <w:vAlign w:val="bottom"/>
          </w:tcPr>
          <w:p>
            <w:pPr>
              <w:jc w:val="right"/>
              <w:ind w:right="879"/>
              <w:spacing w:after="0" w:line="195"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40" w:type="dxa"/>
            <w:vAlign w:val="bottom"/>
            <w:gridSpan w:val="2"/>
          </w:tcPr>
          <w:p>
            <w:pPr>
              <w:jc w:val="center"/>
              <w:ind w:right="4640"/>
              <w:spacing w:after="0"/>
              <w:rPr>
                <w:sz w:val="20"/>
                <w:szCs w:val="20"/>
                <w:color w:val="auto"/>
              </w:rPr>
            </w:pPr>
            <w:r>
              <w:rPr>
                <w:rFonts w:ascii="Arial" w:cs="Arial" w:eastAsia="Arial" w:hAnsi="Arial"/>
                <w:sz w:val="18"/>
                <w:szCs w:val="18"/>
                <w:color w:val="auto"/>
                <w:w w:val="87"/>
              </w:rPr>
              <w:t>5.50% Notes due 2024</w:t>
            </w:r>
          </w:p>
        </w:tc>
        <w:tc>
          <w:tcPr>
            <w:tcW w:w="1980" w:type="dxa"/>
            <w:vAlign w:val="bottom"/>
          </w:tcPr>
          <w:p>
            <w:pPr>
              <w:jc w:val="right"/>
              <w:ind w:right="87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9"/>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89"/>
              </w:rPr>
              <w:t>Item 30.</w:t>
            </w:r>
          </w:p>
        </w:tc>
        <w:tc>
          <w:tcPr>
            <w:tcW w:w="7040" w:type="dxa"/>
            <w:vAlign w:val="bottom"/>
            <w:gridSpan w:val="2"/>
          </w:tcPr>
          <w:p>
            <w:pPr>
              <w:ind w:left="820"/>
              <w:spacing w:after="0"/>
              <w:rPr>
                <w:sz w:val="20"/>
                <w:szCs w:val="20"/>
                <w:color w:val="auto"/>
              </w:rPr>
            </w:pPr>
            <w:r>
              <w:rPr>
                <w:rFonts w:ascii="Arial" w:cs="Arial" w:eastAsia="Arial" w:hAnsi="Arial"/>
                <w:sz w:val="18"/>
                <w:szCs w:val="18"/>
                <w:b w:val="1"/>
                <w:bCs w:val="1"/>
                <w:color w:val="auto"/>
              </w:rPr>
              <w:t>Indemnification</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right="60" w:firstLine="55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6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ind w:left="200" w:right="200" w:firstLine="551"/>
        <w:spacing w:after="0" w:line="256" w:lineRule="auto"/>
        <w:rPr>
          <w:sz w:val="20"/>
          <w:szCs w:val="20"/>
          <w:color w:val="auto"/>
        </w:rPr>
      </w:pPr>
      <w:r>
        <w:rPr>
          <w:rFonts w:ascii="Arial" w:cs="Arial" w:eastAsia="Arial" w:hAnsi="Arial"/>
          <w:sz w:val="18"/>
          <w:szCs w:val="18"/>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“Portfolio Management” or is otherwise incorporated by reference. Additional information regarding the Adviser and its officers and directors is set forth in its Form ADV, as filed with the SEC (SEC File No. 801-67622), and is incorporated herein by reference.</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left="200" w:right="40" w:firstLine="55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171"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Custodian, The Bank of New York Mellon, 240 Greenwich Street, New York, NY 10286; and</w:t>
      </w:r>
    </w:p>
    <w:p>
      <w:pPr>
        <w:spacing w:after="0" w:line="171"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15th Floor, New York, NY 10022.</w:t>
      </w:r>
    </w:p>
    <w:p>
      <w:pPr>
        <w:spacing w:after="0" w:line="20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left="200" w:right="60" w:firstLine="555"/>
        <w:spacing w:after="0" w:line="259"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suspend the offering of its shares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40" w:lineRule="exact"/>
        <w:rPr>
          <w:rFonts w:ascii="Arial" w:cs="Arial" w:eastAsia="Arial" w:hAnsi="Arial"/>
          <w:sz w:val="18"/>
          <w:szCs w:val="18"/>
          <w:color w:val="auto"/>
        </w:rPr>
      </w:pPr>
    </w:p>
    <w:p>
      <w:pPr>
        <w:ind w:left="1000" w:hanging="245"/>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200" w:firstLine="555"/>
        <w:spacing w:after="0" w:line="254"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280" w:hanging="211"/>
        <w:spacing w:after="0"/>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540" w:right="60" w:firstLine="529"/>
        <w:spacing w:after="0" w:line="290" w:lineRule="auto"/>
        <w:tabs>
          <w:tab w:leader="none" w:pos="133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or other applicable SEC rule under the Securities Act, if, in the aggregate, the changes in volume and price represent no more than 20% change in the maximum aggregate offering price set forth in the “Calculation of Registration Fee” table in the effective registration statement; and</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right="240" w:firstLine="956"/>
        <w:spacing w:after="0" w:line="268" w:lineRule="auto"/>
        <w:tabs>
          <w:tab w:leader="none" w:pos="18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540" w:firstLine="534"/>
        <w:spacing w:after="0" w:line="29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4(a)(i), (ii), and (iii) of this section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 by the Registrant pursuant to section 13, section 14 or section 15(d) of the Exchange Act that are incorporated by reference into the registration statement, or is contained in a form of prospectus filed pursuant to Rule 424(b), or other applicable SEC rule under the Securities Act, that is part of the registration statement.</w:t>
      </w:r>
    </w:p>
    <w:p>
      <w:pPr>
        <w:spacing w:after="0" w:line="32" w:lineRule="exact"/>
        <w:rPr>
          <w:sz w:val="20"/>
          <w:szCs w:val="20"/>
          <w:color w:val="auto"/>
        </w:rPr>
      </w:pPr>
    </w:p>
    <w:p>
      <w:pPr>
        <w:jc w:val="both"/>
        <w:ind w:left="540" w:right="60" w:firstLine="529"/>
        <w:spacing w:after="0" w:line="259" w:lineRule="auto"/>
        <w:tabs>
          <w:tab w:leader="none" w:pos="1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540" w:right="500" w:firstLine="529"/>
        <w:spacing w:after="0" w:line="268" w:lineRule="auto"/>
        <w:tabs>
          <w:tab w:leader="none" w:pos="13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320" w:hanging="25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90" w:lineRule="exact"/>
        <w:rPr>
          <w:rFonts w:ascii="Arial" w:cs="Arial" w:eastAsia="Arial" w:hAnsi="Arial"/>
          <w:sz w:val="18"/>
          <w:szCs w:val="18"/>
          <w:color w:val="auto"/>
        </w:rPr>
      </w:pPr>
    </w:p>
    <w:p>
      <w:pPr>
        <w:ind w:left="1700" w:hanging="204"/>
        <w:spacing w:after="0"/>
        <w:tabs>
          <w:tab w:leader="none" w:pos="17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90" w:lineRule="exact"/>
        <w:rPr>
          <w:rFonts w:ascii="Arial" w:cs="Arial" w:eastAsia="Arial" w:hAnsi="Arial"/>
          <w:sz w:val="18"/>
          <w:szCs w:val="18"/>
          <w:color w:val="auto"/>
        </w:rPr>
      </w:pPr>
    </w:p>
    <w:p>
      <w:pPr>
        <w:ind w:left="1200" w:right="140" w:firstLine="397"/>
        <w:spacing w:after="0" w:line="268" w:lineRule="auto"/>
        <w:tabs>
          <w:tab w:leader="none" w:pos="1889" w:val="left"/>
        </w:tabs>
        <w:numPr>
          <w:ilvl w:val="2"/>
          <w:numId w:val="6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200" w:right="80" w:firstLine="397"/>
        <w:spacing w:after="0" w:line="307" w:lineRule="auto"/>
        <w:tabs>
          <w:tab w:leader="none" w:pos="1879" w:val="left"/>
        </w:tabs>
        <w:numPr>
          <w:ilvl w:val="2"/>
          <w:numId w:val="63"/>
        </w:numPr>
        <w:rPr>
          <w:rFonts w:ascii="Arial" w:cs="Arial" w:eastAsia="Arial" w:hAnsi="Arial"/>
          <w:sz w:val="15"/>
          <w:szCs w:val="15"/>
          <w:color w:val="auto"/>
        </w:rPr>
      </w:pPr>
      <w:r>
        <w:rPr>
          <w:rFonts w:ascii="Arial" w:cs="Arial" w:eastAsia="Arial" w:hAnsi="Arial"/>
          <w:sz w:val="15"/>
          <w:szCs w:val="15"/>
          <w:color w:val="auto"/>
        </w:rPr>
        <w:t xml:space="preserve">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30" w:lineRule="exact"/>
        <w:rPr>
          <w:rFonts w:ascii="Arial" w:cs="Arial" w:eastAsia="Arial" w:hAnsi="Arial"/>
          <w:sz w:val="15"/>
          <w:szCs w:val="15"/>
          <w:color w:val="auto"/>
        </w:rPr>
      </w:pPr>
    </w:p>
    <w:p>
      <w:pPr>
        <w:ind w:left="540" w:right="20" w:firstLine="956"/>
        <w:spacing w:after="0" w:line="312" w:lineRule="auto"/>
        <w:tabs>
          <w:tab w:leader="none" w:pos="1760" w:val="left"/>
        </w:tabs>
        <w:numPr>
          <w:ilvl w:val="1"/>
          <w:numId w:val="63"/>
        </w:numPr>
        <w:rPr>
          <w:rFonts w:ascii="Arial" w:cs="Arial" w:eastAsia="Arial" w:hAnsi="Arial"/>
          <w:sz w:val="15"/>
          <w:szCs w:val="15"/>
          <w:color w:val="auto"/>
        </w:rPr>
      </w:pPr>
      <w:r>
        <w:rPr>
          <w:rFonts w:ascii="Arial" w:cs="Arial" w:eastAsia="Arial" w:hAnsi="Arial"/>
          <w:sz w:val="15"/>
          <w:szCs w:val="15"/>
          <w:color w:val="auto"/>
        </w:rPr>
        <w:t xml:space="preserve">if the Registrant is subject to Rule 430C, each prospectus filed pursuant to Rule 424(b) or Rule 497(b), (c), (d), or (e) under the Securities Act, as applicable,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4" w:lineRule="exact"/>
        <w:rPr>
          <w:rFonts w:ascii="Arial" w:cs="Arial" w:eastAsia="Arial" w:hAnsi="Arial"/>
          <w:sz w:val="15"/>
          <w:szCs w:val="15"/>
          <w:color w:val="auto"/>
        </w:rPr>
      </w:pPr>
    </w:p>
    <w:p>
      <w:pPr>
        <w:ind w:left="540" w:right="420" w:firstLine="529"/>
        <w:spacing w:after="0" w:line="259" w:lineRule="auto"/>
        <w:tabs>
          <w:tab w:leader="none" w:pos="13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spacing w:after="0" w:line="357" w:lineRule="auto"/>
        <w:rPr>
          <w:sz w:val="20"/>
          <w:szCs w:val="20"/>
          <w:color w:val="auto"/>
        </w:rPr>
      </w:pPr>
      <w:r>
        <w:rPr>
          <w:rFonts w:ascii="Arial" w:cs="Arial" w:eastAsia="Arial" w:hAnsi="Arial"/>
          <w:sz w:val="15"/>
          <w:szCs w:val="15"/>
          <w:color w:val="auto"/>
        </w:rPr>
        <w:t>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ind w:left="540" w:right="100" w:firstLine="529"/>
        <w:spacing w:after="0" w:line="268" w:lineRule="auto"/>
        <w:tabs>
          <w:tab w:leader="none" w:pos="128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or Rule 497 under the Securities Act, as applicable;</w:t>
      </w:r>
    </w:p>
    <w:p>
      <w:pPr>
        <w:spacing w:after="0" w:line="50" w:lineRule="exact"/>
        <w:rPr>
          <w:rFonts w:ascii="Arial" w:cs="Arial" w:eastAsia="Arial" w:hAnsi="Arial"/>
          <w:sz w:val="18"/>
          <w:szCs w:val="18"/>
          <w:color w:val="auto"/>
        </w:rPr>
      </w:pPr>
    </w:p>
    <w:p>
      <w:pPr>
        <w:ind w:left="540" w:right="340" w:firstLine="529"/>
        <w:spacing w:after="0" w:line="268" w:lineRule="auto"/>
        <w:tabs>
          <w:tab w:leader="none" w:pos="133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540" w:right="320" w:firstLine="529"/>
        <w:spacing w:after="0" w:line="357" w:lineRule="auto"/>
        <w:tabs>
          <w:tab w:leader="none" w:pos="1381"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ind w:left="1360" w:hanging="291"/>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1000" w:hanging="245"/>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200" w:right="20" w:firstLine="555"/>
        <w:spacing w:after="0" w:line="306"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6" w:lineRule="exact"/>
        <w:rPr>
          <w:rFonts w:ascii="Arial" w:cs="Arial" w:eastAsia="Arial" w:hAnsi="Arial"/>
          <w:sz w:val="16"/>
          <w:szCs w:val="16"/>
          <w:color w:val="auto"/>
        </w:rPr>
      </w:pPr>
    </w:p>
    <w:p>
      <w:pPr>
        <w:ind w:left="200" w:right="60" w:firstLine="555"/>
        <w:spacing w:after="0" w:line="290"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rFonts w:ascii="Arial" w:cs="Arial" w:eastAsia="Arial" w:hAnsi="Arial"/>
          <w:sz w:val="16"/>
          <w:szCs w:val="16"/>
          <w:color w:val="auto"/>
        </w:rPr>
      </w:pPr>
    </w:p>
    <w:p>
      <w:pPr>
        <w:ind w:left="1000" w:hanging="245"/>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100"/>
          </w:cols>
          <w:pgMar w:left="240" w:top="459" w:right="5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left="200" w:right="160" w:firstLine="5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2 to the Registration Statement on Form N-2 to be signed on its behalf by the undersigned, thereunto duly authorized, in the City of New York, and State of New York, on the 13th day of December 2019.</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By:</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24"/>
        </w:trPr>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7"/>
              </w:rPr>
              <w:t>Name:</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351"/>
        </w:trPr>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Title:</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 and Chairman of the</w:t>
            </w:r>
          </w:p>
        </w:tc>
      </w:tr>
      <w:tr>
        <w:trPr>
          <w:trHeight w:val="228"/>
        </w:trPr>
        <w:tc>
          <w:tcPr>
            <w:tcW w:w="56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169" w:lineRule="exact"/>
        <w:rPr>
          <w:sz w:val="20"/>
          <w:szCs w:val="20"/>
          <w:color w:val="auto"/>
        </w:rPr>
      </w:pPr>
    </w:p>
    <w:p>
      <w:pPr>
        <w:ind w:left="200" w:right="340" w:firstLine="55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on Form N-2 has been signed by the following persons in the capacities set forth below on the 13th day of December 2019.</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680" w:type="dxa"/>
            <w:vAlign w:val="bottom"/>
          </w:tcPr>
          <w:p>
            <w:pPr>
              <w:spacing w:after="0"/>
              <w:rPr>
                <w:sz w:val="20"/>
                <w:szCs w:val="20"/>
                <w:color w:val="auto"/>
              </w:rPr>
            </w:pP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56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ARTHUR H. PENN</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17"/>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c>
          <w:tcPr>
            <w:tcW w:w="680" w:type="dxa"/>
            <w:vAlign w:val="bottom"/>
          </w:tcPr>
          <w:p>
            <w:pPr>
              <w:spacing w:after="0"/>
              <w:rPr>
                <w:sz w:val="18"/>
                <w:szCs w:val="18"/>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w:t>
            </w:r>
          </w:p>
        </w:tc>
      </w:tr>
      <w:tr>
        <w:trPr>
          <w:trHeight w:val="222"/>
        </w:trPr>
        <w:tc>
          <w:tcPr>
            <w:tcW w:w="4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32"/>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AVIV EFRAT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6540" w:type="dxa"/>
            <w:vAlign w:val="bottom"/>
            <w:gridSpan w:val="2"/>
          </w:tcPr>
          <w:p>
            <w:pPr>
              <w:jc w:val="center"/>
              <w:ind w:left="572"/>
              <w:spacing w:after="0"/>
              <w:rPr>
                <w:sz w:val="20"/>
                <w:szCs w:val="20"/>
                <w:color w:val="auto"/>
              </w:rPr>
            </w:pPr>
            <w:r>
              <w:rPr>
                <w:rFonts w:ascii="Arial" w:cs="Arial" w:eastAsia="Arial" w:hAnsi="Arial"/>
                <w:sz w:val="18"/>
                <w:szCs w:val="18"/>
                <w:color w:val="auto"/>
                <w:w w:val="90"/>
              </w:rPr>
              <w:t>Chief Financial Officer and Treasurer (Principal Financial and Accounting Officer)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Adam K. Bernstein</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8"/>
              </w:rPr>
              <w:t>Jeffrey Flug</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276" w:lineRule="exact"/>
        <w:rPr>
          <w:sz w:val="20"/>
          <w:szCs w:val="20"/>
          <w:color w:val="auto"/>
        </w:rPr>
      </w:pPr>
    </w:p>
    <w:p>
      <w:pPr>
        <w:ind w:left="5580" w:right="1900" w:hanging="5376"/>
        <w:spacing w:after="0" w:line="440" w:lineRule="auto"/>
        <w:tabs>
          <w:tab w:leader="none" w:pos="7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attorney-in-fact signed on March 1, 2019. C-9</w:t>
      </w:r>
    </w:p>
    <w:p>
      <w:pPr>
        <w:sectPr>
          <w:pgSz w:w="11900" w:h="16838" w:orient="portrait"/>
          <w:cols w:equalWidth="0" w:num="1">
            <w:col w:w="11240"/>
          </w:cols>
          <w:pgMar w:left="240" w:top="459" w:right="4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(n)(1)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spacing w:after="0" w:line="297" w:lineRule="auto"/>
        <w:rPr>
          <w:sz w:val="20"/>
          <w:szCs w:val="20"/>
          <w:color w:val="auto"/>
        </w:rPr>
      </w:pPr>
      <w:r>
        <w:rPr>
          <w:rFonts w:ascii="Arial" w:cs="Arial" w:eastAsia="Arial" w:hAnsi="Arial"/>
          <w:sz w:val="16"/>
          <w:szCs w:val="16"/>
          <w:color w:val="auto"/>
        </w:rPr>
        <w:t>We consent to the incorporation by reference in this Post-Effective Amendment No. 2 to the Registration Statement (No. 333-230014) on Form N-2 of PennantPark Investment Corporation of our reports dated November 21, 2019 relating to our audit of the consolidated financial statements and internal control over financial reporting of PennantPark Investment Corporation and its Subsidiaries, which appear in the September 30, 2019 Annual Report to Stockholders, which is also incorporated by reference into the Prospectus, which is part of this Registration Statement. We also consent to use in this Registration Statement of our report dated November 21, 2019 relating to the senior securities table appearing elsewhere in this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our firm under the caption “Independent Registered Public Accounting Firm” in such Registration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audit of the consolidated financial statements and internal control over financial reporting referred to in our reports dated November 21, 2019, (incorporated by reference in the accompanying registration statement on Form N-2) also included an audit of the senior securities table of PennantPark Investment Corporation and its Subsidiaries appearing in this Registration Statement on Form N-2. This table is the responsibility of PennantPark Investment Corporation and its Subsidiaries’ management. Our responsibility is to express an opinion based on our audit of the consolidated financial statements.</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our opinion, the senior securities table,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2019</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(n)(3)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 dated November 15, 2019, relating to the consolidated financial statements of RAM Energy Holdings LLC and its subsidiaries appearing in PennantPark Investment Corporation’s Annual Report on Form 10-K for the year ended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“Independent Auditor”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7"/>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upperLetter"/>
      <w:start w:val="2"/>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decimal"/>
      <w:start w:val="3"/>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lvl w:ilvl="1">
      <w:lvlJc w:val="left"/>
      <w:lvlText w:val="%2)"/>
      <w:numFmt w:val="decimal"/>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bullet"/>
      <w:start w:val="1"/>
    </w:lvl>
  </w:abstractNum>
  <w:abstractNum w:abstractNumId="46">
    <w:nsid w:val="39386575"/>
    <w:multiLevelType w:val="hybridMultilevel"/>
    <w:lvl w:ilvl="0">
      <w:lvlJc w:val="left"/>
      <w:lvlText w:val="2"/>
      <w:numFmt w:val="bullet"/>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2"/>
      <w:numFmt w:val="bullet"/>
      <w:start w:val="1"/>
    </w:lvl>
  </w:abstractNum>
  <w:abstractNum w:abstractNumId="49">
    <w:nsid w:val="235BA861"/>
    <w:multiLevelType w:val="hybridMultilevel"/>
    <w:lvl w:ilvl="0">
      <w:lvlJc w:val="left"/>
      <w:lvlText w:val="(%1)"/>
      <w:numFmt w:val="lowerLetter"/>
      <w:start w:val="5"/>
    </w:lvl>
  </w:abstractNum>
  <w:abstractNum w:abstractNumId="50">
    <w:nsid w:val="47398C89"/>
    <w:multiLevelType w:val="hybridMultilevel"/>
    <w:lvl w:ilvl="0">
      <w:lvlJc w:val="left"/>
      <w:lvlText w:val="(%1)"/>
      <w:numFmt w:val="lowerLetter"/>
      <w:start w:val="10"/>
    </w:lvl>
  </w:abstractNum>
  <w:abstractNum w:abstractNumId="51">
    <w:nsid w:val="354FE9F9"/>
    <w:multiLevelType w:val="hybridMultilevel"/>
    <w:lvl w:ilvl="0">
      <w:lvlJc w:val="left"/>
      <w:lvlText w:val="2"/>
      <w:numFmt w:val="bullet"/>
      <w:start w:val="1"/>
    </w:lvl>
  </w:abstractNum>
  <w:abstractNum w:abstractNumId="52">
    <w:nsid w:val="15B5AF5C"/>
    <w:multiLevelType w:val="hybridMultilevel"/>
    <w:lvl w:ilvl="0">
      <w:lvlJc w:val="left"/>
      <w:lvlText w:val="(%1)"/>
      <w:numFmt w:val="lowerLetter"/>
      <w:start w:val="18"/>
    </w:lvl>
  </w:abstractNum>
  <w:abstractNum w:abstractNumId="53">
    <w:nsid w:val="741226BB"/>
    <w:multiLevelType w:val="hybridMultilevel"/>
    <w:lvl w:ilvl="0">
      <w:lvlJc w:val="left"/>
      <w:lvlText w:val="2"/>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lowerRoman"/>
      <w:start w:val="1"/>
    </w:lvl>
  </w:abstractNum>
  <w:abstractNum w:abstractNumId="61">
    <w:nsid w:val="310C50B3"/>
    <w:multiLevelType w:val="hybridMultilevel"/>
    <w:lvl w:ilvl="0">
      <w:lvlJc w:val="left"/>
      <w:lvlText w:val="(%1)"/>
      <w:numFmt w:val="lowerRoman"/>
      <w:start w:val="3"/>
    </w:lvl>
  </w:abstractNum>
  <w:abstractNum w:abstractNumId="62">
    <w:nsid w:val="5FF87E0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3">
    <w:nsid w:val="2F305DEF"/>
    <w:multiLevelType w:val="hybridMultilevel"/>
    <w:lvl w:ilvl="0">
      <w:lvlJc w:val="left"/>
      <w:lvlText w:val="%1"/>
      <w:numFmt w:val="decimal"/>
      <w:start w:val="1"/>
    </w:lvl>
    <w:lvl w:ilvl="1">
      <w:lvlJc w:val="left"/>
      <w:lvlText w:val="(%2)"/>
      <w:numFmt w:val="lowerRoman"/>
      <w:start w:val="1"/>
    </w:lvl>
  </w:abstractNum>
  <w:abstractNum w:abstractNumId="64">
    <w:nsid w:val="25A70BF7"/>
    <w:multiLevelType w:val="hybridMultilevel"/>
    <w:lvl w:ilvl="0">
      <w:lvlJc w:val="left"/>
      <w:lvlText w:val="(%1)"/>
      <w:numFmt w:val="decimal"/>
      <w:start w:val="5"/>
    </w:lvl>
    <w:lvl w:ilvl="1">
      <w:lvlJc w:val="left"/>
      <w:lvlText w:val="%2"/>
      <w:numFmt w:val="lowerRoman"/>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2019-12-13T15:13:38Z</dcterms:created>
  <dcterms:modified xsi:type="dcterms:W3CDTF">2019-12-13T15:13:38Z</dcterms:modified>
</cp:coreProperties>
</file>