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CURRENT REPORT</w:t>
      </w:r>
    </w:p>
    <w:p>
      <w:pPr>
        <w:spacing w:after="0" w:line="1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16, 2022</w:t>
      </w:r>
    </w:p>
    <w:p>
      <w:pPr>
        <w:spacing w:after="0" w:line="2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4"/>
          <w:szCs w:val="24"/>
          <w:color w:val="auto"/>
        </w:rPr>
      </w:pPr>
    </w:p>
    <w:p>
      <w:pPr>
        <w:ind w:left="2140"/>
        <w:spacing w:after="0"/>
        <w:tabs>
          <w:tab w:leader="none" w:pos="5360" w:val="left"/>
          <w:tab w:leader="none" w:pos="8400" w:val="left"/>
        </w:tabs>
        <w:rPr>
          <w:sz w:val="20"/>
          <w:szCs w:val="20"/>
          <w:color w:val="auto"/>
        </w:rPr>
      </w:pPr>
      <w:r>
        <w:rPr>
          <w:rFonts w:ascii="Times New Roman" w:cs="Times New Roman" w:eastAsia="Times New Roman" w:hAnsi="Times New Roman"/>
          <w:sz w:val="18"/>
          <w:szCs w:val="18"/>
          <w:b w:val="1"/>
          <w:bCs w:val="1"/>
          <w:color w:val="auto"/>
        </w:rPr>
        <w:t>Maryland</w:t>
      </w:r>
      <w:r>
        <w:rPr>
          <w:sz w:val="20"/>
          <w:szCs w:val="20"/>
          <w:color w:val="auto"/>
        </w:rPr>
        <w:tab/>
      </w:r>
      <w:r>
        <w:rPr>
          <w:rFonts w:ascii="Times New Roman" w:cs="Times New Roman" w:eastAsia="Times New Roman" w:hAnsi="Times New Roman"/>
          <w:sz w:val="18"/>
          <w:szCs w:val="18"/>
          <w:b w:val="1"/>
          <w:bCs w:val="1"/>
          <w:color w:val="auto"/>
        </w:rPr>
        <w:t>814-00736</w:t>
      </w:r>
      <w:r>
        <w:rPr>
          <w:sz w:val="20"/>
          <w:szCs w:val="20"/>
          <w:color w:val="auto"/>
        </w:rPr>
        <w:tab/>
      </w:r>
      <w:r>
        <w:rPr>
          <w:rFonts w:ascii="Times New Roman" w:cs="Times New Roman" w:eastAsia="Times New Roman" w:hAnsi="Times New Roman"/>
          <w:sz w:val="18"/>
          <w:szCs w:val="18"/>
          <w:b w:val="1"/>
          <w:bCs w:val="1"/>
          <w:color w:val="auto"/>
        </w:rPr>
        <w:t>20-8250744</w:t>
      </w:r>
    </w:p>
    <w:p>
      <w:pPr>
        <w:spacing w:after="0" w:line="6" w:lineRule="exact"/>
        <w:rPr>
          <w:sz w:val="24"/>
          <w:szCs w:val="24"/>
          <w:color w:val="auto"/>
        </w:rPr>
      </w:pPr>
    </w:p>
    <w:p>
      <w:pPr>
        <w:ind w:left="920"/>
        <w:spacing w:after="0"/>
        <w:tabs>
          <w:tab w:leader="none" w:pos="4760" w:val="left"/>
          <w:tab w:leader="none" w:pos="7440" w:val="left"/>
        </w:tabs>
        <w:rPr>
          <w:sz w:val="20"/>
          <w:szCs w:val="20"/>
          <w:color w:val="auto"/>
        </w:rPr>
      </w:pPr>
      <w:r>
        <w:rPr>
          <w:rFonts w:ascii="Times New Roman" w:cs="Times New Roman" w:eastAsia="Times New Roman" w:hAnsi="Times New Roman"/>
          <w:sz w:val="18"/>
          <w:szCs w:val="18"/>
          <w:color w:val="auto"/>
        </w:rPr>
        <w:t>(State or Other Jurisdiction of Incorporation)</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Number)</w:t>
      </w:r>
    </w:p>
    <w:p>
      <w:pPr>
        <w:sectPr>
          <w:pgSz w:w="11900" w:h="16838" w:orient="portrait"/>
          <w:cols w:equalWidth="0" w:num="1">
            <w:col w:w="11120"/>
          </w:cols>
          <w:pgMar w:left="320" w:top="536" w:right="459" w:bottom="1440" w:gutter="0" w:footer="0" w:header="0"/>
        </w:sectPr>
      </w:pPr>
    </w:p>
    <w:p>
      <w:pPr>
        <w:spacing w:after="0" w:line="188"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jc w:val="center"/>
        <w:ind w:right="2100"/>
        <w:spacing w:after="0" w:line="226" w:lineRule="auto"/>
        <w:rPr>
          <w:sz w:val="20"/>
          <w:szCs w:val="20"/>
          <w:color w:val="auto"/>
        </w:rPr>
      </w:pPr>
      <w:r>
        <w:rPr>
          <w:rFonts w:ascii="Times New Roman" w:cs="Times New Roman" w:eastAsia="Times New Roman" w:hAnsi="Times New Roman"/>
          <w:sz w:val="18"/>
          <w:szCs w:val="18"/>
          <w:b w:val="1"/>
          <w:bCs w:val="1"/>
          <w:color w:val="auto"/>
        </w:rPr>
        <w:t>Miami, Florida</w:t>
      </w:r>
    </w:p>
    <w:p>
      <w:pPr>
        <w:jc w:val="center"/>
        <w:ind w:right="2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88"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6"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4"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33319</w:t>
      </w:r>
    </w:p>
    <w:p>
      <w:pPr>
        <w:spacing w:after="0" w:line="6"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(Zip Code)</w:t>
      </w:r>
    </w:p>
    <w:p>
      <w:pPr>
        <w:spacing w:after="0" w:line="1484" w:lineRule="exact"/>
        <w:rPr>
          <w:sz w:val="24"/>
          <w:szCs w:val="24"/>
          <w:color w:val="auto"/>
        </w:rPr>
      </w:pPr>
    </w:p>
    <w:p>
      <w:pPr>
        <w:sectPr>
          <w:pgSz w:w="11900" w:h="16838" w:orient="portrait"/>
          <w:cols w:equalWidth="0" w:num="2">
            <w:col w:w="7840" w:space="260"/>
            <w:col w:w="3020"/>
          </w:cols>
          <w:pgMar w:left="320" w:top="536" w:right="459" w:bottom="1440" w:gutter="0" w:footer="0" w:header="0"/>
          <w:type w:val="continuous"/>
        </w:sectPr>
      </w:pPr>
    </w:p>
    <w:p>
      <w:pPr>
        <w:spacing w:after="0" w:line="233"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highlight w:val="black"/>
        </w:rPr>
      </w:pPr>
    </w:p>
    <w:p>
      <w:pPr>
        <w:ind w:left="520" w:hanging="499"/>
        <w:spacing w:after="0"/>
        <w:tabs>
          <w:tab w:leader="none" w:pos="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highlight w:val="black"/>
        </w:rPr>
      </w:pPr>
    </w:p>
    <w:p>
      <w:pPr>
        <w:ind w:left="520" w:hanging="499"/>
        <w:spacing w:after="0"/>
        <w:tabs>
          <w:tab w:leader="none" w:pos="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highlight w:val="black"/>
        </w:rPr>
      </w:pPr>
    </w:p>
    <w:p>
      <w:pPr>
        <w:ind w:right="2560" w:firstLine="21"/>
        <w:spacing w:after="0" w:line="532" w:lineRule="auto"/>
        <w:tabs>
          <w:tab w:leader="none" w:pos="51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31" w:lineRule="exact"/>
        <w:rPr>
          <w:sz w:val="24"/>
          <w:szCs w:val="24"/>
          <w:color w:val="auto"/>
        </w:rPr>
      </w:pPr>
    </w:p>
    <w:p>
      <w:pPr>
        <w:ind w:left="1520"/>
        <w:spacing w:after="0"/>
        <w:tabs>
          <w:tab w:leader="none" w:pos="4920" w:val="left"/>
          <w:tab w:leader="none" w:pos="726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ind w:left="680"/>
        <w:spacing w:after="0"/>
        <w:tabs>
          <w:tab w:leader="none" w:pos="5400" w:val="left"/>
          <w:tab w:leader="none" w:pos="7880" w:val="left"/>
        </w:tabs>
        <w:rPr>
          <w:sz w:val="20"/>
          <w:szCs w:val="20"/>
          <w:color w:val="auto"/>
        </w:rPr>
      </w:pPr>
      <w:r>
        <w:rPr>
          <w:rFonts w:ascii="Times New Roman" w:cs="Times New Roman" w:eastAsia="Times New Roman" w:hAnsi="Times New Roman"/>
          <w:sz w:val="18"/>
          <w:szCs w:val="18"/>
          <w:color w:val="auto"/>
        </w:rPr>
        <w:t>Common Stock, par value $0.001 per share</w:t>
      </w:r>
      <w:r>
        <w:rPr>
          <w:sz w:val="20"/>
          <w:szCs w:val="20"/>
          <w:color w:val="auto"/>
        </w:rPr>
        <w:tab/>
      </w:r>
      <w:r>
        <w:rPr>
          <w:rFonts w:ascii="Times New Roman" w:cs="Times New Roman" w:eastAsia="Times New Roman" w:hAnsi="Times New Roman"/>
          <w:sz w:val="18"/>
          <w:szCs w:val="18"/>
          <w:color w:val="auto"/>
        </w:rPr>
        <w:t>PNNT</w:t>
      </w:r>
      <w:r>
        <w:rPr>
          <w:sz w:val="20"/>
          <w:szCs w:val="20"/>
          <w:color w:val="auto"/>
        </w:rPr>
        <w:tab/>
      </w:r>
      <w:r>
        <w:rPr>
          <w:rFonts w:ascii="Times New Roman" w:cs="Times New Roman" w:eastAsia="Times New Roman" w:hAnsi="Times New Roman"/>
          <w:sz w:val="17"/>
          <w:szCs w:val="17"/>
          <w:color w:val="auto"/>
        </w:rPr>
        <w:t>The New York Stock Exchange</w:t>
      </w:r>
    </w:p>
    <w:p>
      <w:pPr>
        <w:spacing w:after="0" w:line="193"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1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40" w:lineRule="exact"/>
        <w:rPr>
          <w:sz w:val="24"/>
          <w:szCs w:val="24"/>
          <w:color w:val="auto"/>
        </w:rPr>
      </w:pPr>
    </w:p>
    <w:p>
      <w:pPr>
        <w:ind w:right="4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28435281.2.BUSINESS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36"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On November 16, 2022, PennantPark Investment Corporation, or the Company, issued a press release announcing its financial results for the fourth quarter and fiscal year ended September 30, 2022. A copy of the press release is furnished as Exhibit 99.1 to this report pursuant to Item 2.02 on Form 8-K and Regulation FD. A copy of the Company's schedule of investments as of September 30, 2022 and 2021 are furnished as Exhibit 99.2 to this report pursuant to Item 2.02 on Form 8-K and Regulation FD.</w:t>
      </w:r>
    </w:p>
    <w:p>
      <w:pPr>
        <w:spacing w:after="0" w:line="13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Exhibits 99.1 and 99.2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Exhibits 99.1 and 99.2 furnished herewith, may contain “forward-looking statements” within the meaning of the Private Securities Litigation Reform Act of 1995. You should understand that under Section 27A(b)(2)(B) of the Securities Act and Section 21E(b)(2)</w:t>
      </w:r>
    </w:p>
    <w:p>
      <w:pPr>
        <w:jc w:val="both"/>
        <w:ind w:firstLine="8"/>
        <w:spacing w:after="0"/>
        <w:tabs>
          <w:tab w:leader="none" w:pos="2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16"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of PennantPark Investment Corporation dated November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-7620</wp:posOffset>
            </wp:positionV>
            <wp:extent cx="36868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681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FF"/>
        </w:rPr>
        <w:t>Schedule of Investments as of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-19050</wp:posOffset>
            </wp:positionV>
            <wp:extent cx="2766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66695" cy="8890"/>
                    </a:xfrm>
                    <a:prstGeom prst="rect">
                      <a:avLst/>
                    </a:prstGeom>
                    <a:noFill/>
                  </pic:spPr>
                </pic:pic>
              </a:graphicData>
            </a:graphic>
          </wp:anchor>
        </w:drawing>
      </w: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28435281.2.BUSINESS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58"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Dated: November 16, 2022</w:t>
      </w:r>
      <w:r>
        <w:rPr>
          <w:sz w:val="20"/>
          <w:szCs w:val="20"/>
          <w:color w:val="auto"/>
        </w:rPr>
        <w:tab/>
      </w:r>
      <w:r>
        <w:rPr>
          <w:rFonts w:ascii="Times New Roman" w:cs="Times New Roman" w:eastAsia="Times New Roman" w:hAnsi="Times New Roman"/>
          <w:sz w:val="17"/>
          <w:szCs w:val="17"/>
          <w:b w:val="1"/>
          <w:bCs w:val="1"/>
          <w:color w:val="auto"/>
        </w:rPr>
        <w:t>PENNANTPARK INVESTMENT CORPORATION</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28435281.2.BUSINESS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7" w:right="67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808480" cy="436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848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20"/>
        <w:spacing w:after="0" w:line="271" w:lineRule="auto"/>
        <w:rPr>
          <w:sz w:val="20"/>
          <w:szCs w:val="20"/>
          <w:color w:val="auto"/>
        </w:rPr>
      </w:pPr>
      <w:r>
        <w:rPr>
          <w:rFonts w:ascii="Times New Roman" w:cs="Times New Roman" w:eastAsia="Times New Roman" w:hAnsi="Times New Roman"/>
          <w:sz w:val="18"/>
          <w:szCs w:val="18"/>
          <w:b w:val="1"/>
          <w:bCs w:val="1"/>
          <w:color w:val="auto"/>
        </w:rPr>
        <w:t>PennantPark Investment Corporation Announces 10.0% Increase of its Quarterly Distribution to $0.165 per share and Financial Results for the Fourth Quarter and Fiscal Year Ended September 30, 2022</w:t>
      </w:r>
    </w:p>
    <w:p>
      <w:pPr>
        <w:spacing w:after="0" w:line="15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Miami, Florida — (GLOBE NEWSWIRE – November 16, 2022) — PennantPark Investment Corporation (NYSE: PNNT) announced today financial results for the fourth quarter and fiscal year ended September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ended September 30, 2022</w:t>
      </w:r>
    </w:p>
    <w:p>
      <w:pPr>
        <w:spacing w:after="0"/>
        <w:rPr>
          <w:sz w:val="20"/>
          <w:szCs w:val="20"/>
          <w:color w:val="auto"/>
        </w:rPr>
      </w:pPr>
      <w:r>
        <w:rPr>
          <w:rFonts w:ascii="Times New Roman" w:cs="Times New Roman" w:eastAsia="Times New Roman" w:hAnsi="Times New Roman"/>
          <w:sz w:val="18"/>
          <w:szCs w:val="18"/>
          <w:color w:val="auto"/>
        </w:rPr>
        <w:t>($ in millions, except per share amounts)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Assets and Liabilities:</w:t>
            </w:r>
          </w:p>
        </w:tc>
        <w:tc>
          <w:tcPr>
            <w:tcW w:w="16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4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7700" w:type="dxa"/>
            <w:vAlign w:val="bottom"/>
          </w:tcPr>
          <w:p>
            <w:pPr>
              <w:ind w:left="200"/>
              <w:spacing w:after="0" w:line="175" w:lineRule="exact"/>
              <w:rPr>
                <w:sz w:val="20"/>
                <w:szCs w:val="20"/>
                <w:color w:val="auto"/>
              </w:rPr>
            </w:pPr>
            <w:r>
              <w:rPr>
                <w:rFonts w:ascii="Times New Roman" w:cs="Times New Roman" w:eastAsia="Times New Roman" w:hAnsi="Times New Roman"/>
                <w:sz w:val="14"/>
                <w:szCs w:val="14"/>
                <w:color w:val="auto"/>
              </w:rPr>
              <w:t xml:space="preserve">Investment portfolio </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assets</w:t>
            </w: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585.6</w:t>
            </w: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GAAP net asset value per share</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7"/>
        </w:trPr>
        <w:tc>
          <w:tcPr>
            <w:tcW w:w="7700" w:type="dxa"/>
            <w:vAlign w:val="bottom"/>
          </w:tcPr>
          <w:p>
            <w:pPr>
              <w:ind w:left="200"/>
              <w:spacing w:after="0" w:line="147" w:lineRule="exact"/>
              <w:rPr>
                <w:sz w:val="20"/>
                <w:szCs w:val="20"/>
                <w:color w:val="auto"/>
              </w:rPr>
            </w:pPr>
            <w:r>
              <w:rPr>
                <w:rFonts w:ascii="Times New Roman" w:cs="Times New Roman" w:eastAsia="Times New Roman" w:hAnsi="Times New Roman"/>
                <w:sz w:val="14"/>
                <w:szCs w:val="14"/>
                <w:color w:val="auto"/>
              </w:rPr>
              <w:t>Quarterly decrease in GAAP net asset value per share</w:t>
            </w: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4"/>
                <w:szCs w:val="14"/>
                <w:color w:val="auto"/>
              </w:rPr>
              <w:t>(6.9 )%</w:t>
            </w:r>
          </w:p>
        </w:tc>
      </w:tr>
      <w:tr>
        <w:trPr>
          <w:trHeight w:val="175"/>
        </w:trPr>
        <w:tc>
          <w:tcPr>
            <w:tcW w:w="7700" w:type="dxa"/>
            <w:vAlign w:val="bottom"/>
          </w:tcPr>
          <w:p>
            <w:pPr>
              <w:ind w:left="200"/>
              <w:spacing w:after="0" w:line="175" w:lineRule="exact"/>
              <w:rPr>
                <w:sz w:val="20"/>
                <w:szCs w:val="20"/>
                <w:color w:val="auto"/>
              </w:rPr>
            </w:pPr>
            <w:r>
              <w:rPr>
                <w:rFonts w:ascii="Times New Roman" w:cs="Times New Roman" w:eastAsia="Times New Roman" w:hAnsi="Times New Roman"/>
                <w:sz w:val="14"/>
                <w:szCs w:val="14"/>
                <w:color w:val="auto"/>
              </w:rPr>
              <w:t xml:space="preserve">Adjusted net asset value per share </w:t>
            </w:r>
            <w:r>
              <w:rPr>
                <w:rFonts w:ascii="Times New Roman" w:cs="Times New Roman" w:eastAsia="Times New Roman" w:hAnsi="Times New Roman"/>
                <w:sz w:val="19"/>
                <w:szCs w:val="19"/>
                <w:color w:val="auto"/>
                <w:vertAlign w:val="superscript"/>
              </w:rPr>
              <w:t>(2)</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7700" w:type="dxa"/>
            <w:vAlign w:val="bottom"/>
          </w:tcPr>
          <w:p>
            <w:pPr>
              <w:ind w:left="200"/>
              <w:spacing w:after="0" w:line="204" w:lineRule="exact"/>
              <w:rPr>
                <w:sz w:val="20"/>
                <w:szCs w:val="20"/>
                <w:color w:val="auto"/>
              </w:rPr>
            </w:pPr>
            <w:r>
              <w:rPr>
                <w:rFonts w:ascii="Times New Roman" w:cs="Times New Roman" w:eastAsia="Times New Roman" w:hAnsi="Times New Roman"/>
                <w:sz w:val="14"/>
                <w:szCs w:val="14"/>
                <w:color w:val="auto"/>
              </w:rPr>
              <w:t xml:space="preserve">Quarterly decrease in adjusted net asset value per share </w:t>
            </w:r>
            <w:r>
              <w:rPr>
                <w:rFonts w:ascii="Times New Roman" w:cs="Times New Roman" w:eastAsia="Times New Roman" w:hAnsi="Times New Roman"/>
                <w:sz w:val="19"/>
                <w:szCs w:val="19"/>
                <w:color w:val="auto"/>
                <w:vertAlign w:val="superscript"/>
              </w:rPr>
              <w:t>(2)</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(6.2 )%</w:t>
            </w:r>
          </w:p>
        </w:tc>
      </w:tr>
      <w:tr>
        <w:trPr>
          <w:trHeight w:val="351"/>
        </w:trPr>
        <w:tc>
          <w:tcPr>
            <w:tcW w:w="7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6"/>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376.7</w:t>
            </w: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2026-2 Notes</w:t>
            </w: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Debentures</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Regulatory Debt to Equity</w:t>
            </w: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1.18x</w:t>
            </w:r>
          </w:p>
        </w:tc>
        <w:tc>
          <w:tcPr>
            <w:tcW w:w="80" w:type="dxa"/>
            <w:vAlign w:val="bottom"/>
          </w:tcPr>
          <w:p>
            <w:pPr>
              <w:spacing w:after="0"/>
              <w:rPr>
                <w:sz w:val="15"/>
                <w:szCs w:val="15"/>
                <w:color w:val="auto"/>
              </w:rPr>
            </w:pPr>
          </w:p>
        </w:tc>
      </w:tr>
      <w:tr>
        <w:trPr>
          <w:trHeight w:val="175"/>
        </w:trPr>
        <w:tc>
          <w:tcPr>
            <w:tcW w:w="77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GAAP Net Debt to Equity </w:t>
            </w:r>
            <w:r>
              <w:rPr>
                <w:rFonts w:ascii="Times New Roman" w:cs="Times New Roman" w:eastAsia="Times New Roman" w:hAnsi="Times New Roman"/>
                <w:sz w:val="19"/>
                <w:szCs w:val="19"/>
                <w:color w:val="auto"/>
                <w:vertAlign w:val="superscript"/>
              </w:rPr>
              <w:t>(3)</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1.11x</w:t>
            </w:r>
          </w:p>
        </w:tc>
        <w:tc>
          <w:tcPr>
            <w:tcW w:w="80" w:type="dxa"/>
            <w:vAlign w:val="bottom"/>
          </w:tcPr>
          <w:p>
            <w:pPr>
              <w:spacing w:after="0"/>
              <w:rPr>
                <w:sz w:val="15"/>
                <w:szCs w:val="15"/>
                <w:color w:val="auto"/>
              </w:rPr>
            </w:pPr>
          </w:p>
        </w:tc>
      </w:tr>
      <w:tr>
        <w:trPr>
          <w:trHeight w:val="176"/>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Weighted average yield on debt investments at quarter-end</w:t>
            </w: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80" w:type="dxa"/>
            <w:vAlign w:val="bottom"/>
          </w:tcPr>
          <w:p>
            <w:pPr>
              <w:spacing w:after="0"/>
              <w:rPr>
                <w:sz w:val="15"/>
                <w:szCs w:val="15"/>
                <w:color w:val="auto"/>
              </w:rPr>
            </w:pPr>
          </w:p>
        </w:tc>
      </w:tr>
      <w:tr>
        <w:trPr>
          <w:trHeight w:val="342"/>
        </w:trPr>
        <w:tc>
          <w:tcPr>
            <w:tcW w:w="7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Quarter Ended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Year Ended</w:t>
            </w:r>
          </w:p>
        </w:tc>
      </w:tr>
      <w:tr>
        <w:trPr>
          <w:trHeight w:val="185"/>
        </w:trPr>
        <w:tc>
          <w:tcPr>
            <w:tcW w:w="7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September 30, 2022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September 30, 2022</w:t>
            </w:r>
          </w:p>
        </w:tc>
      </w:tr>
      <w:tr>
        <w:trPr>
          <w:trHeight w:val="169"/>
        </w:trPr>
        <w:tc>
          <w:tcPr>
            <w:tcW w:w="77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Operating Results:</w:t>
            </w: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investment income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investment income per share (GAAP)</w:t>
            </w:r>
          </w:p>
        </w:tc>
        <w:tc>
          <w:tcPr>
            <w:tcW w:w="1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Credit facility amendment costs per share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shd w:val="clear" w:color="auto" w:fill="CCECFF"/>
          </w:tcPr>
          <w:p>
            <w:pPr>
              <w:ind w:left="200"/>
              <w:spacing w:after="0" w:line="175" w:lineRule="exact"/>
              <w:rPr>
                <w:sz w:val="20"/>
                <w:szCs w:val="20"/>
                <w:color w:val="auto"/>
              </w:rPr>
            </w:pPr>
            <w:r>
              <w:rPr>
                <w:rFonts w:ascii="Times New Roman" w:cs="Times New Roman" w:eastAsia="Times New Roman" w:hAnsi="Times New Roman"/>
                <w:sz w:val="14"/>
                <w:szCs w:val="14"/>
                <w:color w:val="auto"/>
              </w:rPr>
              <w:t xml:space="preserve">Core net investment income per share </w:t>
            </w:r>
            <w:r>
              <w:rPr>
                <w:rFonts w:ascii="Times New Roman" w:cs="Times New Roman" w:eastAsia="Times New Roman" w:hAnsi="Times New Roman"/>
                <w:sz w:val="19"/>
                <w:szCs w:val="19"/>
                <w:color w:val="auto"/>
                <w:vertAlign w:val="superscript"/>
              </w:rPr>
              <w:t>(4)</w:t>
            </w:r>
          </w:p>
        </w:tc>
        <w:tc>
          <w:tcPr>
            <w:tcW w:w="1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declared per share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Portfolio Activity:</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933.8</w:t>
            </w: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Sales and repayments of investments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PSLF Portfolio data:</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PSLF investment portfolio</w:t>
            </w: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730.1</w:t>
            </w: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Sales and repayments of investments</w:t>
            </w:r>
          </w:p>
        </w:tc>
        <w:tc>
          <w:tcPr>
            <w:tcW w:w="1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-3462655</wp:posOffset>
            </wp:positionV>
            <wp:extent cx="7132320" cy="111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-3239770</wp:posOffset>
            </wp:positionV>
            <wp:extent cx="7132320" cy="111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7"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investments in PennantPark Senior Loan Fund, LLC, or PSLF, an unconsolidated joint venture, totaling $139.1 million, at fair value.</w:t>
      </w:r>
    </w:p>
    <w:p>
      <w:pPr>
        <w:spacing w:after="0" w:line="41" w:lineRule="exact"/>
        <w:rPr>
          <w:rFonts w:ascii="Times New Roman" w:cs="Times New Roman" w:eastAsia="Times New Roman" w:hAnsi="Times New Roman"/>
          <w:sz w:val="14"/>
          <w:szCs w:val="14"/>
          <w:color w:val="auto"/>
        </w:rPr>
      </w:pPr>
    </w:p>
    <w:p>
      <w:pPr>
        <w:jc w:val="both"/>
        <w:ind w:left="380" w:right="80" w:hanging="372"/>
        <w:spacing w:after="0" w:line="261" w:lineRule="auto"/>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is a non-GAAP financial measure. The Company believes that this number provides useful information to investors and management because it reflects the Company’s financial performance excluding the impact of zero unrealized loss on our multi-currency, senior secured revolving credit facility with Truist Bank, as amended, the “Credit Facility”. The presentation of this additional information is not meant to be considered in isolation or as a substitute for financial results prepared in accordance with GAAP.</w:t>
      </w:r>
    </w:p>
    <w:p>
      <w:pPr>
        <w:spacing w:after="0" w:line="1" w:lineRule="exact"/>
        <w:rPr>
          <w:rFonts w:ascii="Times New Roman" w:cs="Times New Roman" w:eastAsia="Times New Roman" w:hAnsi="Times New Roman"/>
          <w:sz w:val="14"/>
          <w:szCs w:val="14"/>
          <w:color w:val="auto"/>
        </w:rPr>
      </w:pPr>
    </w:p>
    <w:p>
      <w:pPr>
        <w:jc w:val="both"/>
        <w:ind w:left="380" w:right="80" w:hanging="372"/>
        <w:spacing w:after="0" w:line="268" w:lineRule="auto"/>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is a non-GAAP financial measure. The Company believes that this number provides useful information to investors and management because it reflects the Company’s financial performance including the impact the Small Business Act, “SBA”, Debentures and net of $52.7 million of cash and equivalents. The presentation of this additional information is not meant to be considered in isolation or as a substitute for financial results prepared in accordance with GAAP.</w:t>
      </w:r>
    </w:p>
    <w:p>
      <w:pPr>
        <w:jc w:val="both"/>
        <w:ind w:left="380" w:right="80" w:hanging="372"/>
        <w:spacing w:after="0" w:line="261" w:lineRule="auto"/>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Core net investment income is a non-GAAP financial measure. The Company believes that core net investment income provides useful information to investors and management because it reflects the Company’s financial performance excluding a one-time expense of $5.1 million associated with extension of our multi-currency senior secured revolving credit facility with Truist Bank and other lenders on July 29, 2022 and the associated incentive fee reduction of $2.5 million. The presentation of this additional information is not meant to be considered in isolation or as a substitute for financial results prepared in accordance with GAAP.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AT 12:00 P.M. EST ON NOVEMBER 17, 2022</w:t>
      </w:r>
    </w:p>
    <w:p>
      <w:pPr>
        <w:spacing w:after="0" w:line="202" w:lineRule="exact"/>
        <w:rPr>
          <w:sz w:val="20"/>
          <w:szCs w:val="20"/>
          <w:color w:val="auto"/>
        </w:rPr>
      </w:pPr>
    </w:p>
    <w:p>
      <w:pPr>
        <w:jc w:val="both"/>
        <w:ind w:right="80" w:firstLine="749"/>
        <w:spacing w:after="0" w:line="250" w:lineRule="auto"/>
        <w:rPr>
          <w:sz w:val="20"/>
          <w:szCs w:val="20"/>
          <w:color w:val="auto"/>
        </w:rPr>
      </w:pPr>
      <w:r>
        <w:rPr>
          <w:rFonts w:ascii="Times New Roman" w:cs="Times New Roman" w:eastAsia="Times New Roman" w:hAnsi="Times New Roman"/>
          <w:sz w:val="18"/>
          <w:szCs w:val="18"/>
          <w:color w:val="auto"/>
        </w:rPr>
        <w:t>PennantPark Investment Corporation (“we,” “our,” “us” or the “Company”) will also host a conference call at 12:00 p.m. (Eastern Time) on Thursday, November 17, 2022 to discuss its financial results. All interested parties are welcome to participate. You can access the conference call by dialing toll-free (888) 254-3590 approximately 5-10 minutes prior to the call. International callers should dial (646) 828-8193. All callers should reference conference ID #1722510 or PennantPark Investment Corporation. An archived replay will also be available through December 1, 2022 on a webcast link located on the Home page of the Investor section of PennantPark’s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7"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INCREASE OF QUARTERLY DISTRIBUTION TO $0.165 PER SHARE</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Company declares a distribution of $0.165 per share, an increase of 10.0% from the most recent distribution. The distribution is payable on January 3, 2023 to stockholders of record as of December 19, 2022.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216" w:lineRule="exact"/>
        <w:rPr>
          <w:sz w:val="20"/>
          <w:szCs w:val="20"/>
          <w:color w:val="auto"/>
        </w:rPr>
      </w:pPr>
    </w:p>
    <w:p>
      <w:pPr>
        <w:jc w:val="both"/>
        <w:ind w:firstLine="449"/>
        <w:spacing w:after="0" w:line="250" w:lineRule="auto"/>
        <w:rPr>
          <w:sz w:val="20"/>
          <w:szCs w:val="20"/>
          <w:color w:val="auto"/>
        </w:rPr>
      </w:pPr>
      <w:r>
        <w:rPr>
          <w:rFonts w:ascii="Times New Roman" w:cs="Times New Roman" w:eastAsia="Times New Roman" w:hAnsi="Times New Roman"/>
          <w:sz w:val="18"/>
          <w:szCs w:val="18"/>
          <w:color w:val="auto"/>
        </w:rPr>
        <w:t>“We are pleased with the underlying credit performance of our debt portfolio and PNNT is well positioned as a leading provider of capital to the core middle market,” said Arthur Penn, Chairman and CEO. “Additionally, PNNT continues to target executing on its strategy to grow Net Investment Income through growing assets on balance sheet, growing the PSLF joint venture and rotating equity investments into yielding instruments. We are looking forward to investing in the late 2022 and 2023 vintage of new loans that should benefit from more conservative structures at higher yields.”</w:t>
      </w:r>
    </w:p>
    <w:p>
      <w:pPr>
        <w:spacing w:after="0" w:line="150" w:lineRule="exact"/>
        <w:rPr>
          <w:sz w:val="20"/>
          <w:szCs w:val="20"/>
          <w:color w:val="auto"/>
        </w:rPr>
      </w:pPr>
    </w:p>
    <w:p>
      <w:pPr>
        <w:jc w:val="both"/>
        <w:ind w:firstLine="449"/>
        <w:spacing w:after="0" w:line="235" w:lineRule="auto"/>
        <w:rPr>
          <w:sz w:val="20"/>
          <w:szCs w:val="20"/>
          <w:color w:val="auto"/>
        </w:rPr>
      </w:pPr>
      <w:r>
        <w:rPr>
          <w:rFonts w:ascii="Times New Roman" w:cs="Times New Roman" w:eastAsia="Times New Roman" w:hAnsi="Times New Roman"/>
          <w:sz w:val="18"/>
          <w:szCs w:val="18"/>
          <w:color w:val="auto"/>
        </w:rPr>
        <w:t>As of September 30, 2022, our portfolio totaled $1,226.3 million and consisted of $631.0 million of first lien secured debt, $129.9 million of second lien secured debt, $141.3 million of subordinated debt (including $88.0 million in PSLF) and $324.1 million of preferred and common equity (including $51.1 million in PSLF). Our interest bearing debt portfolio consisted of 96% variable-rate investments and 4% fixed-rate investments. As of September 30, 2022, we had one portfolio company on non-accrual, representing 1% and zero percent of our overall portfolio on a cost and fair value basis, respectively. Overall, the portfolio had net unrealized depreciation of $71.0 million as of September 30, 2022. Our overall portfolio consisted of 123 companies with an average investment size of $10.1 million, had a weighted average yield on interest bearing debt investments of 10.8 %.</w:t>
      </w:r>
    </w:p>
    <w:p>
      <w:pPr>
        <w:spacing w:after="0" w:line="17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of September 30, 2021, our portfolio totaled $1,255.3 million and consisted of $552.5 million of first lien secured debt, $176.9 million of second lien secured debt, $121.2 million of subordinated debt (including $64.2 million in PSLF) and $404.7 million of preferred and common equity (including $41.2 million in PSLF). Our debt portfolio consisted of 92% variable-rate investments and 8% fixed-rate investments. As of September 30, 2021, we had no portfolio companies on non-accrual and the portfolio had net unrealized appreciation of $34.2 million. Our overall portfolio consisted of 97 companies with an average investment size of $12.9 million, had a weighted average yield on interest bearing debt investments of 9.0%.</w:t>
      </w:r>
    </w:p>
    <w:p>
      <w:pPr>
        <w:spacing w:after="0" w:line="161"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8"/>
          <w:szCs w:val="18"/>
          <w:color w:val="auto"/>
        </w:rPr>
        <w:t>For the three months ended September 30, 2022, we invested $134.4 million in five new and 27 existing portfolio companies with a weighted average yield on debt investments of 10.2%. Sales and repayments of investments for the same period totaled $175.6 million. This compares to the three months ended September 30, 2021, in which we invested $165.0 million in 16 new and 17 existing portfolio companies with a weighted average yield on debt investments of 7.5%. Sales and repayments of investments for the same period totaled $75.8 million.</w:t>
      </w:r>
    </w:p>
    <w:p>
      <w:pPr>
        <w:spacing w:after="0" w:line="15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year ended September 30, 2022, we invested $933.8 million of investments in 40 new and 122 existing portfolio companies with a weighted average yield on debt investments of 8.4%. Sales and repayments of investments for the same period totaled $911.6 million.</w:t>
      </w:r>
    </w:p>
    <w:p>
      <w:pPr>
        <w:spacing w:after="0" w:line="13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year ended September 30, 2021, we invested $441.4 million of investments in 30 new and 49 existing portfolio companies with a weighted average yield on debt investments of 8.1%. Sales and repayments of investments for the same period totaled $434.5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Senior Loan Fund, LLC</w:t>
      </w:r>
    </w:p>
    <w:p>
      <w:pPr>
        <w:spacing w:after="0" w:line="189" w:lineRule="exact"/>
        <w:rPr>
          <w:sz w:val="20"/>
          <w:szCs w:val="20"/>
          <w:color w:val="auto"/>
        </w:rPr>
      </w:pPr>
    </w:p>
    <w:p>
      <w:pPr>
        <w:jc w:val="both"/>
        <w:ind w:firstLine="449"/>
        <w:spacing w:after="0" w:line="242" w:lineRule="auto"/>
        <w:rPr>
          <w:sz w:val="20"/>
          <w:szCs w:val="20"/>
          <w:color w:val="auto"/>
        </w:rPr>
      </w:pPr>
      <w:r>
        <w:rPr>
          <w:rFonts w:ascii="Times New Roman" w:cs="Times New Roman" w:eastAsia="Times New Roman" w:hAnsi="Times New Roman"/>
          <w:sz w:val="18"/>
          <w:szCs w:val="18"/>
          <w:color w:val="auto"/>
        </w:rPr>
        <w:t>As of September 30, 2022, PSLF’s portfolio totaled $730.1 million, consisted of 80 companies with an average investment size of $9.1 million and had a weighted average yield on debt investments of 9.4%. For the year ended September 30, 2021, PSLF’s portfolio totaled $405.2 million, consisted of 47 companies with an average investment size of $8.6 million and had a weighted average yield on debt investments of 7.1%.</w:t>
      </w:r>
    </w:p>
    <w:p>
      <w:pPr>
        <w:spacing w:after="0" w:line="170"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8"/>
          <w:szCs w:val="18"/>
          <w:color w:val="auto"/>
        </w:rPr>
        <w:t>For the three months ended September 30, 2022, PSLF invested $152.6 million in 10 new and nine existing portfolio company with a weighted average yield on debt investments of 8.5%. Sales and repayments of investments for the same period totaled $27.5 million. This compares to the three months ended September 30, 2021, in which PSLF invested $31.6 million in six new and one existing portfolio company with a weighted average yield on debt investments of 7.0%. Sales and repayments of investments for the same period totaled $11.4 million.</w:t>
      </w:r>
    </w:p>
    <w:p>
      <w:pPr>
        <w:spacing w:after="0" w:line="158" w:lineRule="exact"/>
        <w:rPr>
          <w:sz w:val="20"/>
          <w:szCs w:val="20"/>
          <w:color w:val="auto"/>
        </w:rPr>
      </w:pPr>
    </w:p>
    <w:p>
      <w:pPr>
        <w:jc w:val="both"/>
        <w:ind w:firstLine="449"/>
        <w:spacing w:after="0" w:line="242" w:lineRule="auto"/>
        <w:rPr>
          <w:sz w:val="20"/>
          <w:szCs w:val="20"/>
          <w:color w:val="auto"/>
        </w:rPr>
      </w:pPr>
      <w:r>
        <w:rPr>
          <w:rFonts w:ascii="Times New Roman" w:cs="Times New Roman" w:eastAsia="Times New Roman" w:hAnsi="Times New Roman"/>
          <w:sz w:val="18"/>
          <w:szCs w:val="18"/>
          <w:color w:val="auto"/>
        </w:rPr>
        <w:t>For the year ended September 30, 2022, PSLF invested $431.2 million (of which $387.4 million was purchased from the Company) in 39 new and 28 existing portfolio companies with a weighted average yield on debt investments of 7.8%. PSLF’s sales and repayments of investments for the same period totaled $100.5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 w:name="page6"/>
    <w:bookmarkEnd w:id="5"/>
    <w:p>
      <w:pPr>
        <w:jc w:val="both"/>
        <w:ind w:firstLine="449"/>
        <w:spacing w:after="0" w:line="242" w:lineRule="auto"/>
        <w:rPr>
          <w:sz w:val="20"/>
          <w:szCs w:val="20"/>
          <w:color w:val="auto"/>
        </w:rPr>
      </w:pPr>
      <w:r>
        <w:rPr>
          <w:rFonts w:ascii="Times New Roman" w:cs="Times New Roman" w:eastAsia="Times New Roman" w:hAnsi="Times New Roman"/>
          <w:sz w:val="18"/>
          <w:szCs w:val="18"/>
          <w:color w:val="auto"/>
        </w:rPr>
        <w:t>For the year ended September 30, 2021, PSLF invested $149.4 million (of which $123.4 million was purchased from the Company) in 18 new and nine existing portfolio companies with a weighted average yield on debt investments of 7.3%. PSLF’s sales and repayments of investments for the same period totaled $104.9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Set forth below are the results of operations during the three months and years ended September 30, 2022 and 2021.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89" w:lineRule="exact"/>
        <w:rPr>
          <w:sz w:val="20"/>
          <w:szCs w:val="20"/>
          <w:color w:val="auto"/>
        </w:rPr>
      </w:pPr>
    </w:p>
    <w:p>
      <w:pPr>
        <w:jc w:val="both"/>
        <w:ind w:firstLine="449"/>
        <w:spacing w:after="0" w:line="242" w:lineRule="auto"/>
        <w:rPr>
          <w:sz w:val="20"/>
          <w:szCs w:val="20"/>
          <w:color w:val="auto"/>
        </w:rPr>
      </w:pPr>
      <w:r>
        <w:rPr>
          <w:rFonts w:ascii="Times New Roman" w:cs="Times New Roman" w:eastAsia="Times New Roman" w:hAnsi="Times New Roman"/>
          <w:sz w:val="18"/>
          <w:szCs w:val="18"/>
          <w:color w:val="auto"/>
        </w:rPr>
        <w:t>Investment income for the three months ended September 30, 2022 and 2021 was $28.9 million and $23.1 million, respectively, and was attributable to $22.2 million and $13.1 million from first lien secured debt, $3.3 million and $4.4 million from second lien secured debt and $3.4 million and $5.6 million from subordinated debt and preferred and common equity, respectively.</w:t>
      </w:r>
    </w:p>
    <w:p>
      <w:pPr>
        <w:spacing w:after="0" w:line="170"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8"/>
          <w:szCs w:val="18"/>
          <w:color w:val="auto"/>
        </w:rPr>
        <w:t>Investment income for the years ended September 30, 2022 and 2021 was $105.0 million and $81.6 million, respectively, and was attributable to $74.4 million and $47.0 million from first lien secured debt, $17.0 million and $20.2 million from second lien secured debt and $13.6 million and $14.4 million from subordinated debt and preferred and common equity, respectively. The increase in investment income compared to the same periods in the prior year was primarily due to an increase in LIBOR and SOFR base rates and an increase in the size of our interest bearing portfolio.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89" w:lineRule="exact"/>
        <w:rPr>
          <w:sz w:val="20"/>
          <w:szCs w:val="20"/>
          <w:color w:val="auto"/>
        </w:rPr>
      </w:pPr>
    </w:p>
    <w:p>
      <w:pPr>
        <w:jc w:val="both"/>
        <w:ind w:firstLine="449"/>
        <w:spacing w:after="0" w:line="245" w:lineRule="auto"/>
        <w:rPr>
          <w:sz w:val="20"/>
          <w:szCs w:val="20"/>
          <w:color w:val="auto"/>
        </w:rPr>
      </w:pPr>
      <w:r>
        <w:rPr>
          <w:rFonts w:ascii="Times New Roman" w:cs="Times New Roman" w:eastAsia="Times New Roman" w:hAnsi="Times New Roman"/>
          <w:sz w:val="18"/>
          <w:szCs w:val="18"/>
          <w:color w:val="auto"/>
        </w:rPr>
        <w:t>Expenses for the three months ended September 30, 2022 and 2021 totaled $19.7 million and $11.9 million, respectively. Base management fee totaled $4.9 million and $4.6 million, incentive fee totaled zero and $0.6 million, debt related interest and other financing costs totaled $13.7 million (including one-time costs of $5.1 million associated with the Credit Facility amendment) and $5.7 million, general and administrative expenses totaled $1.0 million and $0.9 million and provision for taxes totaled $0.2 million and $0.2 million, respectively, for the same periods.</w:t>
      </w:r>
    </w:p>
    <w:p>
      <w:pPr>
        <w:spacing w:after="0" w:line="181" w:lineRule="exact"/>
        <w:rPr>
          <w:sz w:val="20"/>
          <w:szCs w:val="20"/>
          <w:color w:val="auto"/>
        </w:rPr>
      </w:pPr>
    </w:p>
    <w:p>
      <w:pPr>
        <w:jc w:val="both"/>
        <w:ind w:firstLine="449"/>
        <w:spacing w:after="0" w:line="246" w:lineRule="auto"/>
        <w:rPr>
          <w:sz w:val="20"/>
          <w:szCs w:val="20"/>
          <w:color w:val="auto"/>
        </w:rPr>
      </w:pPr>
      <w:r>
        <w:rPr>
          <w:rFonts w:ascii="Times New Roman" w:cs="Times New Roman" w:eastAsia="Times New Roman" w:hAnsi="Times New Roman"/>
          <w:sz w:val="18"/>
          <w:szCs w:val="18"/>
          <w:color w:val="auto"/>
        </w:rPr>
        <w:t>Expenses for the years ended September 30, 2022 and 2021 totaled $61.0 million and $45.1 million, respectively. Base management fee totaled $19.8 million and $17.3 million, incentive fee totaled $2.7 million and $0.6 million, debt related interest and other financing expenses totaled $33.8 (including one-time costs of $5.1 million associated with the Credit Facility amendment) and $22.5 million, general and administrative expenses totaled $3.9 million and $4.1 million and provision for taxes totaled $0.8 million and $0.6 million, respectively, for the same periods The increase in net expenses over the prior year was primarily due to an increase in debt related interest and other financing expenses and an increase in base management and incentive fees.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p>
      <w:pPr>
        <w:spacing w:after="0" w:line="216"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Net investment income totaled $9.2 million, or $0.14 per share, and $11.3 million, or $0.17 per share, for the three months ended September 30, 2022 and 2021, respectively.</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Net investment income totaled $43.9 million, or $0.66 per share, and $36.5 million, or $0.54 per share, for the years ended September 30, 2022 and 2021, respectively. The increase in net investment income per share compared to the prior year was primarily due to an increase in investment income partially offset by an increase in expenses.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Realized Gains or Losses</w:t>
      </w:r>
    </w:p>
    <w:p>
      <w:pPr>
        <w:spacing w:after="0" w:line="21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Net realized gains (losses) on sales and repayments of investments totaled ($38.7) million and $5.6 million, respectively, for the three months ended September 30, 2022 and 2021.</w:t>
      </w:r>
    </w:p>
    <w:p>
      <w:pPr>
        <w:spacing w:after="0" w:line="162" w:lineRule="exact"/>
        <w:rPr>
          <w:sz w:val="20"/>
          <w:szCs w:val="20"/>
          <w:color w:val="auto"/>
        </w:rPr>
      </w:pPr>
    </w:p>
    <w:p>
      <w:pPr>
        <w:jc w:val="both"/>
        <w:ind w:firstLine="449"/>
        <w:spacing w:after="0" w:line="250" w:lineRule="auto"/>
        <w:rPr>
          <w:sz w:val="20"/>
          <w:szCs w:val="20"/>
          <w:color w:val="auto"/>
        </w:rPr>
      </w:pPr>
      <w:r>
        <w:rPr>
          <w:rFonts w:ascii="Times New Roman" w:cs="Times New Roman" w:eastAsia="Times New Roman" w:hAnsi="Times New Roman"/>
          <w:sz w:val="18"/>
          <w:szCs w:val="18"/>
          <w:color w:val="auto"/>
        </w:rPr>
        <w:t>Net realized gain (loss) on sales and repayments of investments totaled $34.8 million and $30.0 million, respectively for the years ended September 30, 2022 and 2021. The change in realized gains/losses was primarily due to changes in market conditions of our investments and the values at which they were realized, primarily due to including the realized appreciation of PT Network Intermediate Holdings, LLC in the second quarter of 2022, and the fluctuations in the market and in the economy..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Appreciation or Depreciation on Investments and Credit Facilities</w:t>
      </w:r>
    </w:p>
    <w:p>
      <w:pPr>
        <w:spacing w:after="0" w:line="216" w:lineRule="exact"/>
        <w:rPr>
          <w:sz w:val="20"/>
          <w:szCs w:val="20"/>
          <w:color w:val="auto"/>
        </w:rPr>
      </w:pPr>
    </w:p>
    <w:p>
      <w:pPr>
        <w:jc w:val="both"/>
        <w:ind w:firstLine="449"/>
        <w:spacing w:after="0" w:line="247" w:lineRule="auto"/>
        <w:rPr>
          <w:sz w:val="20"/>
          <w:szCs w:val="20"/>
          <w:color w:val="auto"/>
        </w:rPr>
      </w:pPr>
      <w:r>
        <w:rPr>
          <w:rFonts w:ascii="Times New Roman" w:cs="Times New Roman" w:eastAsia="Times New Roman" w:hAnsi="Times New Roman"/>
          <w:sz w:val="18"/>
          <w:szCs w:val="18"/>
          <w:color w:val="auto"/>
        </w:rPr>
        <w:t>For the three months ended September 30, 2022 and 2021, we reported a net change in unrealized appreciation (depreciation) on investments of ($11.0) million and $7.6 million, respectively. For the years ended September 30, 2022 and 2021, we reported net change in unrealized appreciation (depreciation) on investments of ($110.0) million and $117.9 million, respectively. As of September 30, 2022 and 2021, our net unrealized appreciation</w:t>
      </w:r>
    </w:p>
    <w:p>
      <w:pPr>
        <w:spacing w:after="0" w:line="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(depreciation) on investments totaled ($75.7) million and $34.2 million, respectively. The net change in unrealized appreciation/depreciation on our investments for the year ended September 30, 2022 compared to the prior year was primarily due to changes in the capital market conditions as well as the financial performance of certain portfolio companies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jc w:val="both"/>
        <w:ind w:firstLine="449"/>
        <w:spacing w:after="0" w:line="246" w:lineRule="auto"/>
        <w:rPr>
          <w:sz w:val="20"/>
          <w:szCs w:val="20"/>
          <w:color w:val="auto"/>
        </w:rPr>
      </w:pPr>
      <w:r>
        <w:rPr>
          <w:rFonts w:ascii="Times New Roman" w:cs="Times New Roman" w:eastAsia="Times New Roman" w:hAnsi="Times New Roman"/>
          <w:sz w:val="18"/>
          <w:szCs w:val="18"/>
          <w:color w:val="auto"/>
        </w:rPr>
        <w:t>For the three months ended September 30, 2022 and 2021, our Credit Facilities had a net change in unrealized (depreciation) appreciation of $1.7 million and ($0.7) million, respectively. For the years ended September 30, 2022 and 2021, our Credit Facilities had a net change in unrealized appreciation (depreciation) of ($7.5) million and $17.8 million, respectively. As of September 30, 2022 and 2021, our net unrealized depreciation on our Credit Facilities totaled $9.2 million and $1.7 million, respectively. The net change in unrealized depreciation for the year ended September 30, 2022 compared to the prior year was primarily due to changes in the capital markets.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Operations</w:t>
      </w:r>
    </w:p>
    <w:p>
      <w:pPr>
        <w:spacing w:after="0" w:line="21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Net change in net assets resulting from operations totaled ($30.2) million, or ($0.45) per share, and $25.1 million, or $0.37 per share, for the three months ended September 30, 2022 and 2021, respectively.</w:t>
      </w:r>
    </w:p>
    <w:p>
      <w:pPr>
        <w:spacing w:after="0" w:line="14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Net change in net assets resulting from operations totaled ($24.7) million, or ($0.37) per share, and $166.6 million, or $2.49 per share, for the years ended September 30, 2022 and 2021, respectively. The decrease in net assets from operations for the year ended September 30, 2022 compared to the prior year was primarily due to depreciation of the portfolio primarily driven by changes in market conditions.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7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annualized weighted average cost of debt for the years ended September 30, 2022 and 2021, inclusive of the fee on the undrawn commitment and amendment costs on the Credit Facility, amortized upfront fees on SBA debentures and debt retirement and issuance costs, was 4.8% and 3.5%, respectively. As of September 30, 2022 and 2021, we had $114.1 million and $118.5 million of unused borrowing capacity under the Credit Facility, respectively, subject to leverage and borrowing base restrictions.</w:t>
      </w:r>
    </w:p>
    <w:p>
      <w:pPr>
        <w:spacing w:after="0" w:line="16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of September 30, 2022 and 2021, we had $385.9 million and $316.5 million, respectively, in outstanding borrowings under the Credit Facility. The Credit Facility had a weighted average interest rate of 3.5% and 2.4%, respectively, exclusive of the fee on undrawn commitment, as of September 30, 2022 and 2021.</w:t>
      </w:r>
    </w:p>
    <w:p>
      <w:pPr>
        <w:spacing w:after="0" w:line="16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On July 29, 2022 the Company increased the size of the Credit Facility by $35.0 million from $465.0 million to $500.0 million. At the same time the Company extended maturity date of the Credit Facility to July 29, 2027.</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of September 30, 2022 and 2021, we had cash and cash equivalents of $52.7 million and $20.4 million, respectively, available for investing and general corporate purposes. We believe our liquidity and capital resources are sufficient to tallow us to operate our business.</w:t>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Our operating activities used cash of $19.0 million for the year ended September 30, 2022, and our financing activities provided cash of $52.0 million for the same period. Our operating activities used cash primarily for our investment activities and our financing activities provided cash primarily from the issuance of our 2026-2 Notes and net repayments under our Credit Facility and the repayment of the SBA debentures.</w:t>
      </w:r>
    </w:p>
    <w:p>
      <w:pPr>
        <w:spacing w:after="0" w:line="17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Our operating activities provided cash of $7.9 million for the year ended September 30, 2021, and our financing activities used cash of $(13.4) million for the same period. Our operating activities used cash primarily for our investment activities and our financing activities provided cash primarily for net borrowings under our Credit Facility and the repayment of the SBA debentures.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16" w:lineRule="exact"/>
        <w:rPr>
          <w:sz w:val="20"/>
          <w:szCs w:val="20"/>
          <w:color w:val="auto"/>
        </w:rPr>
      </w:pPr>
    </w:p>
    <w:p>
      <w:pPr>
        <w:jc w:val="both"/>
        <w:ind w:firstLine="449"/>
        <w:spacing w:after="0" w:line="244" w:lineRule="auto"/>
        <w:rPr>
          <w:sz w:val="20"/>
          <w:szCs w:val="20"/>
          <w:color w:val="auto"/>
        </w:rPr>
      </w:pPr>
      <w:r>
        <w:rPr>
          <w:rFonts w:ascii="Times New Roman" w:cs="Times New Roman" w:eastAsia="Times New Roman" w:hAnsi="Times New Roman"/>
          <w:sz w:val="18"/>
          <w:szCs w:val="18"/>
          <w:color w:val="auto"/>
        </w:rPr>
        <w:t>On February 9, 2022, we announced a share repurchase program which allows us to repurchase up to $25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March 31, 2023 and the repurchase of $25 million of common stock. During the three months and year ended September 30, 2022, we repurchased 189,442 and 1,820,605, respectively, shares of common stock in open market transactions for an aggregate cost (including transaction costs) of $1.2 million and $13.2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8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During the years ended September 30, 2022 and 2021, we declared distributions of $0.555 and $0.480 per share, for total distributions of $36.6 million and $32.2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1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makes available on its website its annual report on Form 10-K filed with the SEC and stockholders may find the report on our website at www.pennantpark.com.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69"/>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auto"/>
            </w:tcBorders>
            <w:shd w:val="clear" w:color="auto" w:fill="CCECFF"/>
          </w:tcPr>
          <w:p>
            <w:pPr>
              <w:spacing w:after="0"/>
              <w:rPr>
                <w:sz w:val="14"/>
                <w:szCs w:val="14"/>
                <w:color w:val="auto"/>
              </w:rPr>
            </w:pPr>
          </w:p>
        </w:tc>
        <w:tc>
          <w:tcPr>
            <w:tcW w:w="1420" w:type="dxa"/>
            <w:vAlign w:val="bottom"/>
            <w:tcBorders>
              <w:top w:val="single" w:sz="8" w:color="auto"/>
            </w:tcBorders>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rPr>
                <w:sz w:val="14"/>
                <w:szCs w:val="14"/>
                <w:color w:val="auto"/>
              </w:rPr>
            </w:pPr>
          </w:p>
        </w:tc>
        <w:tc>
          <w:tcPr>
            <w:tcW w:w="142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 (cost—$882,513 and $729,811, respectively)</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932,155</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820,500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 (cost—$ 37,612 and $78,723, respectively)</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 (cost—$381,904 and $412,586, respectively)</w:t>
            </w:r>
          </w:p>
        </w:tc>
        <w:tc>
          <w:tcPr>
            <w:tcW w:w="140" w:type="dxa"/>
            <w:vAlign w:val="bottom"/>
            <w:tcBorders>
              <w:bottom w:val="single" w:sz="8" w:color="auto"/>
            </w:tcBorders>
            <w:shd w:val="clear" w:color="auto" w:fill="CCECFF"/>
          </w:tcPr>
          <w:p>
            <w:pPr>
              <w:spacing w:after="0"/>
              <w:rPr>
                <w:sz w:val="15"/>
                <w:szCs w:val="15"/>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259,386</w:t>
            </w:r>
          </w:p>
        </w:tc>
        <w:tc>
          <w:tcPr>
            <w:tcW w:w="2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384,629</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of investments (cost—$1,302,029 and $1,221,121,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1,226,301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1,255,290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(cost—$52,844 and $20,383, respectively)</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52,666</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20,357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Receivable for investments sold</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29,494</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12,793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 receivable</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780" w:type="dxa"/>
            <w:vAlign w:val="bottom"/>
            <w:tcBorders>
              <w:top w:val="single" w:sz="8" w:color="CCECFF"/>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1,318,510</w:t>
            </w:r>
          </w:p>
        </w:tc>
        <w:tc>
          <w:tcPr>
            <w:tcW w:w="260" w:type="dxa"/>
            <w:vAlign w:val="bottom"/>
            <w:tcBorders>
              <w:top w:val="single" w:sz="8" w:color="CCEC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1,295,092</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payable</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40" w:type="dxa"/>
            <w:vAlign w:val="bottom"/>
            <w:shd w:val="clear" w:color="auto" w:fill="CCECFF"/>
          </w:tcPr>
          <w:p>
            <w:pPr>
              <w:spacing w:after="0"/>
              <w:rPr>
                <w:sz w:val="15"/>
                <w:szCs w:val="15"/>
                <w:color w:val="auto"/>
              </w:rPr>
            </w:pPr>
          </w:p>
        </w:tc>
        <w:tc>
          <w:tcPr>
            <w:tcW w:w="16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8,407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Truist Credit Facility payable, at fair value (cost—$385,920 and $316,545, respectively)</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376,687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314,813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2024 Notes payable, net (par— zero and $86,250, respectively)</w:t>
            </w:r>
          </w:p>
        </w:tc>
        <w:tc>
          <w:tcPr>
            <w:tcW w:w="140" w:type="dxa"/>
            <w:vAlign w:val="bottom"/>
            <w:shd w:val="clear" w:color="auto" w:fill="CCECFF"/>
          </w:tcPr>
          <w:p>
            <w:pPr>
              <w:spacing w:after="0"/>
              <w:rPr>
                <w:sz w:val="15"/>
                <w:szCs w:val="15"/>
                <w:color w:val="auto"/>
              </w:rPr>
            </w:pPr>
          </w:p>
        </w:tc>
        <w:tc>
          <w:tcPr>
            <w:tcW w:w="16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84,503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 Notes payable, net (par—$150,000)</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146,767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2026-2 Notes payable, net (par—$165,000 and zero, respectively)</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161,373</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debentures payable, net (par—$20,000 and $63,500, respectively)</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Base management fee payable</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4,849</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4,580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 payable</w:t>
            </w:r>
          </w:p>
        </w:tc>
        <w:tc>
          <w:tcPr>
            <w:tcW w:w="140" w:type="dxa"/>
            <w:vAlign w:val="bottom"/>
          </w:tcPr>
          <w:p>
            <w:pPr>
              <w:spacing w:after="0"/>
              <w:rPr>
                <w:sz w:val="15"/>
                <w:szCs w:val="15"/>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debt</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6,264</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4,943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780" w:type="dxa"/>
            <w:vAlign w:val="bottom"/>
            <w:tcBorders>
              <w:top w:val="single" w:sz="8" w:color="CCECFF"/>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732,945</w:t>
            </w:r>
          </w:p>
        </w:tc>
        <w:tc>
          <w:tcPr>
            <w:tcW w:w="260" w:type="dxa"/>
            <w:vAlign w:val="bottom"/>
            <w:tcBorders>
              <w:top w:val="single" w:sz="8" w:color="CCEC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634,948</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8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65,224,500 and 67,045,105 shares issued and outstanding, respectively</w:t>
            </w:r>
          </w:p>
        </w:tc>
        <w:tc>
          <w:tcPr>
            <w:tcW w:w="140" w:type="dxa"/>
            <w:vAlign w:val="bottom"/>
            <w:shd w:val="clear" w:color="auto" w:fill="CCECFF"/>
          </w:tcPr>
          <w:p>
            <w:pPr>
              <w:spacing w:after="0"/>
              <w:rPr>
                <w:sz w:val="12"/>
                <w:szCs w:val="12"/>
                <w:color w:val="auto"/>
              </w:rPr>
            </w:pPr>
          </w:p>
        </w:tc>
        <w:tc>
          <w:tcPr>
            <w:tcW w:w="14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Par value $0.001 per share and 100,000,000 shares authorized</w:t>
            </w:r>
          </w:p>
        </w:tc>
        <w:tc>
          <w:tcPr>
            <w:tcW w:w="140" w:type="dxa"/>
            <w:vAlign w:val="bottom"/>
            <w:shd w:val="clear" w:color="auto" w:fill="CCECFF"/>
          </w:tcPr>
          <w:p>
            <w:pPr>
              <w:spacing w:after="0"/>
              <w:rPr>
                <w:sz w:val="16"/>
                <w:szCs w:val="16"/>
                <w:color w:val="auto"/>
              </w:rPr>
            </w:pPr>
          </w:p>
        </w:tc>
        <w:tc>
          <w:tcPr>
            <w:tcW w:w="1420" w:type="dxa"/>
            <w:vAlign w:val="bottom"/>
            <w:vMerge w:val="continue"/>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420" w:type="dxa"/>
            <w:vAlign w:val="bottom"/>
            <w:vMerge w:val="continue"/>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Paid-in capital in excess of par value</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748,169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786,993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shd w:val="clear" w:color="auto" w:fill="CCECFF"/>
          </w:tcPr>
          <w:p>
            <w:pPr>
              <w:spacing w:after="0"/>
              <w:rPr>
                <w:sz w:val="15"/>
                <w:szCs w:val="15"/>
                <w:color w:val="auto"/>
              </w:rPr>
            </w:pPr>
          </w:p>
        </w:tc>
        <w:tc>
          <w:tcPr>
            <w:tcW w:w="16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(162,669 )</w:t>
            </w:r>
          </w:p>
        </w:tc>
        <w:tc>
          <w:tcPr>
            <w:tcW w:w="12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(126,916 )</w:t>
            </w:r>
          </w:p>
        </w:tc>
        <w:tc>
          <w:tcPr>
            <w:tcW w:w="0" w:type="dxa"/>
            <w:vAlign w:val="bottom"/>
          </w:tcPr>
          <w:p>
            <w:pPr>
              <w:spacing w:after="0"/>
              <w:rPr>
                <w:sz w:val="1"/>
                <w:szCs w:val="1"/>
                <w:color w:val="auto"/>
              </w:rPr>
            </w:pPr>
          </w:p>
        </w:tc>
      </w:tr>
      <w:tr>
        <w:trPr>
          <w:trHeight w:val="169"/>
        </w:trPr>
        <w:tc>
          <w:tcPr>
            <w:tcW w:w="7780" w:type="dxa"/>
            <w:vAlign w:val="bottom"/>
            <w:tcBorders>
              <w:top w:val="single" w:sz="8" w:color="CCECFF"/>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585,565</w:t>
            </w:r>
          </w:p>
        </w:tc>
        <w:tc>
          <w:tcPr>
            <w:tcW w:w="260" w:type="dxa"/>
            <w:vAlign w:val="bottom"/>
            <w:tcBorders>
              <w:top w:val="single" w:sz="8" w:color="CCEC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660,144</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80" w:type="dxa"/>
            <w:vAlign w:val="bottom"/>
            <w:tcBorders>
              <w:bottom w:val="single" w:sz="8" w:color="CCECFF"/>
            </w:tcBorders>
            <w:shd w:val="clear" w:color="auto" w:fill="CCECFF"/>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1,318,510</w:t>
            </w:r>
          </w:p>
        </w:tc>
        <w:tc>
          <w:tcPr>
            <w:tcW w:w="26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1,295,092</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8.98</w:t>
            </w:r>
          </w:p>
        </w:tc>
        <w:tc>
          <w:tcPr>
            <w:tcW w:w="2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-3659505</wp:posOffset>
            </wp:positionV>
            <wp:extent cx="7683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-3659505</wp:posOffset>
            </wp:positionV>
            <wp:extent cx="6858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-2982595</wp:posOffset>
            </wp:positionV>
            <wp:extent cx="7683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-1405255</wp:posOffset>
            </wp:positionV>
            <wp:extent cx="7683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-624840</wp:posOffset>
            </wp:positionV>
            <wp:extent cx="7683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-385445</wp:posOffset>
            </wp:positionV>
            <wp:extent cx="120840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8405" cy="1631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6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r>
      <w:tr>
        <w:trPr>
          <w:trHeight w:val="169"/>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non-controlled, non-affiliated investments: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22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21,022</w:t>
            </w:r>
          </w:p>
        </w:tc>
        <w:tc>
          <w:tcPr>
            <w:tcW w:w="240" w:type="dxa"/>
            <w:vAlign w:val="bottom"/>
            <w:shd w:val="clear" w:color="auto" w:fill="CCECFF"/>
          </w:tcPr>
          <w:p>
            <w:pPr>
              <w:spacing w:after="0"/>
              <w:rPr>
                <w:sz w:val="15"/>
                <w:szCs w:val="15"/>
                <w:color w:val="auto"/>
              </w:rPr>
            </w:pPr>
          </w:p>
        </w:tc>
        <w:tc>
          <w:tcPr>
            <w:tcW w:w="360" w:type="dxa"/>
            <w:vAlign w:val="bottom"/>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10,944</w:t>
            </w:r>
          </w:p>
        </w:tc>
        <w:tc>
          <w:tcPr>
            <w:tcW w:w="44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66,995</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46,018</w:t>
            </w:r>
          </w:p>
        </w:tc>
        <w:tc>
          <w:tcPr>
            <w:tcW w:w="100" w:type="dxa"/>
            <w:vAlign w:val="bottom"/>
            <w:shd w:val="clear" w:color="auto" w:fill="CCECFF"/>
          </w:tcPr>
          <w:p>
            <w:pPr>
              <w:spacing w:after="0"/>
              <w:rPr>
                <w:sz w:val="15"/>
                <w:szCs w:val="15"/>
                <w:color w:val="auto"/>
              </w:rPr>
            </w:pPr>
          </w:p>
        </w:tc>
      </w:tr>
      <w:tr>
        <w:trPr>
          <w:trHeight w:val="175"/>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Payment-in-kind</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4,505</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8,567</w:t>
            </w:r>
          </w:p>
        </w:tc>
        <w:tc>
          <w:tcPr>
            <w:tcW w:w="100" w:type="dxa"/>
            <w:vAlign w:val="bottom"/>
          </w:tcPr>
          <w:p>
            <w:pPr>
              <w:spacing w:after="0"/>
              <w:rPr>
                <w:sz w:val="15"/>
                <w:szCs w:val="15"/>
                <w:color w:val="auto"/>
              </w:rPr>
            </w:pPr>
          </w:p>
        </w:tc>
      </w:tr>
      <w:tr>
        <w:trPr>
          <w:trHeight w:val="176"/>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2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3,157</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8,461</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100" w:type="dxa"/>
            <w:vAlign w:val="bottom"/>
            <w:shd w:val="clear" w:color="auto" w:fill="CCECFF"/>
          </w:tcPr>
          <w:p>
            <w:pPr>
              <w:spacing w:after="0"/>
              <w:rPr>
                <w:sz w:val="15"/>
                <w:szCs w:val="15"/>
                <w:color w:val="auto"/>
              </w:rPr>
            </w:pPr>
          </w:p>
        </w:tc>
      </w:tr>
      <w:tr>
        <w:trPr>
          <w:trHeight w:val="175"/>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non-controlled, affiliated investments: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Payment-in-kind</w:t>
            </w: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2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shd w:val="clear" w:color="auto" w:fill="CCECFF"/>
          </w:tcPr>
          <w:p>
            <w:pPr>
              <w:spacing w:after="0"/>
              <w:rPr>
                <w:sz w:val="15"/>
                <w:szCs w:val="15"/>
                <w:color w:val="auto"/>
              </w:rPr>
            </w:pPr>
          </w:p>
        </w:tc>
      </w:tr>
      <w:tr>
        <w:trPr>
          <w:trHeight w:val="176"/>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controlled, affiliated investments: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3,283</w:t>
            </w:r>
          </w:p>
        </w:tc>
        <w:tc>
          <w:tcPr>
            <w:tcW w:w="2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3,092</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10,586</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9,825</w:t>
            </w:r>
          </w:p>
        </w:tc>
        <w:tc>
          <w:tcPr>
            <w:tcW w:w="100" w:type="dxa"/>
            <w:vAlign w:val="bottom"/>
            <w:shd w:val="clear" w:color="auto" w:fill="CCECFF"/>
          </w:tcPr>
          <w:p>
            <w:pPr>
              <w:spacing w:after="0"/>
              <w:rPr>
                <w:sz w:val="15"/>
                <w:szCs w:val="15"/>
                <w:color w:val="auto"/>
              </w:rPr>
            </w:pPr>
          </w:p>
        </w:tc>
      </w:tr>
      <w:tr>
        <w:trPr>
          <w:trHeight w:val="176"/>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Payment-in-kind</w:t>
            </w:r>
          </w:p>
        </w:tc>
        <w:tc>
          <w:tcPr>
            <w:tcW w:w="220" w:type="dxa"/>
            <w:vAlign w:val="bottom"/>
          </w:tcPr>
          <w:p>
            <w:pPr>
              <w:spacing w:after="0"/>
              <w:rPr>
                <w:sz w:val="15"/>
                <w:szCs w:val="15"/>
                <w:color w:val="auto"/>
              </w:rPr>
            </w:pPr>
          </w:p>
        </w:tc>
        <w:tc>
          <w:tcPr>
            <w:tcW w:w="10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3,983</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6,223</w:t>
            </w:r>
          </w:p>
        </w:tc>
        <w:tc>
          <w:tcPr>
            <w:tcW w:w="100" w:type="dxa"/>
            <w:vAlign w:val="bottom"/>
          </w:tcPr>
          <w:p>
            <w:pPr>
              <w:spacing w:after="0"/>
              <w:rPr>
                <w:sz w:val="15"/>
                <w:szCs w:val="15"/>
                <w:color w:val="auto"/>
              </w:rPr>
            </w:pPr>
          </w:p>
        </w:tc>
      </w:tr>
      <w:tr>
        <w:trPr>
          <w:trHeight w:val="175"/>
        </w:trPr>
        <w:tc>
          <w:tcPr>
            <w:tcW w:w="63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Dividend income</w:t>
            </w:r>
          </w:p>
        </w:tc>
        <w:tc>
          <w:tcPr>
            <w:tcW w:w="220" w:type="dxa"/>
            <w:vAlign w:val="bottom"/>
            <w:tcBorders>
              <w:bottom w:val="single" w:sz="8" w:color="auto"/>
            </w:tcBorders>
            <w:shd w:val="clear" w:color="auto" w:fill="CCECFF"/>
          </w:tcPr>
          <w:p>
            <w:pPr>
              <w:spacing w:after="0"/>
              <w:rPr>
                <w:sz w:val="15"/>
                <w:szCs w:val="15"/>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240" w:type="dxa"/>
            <w:vAlign w:val="bottom"/>
            <w:tcBorders>
              <w:bottom w:val="single" w:sz="8" w:color="CCECFF"/>
            </w:tcBorders>
            <w:shd w:val="clear" w:color="auto" w:fill="CCECFF"/>
          </w:tcPr>
          <w:p>
            <w:pPr>
              <w:spacing w:after="0"/>
              <w:rPr>
                <w:sz w:val="15"/>
                <w:szCs w:val="15"/>
                <w:color w:val="auto"/>
              </w:rPr>
            </w:pPr>
          </w:p>
        </w:tc>
        <w:tc>
          <w:tcPr>
            <w:tcW w:w="360" w:type="dxa"/>
            <w:vAlign w:val="bottom"/>
            <w:tcBorders>
              <w:bottom w:val="single" w:sz="8" w:color="auto"/>
            </w:tcBorders>
            <w:shd w:val="clear" w:color="auto" w:fill="CCECFF"/>
          </w:tcPr>
          <w:p>
            <w:pPr>
              <w:spacing w:after="0"/>
              <w:rPr>
                <w:sz w:val="15"/>
                <w:szCs w:val="15"/>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22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auto"/>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9,075</w:t>
            </w:r>
          </w:p>
        </w:tc>
        <w:tc>
          <w:tcPr>
            <w:tcW w:w="220" w:type="dxa"/>
            <w:vAlign w:val="bottom"/>
            <w:tcBorders>
              <w:bottom w:val="single" w:sz="8" w:color="CCECFF"/>
            </w:tcBorders>
            <w:shd w:val="clear" w:color="auto" w:fill="CCECFF"/>
          </w:tcPr>
          <w:p>
            <w:pPr>
              <w:spacing w:after="0"/>
              <w:rPr>
                <w:sz w:val="15"/>
                <w:szCs w:val="15"/>
                <w:color w:val="auto"/>
              </w:rPr>
            </w:pPr>
          </w:p>
        </w:tc>
        <w:tc>
          <w:tcPr>
            <w:tcW w:w="360" w:type="dxa"/>
            <w:vAlign w:val="bottom"/>
            <w:tcBorders>
              <w:bottom w:val="single" w:sz="8" w:color="auto"/>
            </w:tcBorders>
            <w:shd w:val="clear" w:color="auto" w:fill="CCECFF"/>
          </w:tcPr>
          <w:p>
            <w:pPr>
              <w:spacing w:after="0"/>
              <w:rPr>
                <w:sz w:val="15"/>
                <w:szCs w:val="15"/>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6,361</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28,931</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23,129</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104,966</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81,588</w:t>
            </w:r>
          </w:p>
        </w:tc>
        <w:tc>
          <w:tcPr>
            <w:tcW w:w="100" w:type="dxa"/>
            <w:vAlign w:val="bottom"/>
          </w:tcPr>
          <w:p>
            <w:pPr>
              <w:spacing w:after="0"/>
              <w:rPr>
                <w:sz w:val="14"/>
                <w:szCs w:val="14"/>
                <w:color w:val="auto"/>
              </w:rPr>
            </w:pPr>
          </w:p>
        </w:tc>
      </w:tr>
      <w:tr>
        <w:trPr>
          <w:trHeight w:val="169"/>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Base management fee</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4,850</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19,827</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17,335</w:t>
            </w:r>
          </w:p>
        </w:tc>
        <w:tc>
          <w:tcPr>
            <w:tcW w:w="100" w:type="dxa"/>
            <w:vAlign w:val="bottom"/>
          </w:tcPr>
          <w:p>
            <w:pPr>
              <w:spacing w:after="0"/>
              <w:rPr>
                <w:sz w:val="15"/>
                <w:szCs w:val="15"/>
                <w:color w:val="auto"/>
              </w:rPr>
            </w:pPr>
          </w:p>
        </w:tc>
      </w:tr>
      <w:tr>
        <w:trPr>
          <w:trHeight w:val="176"/>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Performance-based incentive fee</w:t>
            </w:r>
          </w:p>
        </w:tc>
        <w:tc>
          <w:tcPr>
            <w:tcW w:w="22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2,657</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shd w:val="clear" w:color="auto" w:fill="CCECFF"/>
          </w:tcPr>
          <w:p>
            <w:pPr>
              <w:spacing w:after="0"/>
              <w:rPr>
                <w:sz w:val="15"/>
                <w:szCs w:val="15"/>
                <w:color w:val="auto"/>
              </w:rPr>
            </w:pPr>
          </w:p>
        </w:tc>
      </w:tr>
      <w:tr>
        <w:trPr>
          <w:trHeight w:val="176"/>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and expenses on debt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8,638</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28,760</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22,507</w:t>
            </w:r>
          </w:p>
        </w:tc>
        <w:tc>
          <w:tcPr>
            <w:tcW w:w="100" w:type="dxa"/>
            <w:vAlign w:val="bottom"/>
          </w:tcPr>
          <w:p>
            <w:pPr>
              <w:spacing w:after="0"/>
              <w:rPr>
                <w:sz w:val="15"/>
                <w:szCs w:val="15"/>
                <w:color w:val="auto"/>
              </w:rPr>
            </w:pPr>
          </w:p>
        </w:tc>
      </w:tr>
      <w:tr>
        <w:trPr>
          <w:trHeight w:val="175"/>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100" w:type="dxa"/>
            <w:vAlign w:val="bottom"/>
            <w:shd w:val="clear" w:color="auto" w:fill="CCECFF"/>
          </w:tcPr>
          <w:p>
            <w:pPr>
              <w:spacing w:after="0"/>
              <w:rPr>
                <w:sz w:val="15"/>
                <w:szCs w:val="15"/>
                <w:color w:val="auto"/>
              </w:rPr>
            </w:pPr>
          </w:p>
        </w:tc>
      </w:tr>
      <w:tr>
        <w:trPr>
          <w:trHeight w:val="176"/>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2,892</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100" w:type="dxa"/>
            <w:vAlign w:val="bottom"/>
          </w:tcPr>
          <w:p>
            <w:pPr>
              <w:spacing w:after="0"/>
              <w:rPr>
                <w:sz w:val="15"/>
                <w:szCs w:val="15"/>
                <w:color w:val="auto"/>
              </w:rPr>
            </w:pPr>
          </w:p>
        </w:tc>
      </w:tr>
      <w:tr>
        <w:trPr>
          <w:trHeight w:val="169"/>
        </w:trPr>
        <w:tc>
          <w:tcPr>
            <w:tcW w:w="63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Expenses before provision for taxes</w:t>
            </w:r>
          </w:p>
        </w:tc>
        <w:tc>
          <w:tcPr>
            <w:tcW w:w="22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14,461</w:t>
            </w:r>
          </w:p>
        </w:tc>
        <w:tc>
          <w:tcPr>
            <w:tcW w:w="24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11,726</w:t>
            </w:r>
          </w:p>
        </w:tc>
        <w:tc>
          <w:tcPr>
            <w:tcW w:w="22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55,136</w:t>
            </w:r>
          </w:p>
        </w:tc>
        <w:tc>
          <w:tcPr>
            <w:tcW w:w="22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44,512</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taxes on net investment income</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4"/>
                <w:szCs w:val="14"/>
                <w:color w:val="auto"/>
              </w:rPr>
            </w:pPr>
          </w:p>
        </w:tc>
      </w:tr>
      <w:tr>
        <w:trPr>
          <w:trHeight w:val="176"/>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Credit facility amendment and debt issuance costs</w:t>
            </w: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5,087</w:t>
            </w:r>
          </w:p>
        </w:tc>
        <w:tc>
          <w:tcPr>
            <w:tcW w:w="2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5,087</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6380" w:type="dxa"/>
            <w:vAlign w:val="bottom"/>
            <w:tcBorders>
              <w:top w:val="single" w:sz="8" w:color="CCECFF"/>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Net expenses</w:t>
            </w: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19,748</w:t>
            </w:r>
          </w:p>
        </w:tc>
        <w:tc>
          <w:tcPr>
            <w:tcW w:w="240" w:type="dxa"/>
            <w:vAlign w:val="bottom"/>
            <w:tcBorders>
              <w:top w:val="single" w:sz="8" w:color="CCEC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11,876</w:t>
            </w:r>
          </w:p>
        </w:tc>
        <w:tc>
          <w:tcPr>
            <w:tcW w:w="220" w:type="dxa"/>
            <w:vAlign w:val="bottom"/>
            <w:tcBorders>
              <w:top w:val="single" w:sz="8" w:color="CCEC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61,023</w:t>
            </w:r>
          </w:p>
        </w:tc>
        <w:tc>
          <w:tcPr>
            <w:tcW w:w="220" w:type="dxa"/>
            <w:vAlign w:val="bottom"/>
            <w:tcBorders>
              <w:top w:val="single" w:sz="8" w:color="CCEC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45,112</w:t>
            </w:r>
          </w:p>
        </w:tc>
        <w:tc>
          <w:tcPr>
            <w:tcW w:w="100" w:type="dxa"/>
            <w:vAlign w:val="bottom"/>
            <w:tcBorders>
              <w:top w:val="single" w:sz="8" w:color="CCECFF"/>
            </w:tcBorders>
          </w:tcPr>
          <w:p>
            <w:pPr>
              <w:spacing w:after="0"/>
              <w:rPr>
                <w:sz w:val="14"/>
                <w:szCs w:val="14"/>
                <w:color w:val="auto"/>
              </w:rPr>
            </w:pPr>
          </w:p>
        </w:tc>
      </w:tr>
      <w:tr>
        <w:trPr>
          <w:trHeight w:val="169"/>
        </w:trPr>
        <w:tc>
          <w:tcPr>
            <w:tcW w:w="63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22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9,183</w:t>
            </w:r>
          </w:p>
        </w:tc>
        <w:tc>
          <w:tcPr>
            <w:tcW w:w="24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11,253</w:t>
            </w:r>
          </w:p>
        </w:tc>
        <w:tc>
          <w:tcPr>
            <w:tcW w:w="22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43,943</w:t>
            </w:r>
          </w:p>
        </w:tc>
        <w:tc>
          <w:tcPr>
            <w:tcW w:w="22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36,476</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unrealized gain (loss) on investments and debt: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 and debt:</w:t>
            </w: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5"/>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220" w:type="dxa"/>
            <w:vAlign w:val="bottom"/>
          </w:tcPr>
          <w:p>
            <w:pPr>
              <w:spacing w:after="0"/>
              <w:rPr>
                <w:sz w:val="15"/>
                <w:szCs w:val="15"/>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(38,585 )</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(31,382 )</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49,729</w:t>
            </w:r>
          </w:p>
        </w:tc>
        <w:tc>
          <w:tcPr>
            <w:tcW w:w="100" w:type="dxa"/>
            <w:vAlign w:val="bottom"/>
          </w:tcPr>
          <w:p>
            <w:pPr>
              <w:spacing w:after="0"/>
              <w:rPr>
                <w:sz w:val="15"/>
                <w:szCs w:val="15"/>
                <w:color w:val="auto"/>
              </w:rPr>
            </w:pPr>
          </w:p>
        </w:tc>
      </w:tr>
      <w:tr>
        <w:trPr>
          <w:trHeight w:val="176"/>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22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75,243</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7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(19,708 )</w:t>
            </w:r>
          </w:p>
        </w:tc>
      </w:tr>
      <w:tr>
        <w:trPr>
          <w:trHeight w:val="176"/>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extinguishment</w:t>
            </w:r>
          </w:p>
        </w:tc>
        <w:tc>
          <w:tcPr>
            <w:tcW w:w="220" w:type="dxa"/>
            <w:vAlign w:val="bottom"/>
          </w:tcPr>
          <w:p>
            <w:pPr>
              <w:spacing w:after="0"/>
              <w:rPr>
                <w:sz w:val="15"/>
                <w:szCs w:val="15"/>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(121 )</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(2,922 )</w:t>
            </w:r>
          </w:p>
        </w:tc>
        <w:tc>
          <w:tcPr>
            <w:tcW w:w="3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Provision for taxes on realized gain on investments</w:t>
            </w: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(6,183 )</w:t>
            </w:r>
          </w:p>
        </w:tc>
        <w:tc>
          <w:tcPr>
            <w:tcW w:w="360" w:type="dxa"/>
            <w:vAlign w:val="bottom"/>
            <w:shd w:val="clear" w:color="auto" w:fill="CCECFF"/>
          </w:tcPr>
          <w:p>
            <w:pPr>
              <w:spacing w:after="0"/>
              <w:rPr>
                <w:sz w:val="15"/>
                <w:szCs w:val="15"/>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38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realized gain (loss) on investments and debt</w:t>
            </w:r>
          </w:p>
        </w:tc>
        <w:tc>
          <w:tcPr>
            <w:tcW w:w="22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(38,706 )</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34,756</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30,021</w:t>
            </w:r>
          </w:p>
        </w:tc>
        <w:tc>
          <w:tcPr>
            <w:tcW w:w="100" w:type="dxa"/>
            <w:vAlign w:val="bottom"/>
          </w:tcPr>
          <w:p>
            <w:pPr>
              <w:spacing w:after="0"/>
              <w:rPr>
                <w:sz w:val="14"/>
                <w:szCs w:val="14"/>
                <w:color w:val="auto"/>
              </w:rPr>
            </w:pPr>
          </w:p>
        </w:tc>
      </w:tr>
      <w:tr>
        <w:trPr>
          <w:trHeight w:val="169"/>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w:t>
            </w:r>
          </w:p>
        </w:tc>
        <w:tc>
          <w:tcPr>
            <w:tcW w:w="220" w:type="dxa"/>
            <w:vAlign w:val="bottom"/>
            <w:tcBorders>
              <w:top w:val="single" w:sz="8" w:color="auto"/>
            </w:tcBorders>
            <w:shd w:val="clear" w:color="auto" w:fill="CCECFF"/>
          </w:tcPr>
          <w:p>
            <w:pPr>
              <w:spacing w:after="0"/>
              <w:rPr>
                <w:sz w:val="14"/>
                <w:szCs w:val="14"/>
                <w:color w:val="auto"/>
              </w:rPr>
            </w:pPr>
          </w:p>
        </w:tc>
        <w:tc>
          <w:tcPr>
            <w:tcW w:w="80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spacing w:after="0"/>
              <w:rPr>
                <w:sz w:val="14"/>
                <w:szCs w:val="14"/>
                <w:color w:val="auto"/>
              </w:rPr>
            </w:pPr>
          </w:p>
        </w:tc>
        <w:tc>
          <w:tcPr>
            <w:tcW w:w="68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spacing w:after="0"/>
              <w:rPr>
                <w:sz w:val="14"/>
                <w:szCs w:val="14"/>
                <w:color w:val="auto"/>
              </w:rPr>
            </w:pPr>
          </w:p>
        </w:tc>
        <w:tc>
          <w:tcPr>
            <w:tcW w:w="68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10,485</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(182,863 )</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50,130</w:t>
            </w:r>
          </w:p>
        </w:tc>
        <w:tc>
          <w:tcPr>
            <w:tcW w:w="100" w:type="dxa"/>
            <w:vAlign w:val="bottom"/>
          </w:tcPr>
          <w:p>
            <w:pPr>
              <w:spacing w:after="0"/>
              <w:rPr>
                <w:sz w:val="15"/>
                <w:szCs w:val="15"/>
                <w:color w:val="auto"/>
              </w:rPr>
            </w:pPr>
          </w:p>
        </w:tc>
      </w:tr>
      <w:tr>
        <w:trPr>
          <w:trHeight w:val="175"/>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22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(21,438 )</w:t>
            </w: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3,227</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72,819</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67,808</w:t>
            </w:r>
          </w:p>
        </w:tc>
        <w:tc>
          <w:tcPr>
            <w:tcW w:w="100" w:type="dxa"/>
            <w:vAlign w:val="bottom"/>
            <w:shd w:val="clear" w:color="auto" w:fill="CCECFF"/>
          </w:tcPr>
          <w:p>
            <w:pPr>
              <w:spacing w:after="0"/>
              <w:rPr>
                <w:sz w:val="15"/>
                <w:szCs w:val="15"/>
                <w:color w:val="auto"/>
              </w:rPr>
            </w:pPr>
          </w:p>
        </w:tc>
      </w:tr>
      <w:tr>
        <w:trPr>
          <w:trHeight w:val="175"/>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taxes on unrealized appreciation on investments</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7,231</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(896 )</w:t>
            </w:r>
          </w:p>
        </w:tc>
        <w:tc>
          <w:tcPr>
            <w:tcW w:w="3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Debt (appreciation) depreciation</w:t>
            </w:r>
          </w:p>
        </w:tc>
        <w:tc>
          <w:tcPr>
            <w:tcW w:w="22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(1,682 )</w:t>
            </w: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7,501</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7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(17,818 )</w:t>
            </w:r>
          </w:p>
        </w:tc>
      </w:tr>
      <w:tr>
        <w:trPr>
          <w:trHeight w:val="20"/>
        </w:trPr>
        <w:tc>
          <w:tcPr>
            <w:tcW w:w="638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 investments and debt</w:t>
            </w:r>
          </w:p>
        </w:tc>
        <w:tc>
          <w:tcPr>
            <w:tcW w:w="22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(5,404 )</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(103,439 )</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100,120</w:t>
            </w:r>
          </w:p>
        </w:tc>
        <w:tc>
          <w:tcPr>
            <w:tcW w:w="100" w:type="dxa"/>
            <w:vAlign w:val="bottom"/>
          </w:tcPr>
          <w:p>
            <w:pPr>
              <w:spacing w:after="0"/>
              <w:rPr>
                <w:sz w:val="14"/>
                <w:szCs w:val="14"/>
                <w:color w:val="auto"/>
              </w:rPr>
            </w:pPr>
          </w:p>
        </w:tc>
      </w:tr>
      <w:tr>
        <w:trPr>
          <w:trHeight w:val="169"/>
        </w:trPr>
        <w:tc>
          <w:tcPr>
            <w:tcW w:w="63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gain (loss) from investments and debt</w:t>
            </w: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(44,110</w:t>
            </w:r>
          </w:p>
        </w:tc>
        <w:tc>
          <w:tcPr>
            <w:tcW w:w="240" w:type="dxa"/>
            <w:vAlign w:val="bottom"/>
            <w:tcBorders>
              <w:bottom w:val="single" w:sz="8" w:color="CCECFF"/>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360" w:type="dxa"/>
            <w:vAlign w:val="bottom"/>
            <w:tcBorders>
              <w:top w:val="single" w:sz="8" w:color="auto"/>
              <w:bottom w:val="single" w:sz="8" w:color="auto"/>
            </w:tcBorders>
            <w:shd w:val="clear" w:color="auto" w:fill="CCECFF"/>
          </w:tcPr>
          <w:p>
            <w:pPr>
              <w:spacing w:after="0"/>
              <w:rPr>
                <w:sz w:val="14"/>
                <w:szCs w:val="14"/>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13,855</w:t>
            </w:r>
          </w:p>
        </w:tc>
        <w:tc>
          <w:tcPr>
            <w:tcW w:w="22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(68,683</w:t>
            </w:r>
          </w:p>
        </w:tc>
        <w:tc>
          <w:tcPr>
            <w:tcW w:w="220" w:type="dxa"/>
            <w:vAlign w:val="bottom"/>
            <w:tcBorders>
              <w:bottom w:val="single" w:sz="8" w:color="CCECFF"/>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CFF"/>
          </w:tcPr>
          <w:p>
            <w:pPr>
              <w:spacing w:after="0"/>
              <w:rPr>
                <w:sz w:val="14"/>
                <w:szCs w:val="14"/>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130,141</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3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220" w:type="dxa"/>
            <w:vAlign w:val="bottom"/>
          </w:tcPr>
          <w:p>
            <w:pPr>
              <w:spacing w:after="0"/>
              <w:rPr>
                <w:sz w:val="14"/>
                <w:szCs w:val="14"/>
                <w:color w:val="auto"/>
              </w:rPr>
            </w:pPr>
          </w:p>
        </w:tc>
        <w:tc>
          <w:tcPr>
            <w:tcW w:w="1040" w:type="dxa"/>
            <w:vAlign w:val="bottom"/>
            <w:gridSpan w:val="2"/>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(34,927 )</w:t>
            </w:r>
          </w:p>
        </w:tc>
        <w:tc>
          <w:tcPr>
            <w:tcW w:w="36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25,108</w:t>
            </w:r>
          </w:p>
        </w:tc>
        <w:tc>
          <w:tcPr>
            <w:tcW w:w="44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(24,740 )</w:t>
            </w:r>
          </w:p>
        </w:tc>
        <w:tc>
          <w:tcPr>
            <w:tcW w:w="36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166,617</w:t>
            </w:r>
          </w:p>
        </w:tc>
        <w:tc>
          <w:tcPr>
            <w:tcW w:w="100" w:type="dxa"/>
            <w:vAlign w:val="bottom"/>
          </w:tcPr>
          <w:p>
            <w:pPr>
              <w:spacing w:after="0"/>
              <w:rPr>
                <w:sz w:val="14"/>
                <w:szCs w:val="14"/>
                <w:color w:val="auto"/>
              </w:rPr>
            </w:pPr>
          </w:p>
        </w:tc>
      </w:tr>
      <w:tr>
        <w:trPr>
          <w:trHeight w:val="20"/>
        </w:trPr>
        <w:tc>
          <w:tcPr>
            <w:tcW w:w="6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8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 per common share</w:t>
            </w: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(0.52</w:t>
            </w:r>
          </w:p>
        </w:tc>
        <w:tc>
          <w:tcPr>
            <w:tcW w:w="240" w:type="dxa"/>
            <w:vAlign w:val="bottom"/>
            <w:tcBorders>
              <w:bottom w:val="single" w:sz="8" w:color="CCECFF"/>
            </w:tcBorders>
            <w:shd w:val="clear" w:color="auto" w:fill="CCECFF"/>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0.37</w:t>
            </w:r>
          </w:p>
        </w:tc>
        <w:tc>
          <w:tcPr>
            <w:tcW w:w="22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(0.37</w:t>
            </w:r>
          </w:p>
        </w:tc>
        <w:tc>
          <w:tcPr>
            <w:tcW w:w="220" w:type="dxa"/>
            <w:vAlign w:val="bottom"/>
            <w:tcBorders>
              <w:bottom w:val="single" w:sz="8" w:color="CCECFF"/>
            </w:tcBorders>
            <w:shd w:val="clear" w:color="auto" w:fill="CCEC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2.49</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156"/>
        </w:trPr>
        <w:tc>
          <w:tcPr>
            <w:tcW w:w="63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investment income per common share</w:t>
            </w:r>
          </w:p>
        </w:tc>
        <w:tc>
          <w:tcPr>
            <w:tcW w:w="2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0.14</w:t>
            </w:r>
          </w:p>
        </w:tc>
        <w:tc>
          <w:tcPr>
            <w:tcW w:w="240" w:type="dxa"/>
            <w:vAlign w:val="bottom"/>
          </w:tcPr>
          <w:p>
            <w:pPr>
              <w:spacing w:after="0"/>
              <w:rPr>
                <w:sz w:val="13"/>
                <w:szCs w:val="13"/>
                <w:color w:val="auto"/>
              </w:rPr>
            </w:pPr>
          </w:p>
        </w:tc>
        <w:tc>
          <w:tcPr>
            <w:tcW w:w="360" w:type="dxa"/>
            <w:vAlign w:val="bottom"/>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0.17</w:t>
            </w:r>
          </w:p>
        </w:tc>
        <w:tc>
          <w:tcPr>
            <w:tcW w:w="44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0.66</w:t>
            </w:r>
          </w:p>
        </w:tc>
        <w:tc>
          <w:tcPr>
            <w:tcW w:w="220" w:type="dxa"/>
            <w:vAlign w:val="bottom"/>
          </w:tcPr>
          <w:p>
            <w:pPr>
              <w:spacing w:after="0"/>
              <w:rPr>
                <w:sz w:val="13"/>
                <w:szCs w:val="13"/>
                <w:color w:val="auto"/>
              </w:rPr>
            </w:pPr>
          </w:p>
        </w:tc>
        <w:tc>
          <w:tcPr>
            <w:tcW w:w="36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0.54</w:t>
            </w:r>
          </w:p>
        </w:tc>
        <w:tc>
          <w:tcPr>
            <w:tcW w:w="100" w:type="dxa"/>
            <w:vAlign w:val="bottom"/>
          </w:tcPr>
          <w:p>
            <w:pPr>
              <w:spacing w:after="0"/>
              <w:rPr>
                <w:sz w:val="13"/>
                <w:szCs w:val="13"/>
                <w:color w:val="auto"/>
              </w:rPr>
            </w:pPr>
          </w:p>
        </w:tc>
      </w:tr>
      <w:tr>
        <w:trPr>
          <w:trHeight w:val="20"/>
        </w:trPr>
        <w:tc>
          <w:tcPr>
            <w:tcW w:w="6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-3411220</wp:posOffset>
            </wp:positionV>
            <wp:extent cx="7683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-3411220</wp:posOffset>
            </wp:positionV>
            <wp:extent cx="6858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-3411220</wp:posOffset>
            </wp:positionV>
            <wp:extent cx="6858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-2493645</wp:posOffset>
            </wp:positionV>
            <wp:extent cx="76835"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-2493645</wp:posOffset>
            </wp:positionV>
            <wp:extent cx="6858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-2493645</wp:posOffset>
            </wp:positionV>
            <wp:extent cx="6858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-2493645</wp:posOffset>
            </wp:positionV>
            <wp:extent cx="68580"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-2262505</wp:posOffset>
            </wp:positionV>
            <wp:extent cx="7683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-2262505</wp:posOffset>
            </wp:positionV>
            <wp:extent cx="6858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-2262505</wp:posOffset>
            </wp:positionV>
            <wp:extent cx="6858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-2022475</wp:posOffset>
            </wp:positionV>
            <wp:extent cx="76835"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-2022475</wp:posOffset>
            </wp:positionV>
            <wp:extent cx="6858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-2022475</wp:posOffset>
            </wp:positionV>
            <wp:extent cx="6858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-1345565</wp:posOffset>
            </wp:positionV>
            <wp:extent cx="7683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-1345565</wp:posOffset>
            </wp:positionV>
            <wp:extent cx="6858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-1345565</wp:posOffset>
            </wp:positionV>
            <wp:extent cx="6858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-1345565</wp:posOffset>
            </wp:positionV>
            <wp:extent cx="6858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-659765</wp:posOffset>
            </wp:positionV>
            <wp:extent cx="7683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-659765</wp:posOffset>
            </wp:positionV>
            <wp:extent cx="6858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-659765</wp:posOffset>
            </wp:positionV>
            <wp:extent cx="6858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-419735</wp:posOffset>
            </wp:positionV>
            <wp:extent cx="7683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-419735</wp:posOffset>
            </wp:positionV>
            <wp:extent cx="6858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-419735</wp:posOffset>
            </wp:positionV>
            <wp:extent cx="6858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-162560</wp:posOffset>
            </wp:positionV>
            <wp:extent cx="2442845"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42845" cy="16319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PENNANTPARK INVESTMENT CORPORATION</w:t>
      </w:r>
    </w:p>
    <w:p>
      <w:pPr>
        <w:spacing w:after="0" w:line="1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PENNANTPARK INVESTMENT ADVISERS, LLC</w:t>
      </w:r>
    </w:p>
    <w:p>
      <w:pPr>
        <w:spacing w:after="0" w:line="18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PennantPark Investment Advisers, LLC is a leading middle market credit platform, managing $6.4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Actual results may differ materially from those in the forward-looking statements as a result of a number of factors, including those described from time to time in filings with the SEC.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42" w:lineRule="exact"/>
        <w:rPr>
          <w:sz w:val="20"/>
          <w:szCs w:val="20"/>
          <w:color w:val="auto"/>
        </w:rPr>
      </w:pPr>
    </w:p>
    <w:p>
      <w:pPr>
        <w:jc w:val="both"/>
        <w:ind w:right="20" w:firstLine="749"/>
        <w:spacing w:after="0" w:line="250" w:lineRule="auto"/>
        <w:rPr>
          <w:sz w:val="20"/>
          <w:szCs w:val="20"/>
          <w:color w:val="auto"/>
        </w:rPr>
      </w:pPr>
      <w:r>
        <w:rPr>
          <w:rFonts w:ascii="Times New Roman" w:cs="Times New Roman" w:eastAsia="Times New Roman" w:hAnsi="Times New Roman"/>
          <w:sz w:val="18"/>
          <w:szCs w:val="18"/>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5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63"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Contact:</w:t>
        <w:tab/>
        <w:t>Richard T. Allorto, Jr.</w:t>
      </w:r>
    </w:p>
    <w:p>
      <w:pPr>
        <w:spacing w:after="0" w:line="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PennantPark Investment Corporation</w:t>
      </w:r>
    </w:p>
    <w:p>
      <w:pPr>
        <w:ind w:left="820" w:right="8760" w:hanging="2"/>
        <w:spacing w:after="0" w:line="271" w:lineRule="auto"/>
        <w:tabs>
          <w:tab w:leader="none" w:pos="12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905-1000 www.pennantpark.com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69215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1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1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tbl>
      <w:tblPr>
        <w:tblLayout w:type="fixed"/>
        <w:tblInd w:w="0" w:type="dxa"/>
        <w:tblCellMar>
          <w:top w:w="0" w:type="dxa"/>
          <w:left w:w="0" w:type="dxa"/>
          <w:bottom w:w="0" w:type="dxa"/>
          <w:right w:w="0" w:type="dxa"/>
        </w:tblCellMar>
      </w:tblPr>
      <w:tr>
        <w:trPr>
          <w:trHeight w:val="114"/>
        </w:trPr>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5"/>
              </w:rPr>
              <w:t>Basis Point</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5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Spread</w:t>
            </w:r>
          </w:p>
        </w:tc>
        <w:tc>
          <w:tcPr>
            <w:tcW w:w="200" w:type="dxa"/>
            <w:vAlign w:val="bottom"/>
          </w:tcPr>
          <w:p>
            <w:pPr>
              <w:spacing w:after="0"/>
              <w:rPr>
                <w:sz w:val="9"/>
                <w:szCs w:val="9"/>
                <w:color w:val="auto"/>
              </w:rPr>
            </w:pPr>
          </w:p>
        </w:tc>
        <w:tc>
          <w:tcPr>
            <w:tcW w:w="4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Above</w:t>
            </w:r>
          </w:p>
        </w:tc>
        <w:tc>
          <w:tcPr>
            <w:tcW w:w="2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4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88"/>
        </w:trPr>
        <w:tc>
          <w:tcPr>
            <w:tcW w:w="3780" w:type="dxa"/>
            <w:vAlign w:val="bottom"/>
            <w:tcBorders>
              <w:top w:val="single" w:sz="8" w:color="auto"/>
            </w:tcBorders>
            <w:shd w:val="clear" w:color="auto" w:fill="CCECFF"/>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Investments in Non-Controlled, Non-Affiliated Portfolio Companies—159.2% of</w:t>
            </w:r>
          </w:p>
        </w:tc>
        <w:tc>
          <w:tcPr>
            <w:tcW w:w="120" w:type="dxa"/>
            <w:vAlign w:val="bottom"/>
            <w:shd w:val="clear" w:color="auto" w:fill="CCECFF"/>
          </w:tcPr>
          <w:p>
            <w:pPr>
              <w:spacing w:after="0"/>
              <w:rPr>
                <w:sz w:val="7"/>
                <w:szCs w:val="7"/>
                <w:color w:val="auto"/>
              </w:rPr>
            </w:pPr>
          </w:p>
        </w:tc>
        <w:tc>
          <w:tcPr>
            <w:tcW w:w="840" w:type="dxa"/>
            <w:vAlign w:val="bottom"/>
            <w:tcBorders>
              <w:top w:val="single" w:sz="8" w:color="auto"/>
            </w:tcBorders>
            <w:shd w:val="clear" w:color="auto" w:fill="CCECFF"/>
          </w:tcPr>
          <w:p>
            <w:pPr>
              <w:spacing w:after="0"/>
              <w:rPr>
                <w:sz w:val="7"/>
                <w:szCs w:val="7"/>
                <w:color w:val="auto"/>
              </w:rPr>
            </w:pPr>
          </w:p>
        </w:tc>
        <w:tc>
          <w:tcPr>
            <w:tcW w:w="140" w:type="dxa"/>
            <w:vAlign w:val="bottom"/>
            <w:shd w:val="clear" w:color="auto" w:fill="CCECFF"/>
          </w:tcPr>
          <w:p>
            <w:pPr>
              <w:spacing w:after="0"/>
              <w:rPr>
                <w:sz w:val="7"/>
                <w:szCs w:val="7"/>
                <w:color w:val="auto"/>
              </w:rPr>
            </w:pPr>
          </w:p>
        </w:tc>
        <w:tc>
          <w:tcPr>
            <w:tcW w:w="2040" w:type="dxa"/>
            <w:vAlign w:val="bottom"/>
            <w:tcBorders>
              <w:top w:val="single" w:sz="8" w:color="auto"/>
            </w:tcBorders>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520" w:type="dxa"/>
            <w:vAlign w:val="bottom"/>
            <w:tcBorders>
              <w:top w:val="single" w:sz="8" w:color="auto"/>
            </w:tcBorders>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580" w:type="dxa"/>
            <w:vAlign w:val="bottom"/>
            <w:tcBorders>
              <w:top w:val="single" w:sz="8" w:color="auto"/>
            </w:tcBorders>
            <w:shd w:val="clear" w:color="auto" w:fill="CCECFF"/>
          </w:tcPr>
          <w:p>
            <w:pPr>
              <w:spacing w:after="0"/>
              <w:rPr>
                <w:sz w:val="7"/>
                <w:szCs w:val="7"/>
                <w:color w:val="auto"/>
              </w:rPr>
            </w:pPr>
          </w:p>
        </w:tc>
        <w:tc>
          <w:tcPr>
            <w:tcW w:w="200" w:type="dxa"/>
            <w:vAlign w:val="bottom"/>
            <w:shd w:val="clear" w:color="auto" w:fill="CCECFF"/>
          </w:tcPr>
          <w:p>
            <w:pPr>
              <w:spacing w:after="0"/>
              <w:rPr>
                <w:sz w:val="7"/>
                <w:szCs w:val="7"/>
                <w:color w:val="auto"/>
              </w:rPr>
            </w:pPr>
          </w:p>
        </w:tc>
        <w:tc>
          <w:tcPr>
            <w:tcW w:w="440" w:type="dxa"/>
            <w:vAlign w:val="bottom"/>
            <w:tcBorders>
              <w:top w:val="single" w:sz="8" w:color="auto"/>
            </w:tcBorders>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180" w:type="dxa"/>
            <w:vAlign w:val="bottom"/>
            <w:tcBorders>
              <w:top w:val="single" w:sz="8" w:color="auto"/>
            </w:tcBorders>
            <w:shd w:val="clear" w:color="auto" w:fill="CCECFF"/>
          </w:tcPr>
          <w:p>
            <w:pPr>
              <w:spacing w:after="0"/>
              <w:rPr>
                <w:sz w:val="7"/>
                <w:szCs w:val="7"/>
                <w:color w:val="auto"/>
              </w:rPr>
            </w:pPr>
          </w:p>
        </w:tc>
        <w:tc>
          <w:tcPr>
            <w:tcW w:w="660" w:type="dxa"/>
            <w:vAlign w:val="bottom"/>
            <w:tcBorders>
              <w:top w:val="single" w:sz="8" w:color="auto"/>
            </w:tcBorders>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100" w:type="dxa"/>
            <w:vAlign w:val="bottom"/>
            <w:tcBorders>
              <w:top w:val="single" w:sz="8" w:color="auto"/>
            </w:tcBorders>
            <w:shd w:val="clear" w:color="auto" w:fill="CCECFF"/>
          </w:tcPr>
          <w:p>
            <w:pPr>
              <w:spacing w:after="0"/>
              <w:rPr>
                <w:sz w:val="7"/>
                <w:szCs w:val="7"/>
                <w:color w:val="auto"/>
              </w:rPr>
            </w:pPr>
          </w:p>
        </w:tc>
        <w:tc>
          <w:tcPr>
            <w:tcW w:w="760" w:type="dxa"/>
            <w:vAlign w:val="bottom"/>
            <w:tcBorders>
              <w:top w:val="single" w:sz="8" w:color="auto"/>
            </w:tcBorders>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Net Assets </w:t>
            </w:r>
            <w:r>
              <w:rPr>
                <w:rFonts w:ascii="Times New Roman" w:cs="Times New Roman" w:eastAsia="Times New Roman" w:hAnsi="Times New Roman"/>
                <w:sz w:val="14"/>
                <w:szCs w:val="14"/>
                <w:b w:val="1"/>
                <w:bCs w:val="1"/>
                <w:color w:val="auto"/>
                <w:vertAlign w:val="superscript"/>
              </w:rPr>
              <w:t>(1), (2)</w:t>
            </w:r>
          </w:p>
        </w:tc>
        <w:tc>
          <w:tcPr>
            <w:tcW w:w="12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20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5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Debt—100.5% of Net Assets</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05/06/2026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4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Technologies, LLC (Revolver)</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07/24/2025</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11.67 %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07/24/2025</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12/21/2023</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7.79 %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3,329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Anteriad, LLC (f/k/a MeritDirect, LLC) (Revolver)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05/23/2024</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07/21/2027</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8.15 %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4,120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07/21/2027</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07/31/2025</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7.60 %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07/31/2025</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9.08 %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1,893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1,873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(Revolver)</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07/31/2025</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6.72 %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07/31/2025</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12/29/2026</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7.59 %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1,402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04/21/2023</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 (Revolver)</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12/29/2026</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10.25 %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P+475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12/29/2026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Arcfield Acquisition Corp. (Revolver) </w:t>
            </w:r>
            <w:r>
              <w:rPr>
                <w:rFonts w:ascii="Times New Roman" w:cs="Times New Roman" w:eastAsia="Times New Roman" w:hAnsi="Times New Roman"/>
                <w:sz w:val="14"/>
                <w:szCs w:val="14"/>
                <w:color w:val="auto"/>
                <w:vertAlign w:val="superscript"/>
              </w:rPr>
              <w:t>(7)</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03/07/2028</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2,263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(45 )</w:t>
            </w: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Berwick Industrial Park</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04/28/2023</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Buildings and Real Estate</w:t>
            </w:r>
          </w:p>
        </w:tc>
        <w:tc>
          <w:tcPr>
            <w:tcW w:w="8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11.00 %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3,953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3,934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07/01/2029</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7.56 %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SOFR+525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09/17/2024</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8.69 %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1,175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Blackhawk Industrial Distribution, Inc.</w:t>
            </w:r>
            <w:r>
              <w:rPr>
                <w:rFonts w:ascii="Times New Roman" w:cs="Times New Roman" w:eastAsia="Times New Roman" w:hAnsi="Times New Roman"/>
                <w:sz w:val="14"/>
                <w:szCs w:val="14"/>
                <w:color w:val="auto"/>
                <w:vertAlign w:val="superscript"/>
              </w:rPr>
              <w:t>(7)</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09/17/2024</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4,043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(51 )</w:t>
            </w: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 (Revolver)</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09/17/2024</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8.69 %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Blackhawk Industrial Distribution, Inc. (Revolver) </w:t>
            </w:r>
            <w:r>
              <w:rPr>
                <w:rFonts w:ascii="Times New Roman" w:cs="Times New Roman" w:eastAsia="Times New Roman" w:hAnsi="Times New Roman"/>
                <w:sz w:val="14"/>
                <w:szCs w:val="14"/>
                <w:color w:val="auto"/>
                <w:vertAlign w:val="superscript"/>
              </w:rPr>
              <w:t>(7)</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09/17/2024</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2,746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(77 )</w:t>
            </w: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12/02/2022</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8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7.39 %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10,096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10,096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10,096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05/13/2028</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9.55 %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39,401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38,644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Cartessa Aesthetics, LLC - (Revolver)</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05/13/2028</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9.55 %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Cartessa Aesthetics, LLC - (Revolver) </w:t>
            </w:r>
            <w:r>
              <w:rPr>
                <w:rFonts w:ascii="Times New Roman" w:cs="Times New Roman" w:eastAsia="Times New Roman" w:hAnsi="Times New Roman"/>
                <w:sz w:val="14"/>
                <w:szCs w:val="14"/>
                <w:color w:val="auto"/>
                <w:vertAlign w:val="superscript"/>
              </w:rPr>
              <w:t>(7)</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05/13/2028</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2,297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08/20/2026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9.30 %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6,720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6,630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6,619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CF512, Inc.(Revolver) </w:t>
            </w:r>
            <w:r>
              <w:rPr>
                <w:rFonts w:ascii="Times New Roman" w:cs="Times New Roman" w:eastAsia="Times New Roman" w:hAnsi="Times New Roman"/>
                <w:sz w:val="14"/>
                <w:szCs w:val="14"/>
                <w:color w:val="auto"/>
                <w:vertAlign w:val="superscript"/>
              </w:rPr>
              <w:t>(7)</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08/20/2026</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Compex Legal Services, Inc.</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02/09/2026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7.48 %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Compex Legal Services, Inc. (Revolver)</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02/07/2025</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8.92 %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02/07/2025</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01/13/2023</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3,158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(Revolver)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07/13/2027</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(46 )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08/16/2027</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8.40 %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2,606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Crane 1 Services, Inc. (Revolver)</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08/16/2027</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8.87 %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08/16/2027</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DermaRite Industries LLC</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06/30/2023</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8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10.67 %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8,755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8,734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7,030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Personal and Non-Durable Consumer</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08/31/2027</w:t>
            </w:r>
          </w:p>
        </w:tc>
        <w:tc>
          <w:tcPr>
            <w:tcW w:w="14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Products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9.17 %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12,930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12,742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78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 xml:space="preserve">Dr. Squatch, LLC </w:t>
            </w:r>
            <w:r>
              <w:rPr>
                <w:rFonts w:ascii="Times New Roman" w:cs="Times New Roman" w:eastAsia="Times New Roman" w:hAnsi="Times New Roman"/>
                <w:sz w:val="14"/>
                <w:szCs w:val="14"/>
                <w:color w:val="auto"/>
                <w:vertAlign w:val="superscript"/>
              </w:rPr>
              <w:t>(7)</w:t>
            </w: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2040" w:type="dxa"/>
            <w:vAlign w:val="bottom"/>
            <w:shd w:val="clear" w:color="auto" w:fill="CCECFF"/>
          </w:tcPr>
          <w:p>
            <w:pPr>
              <w:jc w:val="center"/>
              <w:spacing w:after="0" w:line="112" w:lineRule="exact"/>
              <w:rPr>
                <w:sz w:val="20"/>
                <w:szCs w:val="20"/>
                <w:color w:val="auto"/>
              </w:rPr>
            </w:pPr>
            <w:r>
              <w:rPr>
                <w:rFonts w:ascii="Times New Roman" w:cs="Times New Roman" w:eastAsia="Times New Roman" w:hAnsi="Times New Roman"/>
                <w:sz w:val="11"/>
                <w:szCs w:val="11"/>
                <w:color w:val="auto"/>
                <w:w w:val="97"/>
              </w:rPr>
              <w:t>Personal and Non-Durable Consumer</w:t>
            </w:r>
          </w:p>
        </w:tc>
        <w:tc>
          <w:tcPr>
            <w:tcW w:w="1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780" w:type="dxa"/>
            <w:vAlign w:val="bottom"/>
            <w:vMerge w:val="continue"/>
            <w:shd w:val="clear" w:color="auto" w:fill="CCECFF"/>
          </w:tcPr>
          <w:p>
            <w:pPr>
              <w:spacing w:after="0"/>
              <w:rPr>
                <w:sz w:val="12"/>
                <w:szCs w:val="12"/>
                <w:color w:val="auto"/>
              </w:rPr>
            </w:pP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08/27/2026</w:t>
            </w:r>
          </w:p>
        </w:tc>
        <w:tc>
          <w:tcPr>
            <w:tcW w:w="140" w:type="dxa"/>
            <w:vAlign w:val="bottom"/>
            <w:shd w:val="clear" w:color="auto" w:fill="CCECFF"/>
          </w:tcPr>
          <w:p>
            <w:pPr>
              <w:spacing w:after="0"/>
              <w:rPr>
                <w:sz w:val="12"/>
                <w:szCs w:val="12"/>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3"/>
              </w:rPr>
              <w:t>Products</w:t>
            </w:r>
          </w:p>
        </w:tc>
        <w:tc>
          <w:tcPr>
            <w:tcW w:w="12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(10 )</w:t>
            </w:r>
          </w:p>
        </w:tc>
        <w:tc>
          <w:tcPr>
            <w:tcW w:w="0" w:type="dxa"/>
            <w:vAlign w:val="bottom"/>
          </w:tcPr>
          <w:p>
            <w:pPr>
              <w:spacing w:after="0"/>
              <w:rPr>
                <w:sz w:val="1"/>
                <w:szCs w:val="1"/>
                <w:color w:val="auto"/>
              </w:rPr>
            </w:pPr>
          </w:p>
        </w:tc>
      </w:tr>
      <w:tr>
        <w:trPr>
          <w:trHeight w:val="108"/>
        </w:trPr>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Personal and Non-Durable Consumer</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 (Revolver)</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08/31/2027</w:t>
            </w:r>
          </w:p>
        </w:tc>
        <w:tc>
          <w:tcPr>
            <w:tcW w:w="14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Products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8.95 %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78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w:t>
            </w: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2040" w:type="dxa"/>
            <w:vAlign w:val="bottom"/>
            <w:shd w:val="clear" w:color="auto" w:fill="CCECFF"/>
          </w:tcPr>
          <w:p>
            <w:pPr>
              <w:jc w:val="center"/>
              <w:spacing w:after="0" w:line="112" w:lineRule="exact"/>
              <w:rPr>
                <w:sz w:val="20"/>
                <w:szCs w:val="20"/>
                <w:color w:val="auto"/>
              </w:rPr>
            </w:pPr>
            <w:r>
              <w:rPr>
                <w:rFonts w:ascii="Times New Roman" w:cs="Times New Roman" w:eastAsia="Times New Roman" w:hAnsi="Times New Roman"/>
                <w:sz w:val="11"/>
                <w:szCs w:val="11"/>
                <w:color w:val="auto"/>
                <w:w w:val="97"/>
              </w:rPr>
              <w:t>Personal and Non-Durable Consumer</w:t>
            </w:r>
          </w:p>
        </w:tc>
        <w:tc>
          <w:tcPr>
            <w:tcW w:w="1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780" w:type="dxa"/>
            <w:vAlign w:val="bottom"/>
            <w:vMerge w:val="continue"/>
            <w:shd w:val="clear" w:color="auto" w:fill="CCECFF"/>
          </w:tcPr>
          <w:p>
            <w:pPr>
              <w:spacing w:after="0"/>
              <w:rPr>
                <w:sz w:val="12"/>
                <w:szCs w:val="12"/>
                <w:color w:val="auto"/>
              </w:rPr>
            </w:pP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08/31/2027</w:t>
            </w:r>
          </w:p>
        </w:tc>
        <w:tc>
          <w:tcPr>
            <w:tcW w:w="140" w:type="dxa"/>
            <w:vAlign w:val="bottom"/>
            <w:shd w:val="clear" w:color="auto" w:fill="CCECFF"/>
          </w:tcPr>
          <w:p>
            <w:pPr>
              <w:spacing w:after="0"/>
              <w:rPr>
                <w:sz w:val="12"/>
                <w:szCs w:val="12"/>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3"/>
              </w:rPr>
              <w:t>Products</w:t>
            </w:r>
          </w:p>
        </w:tc>
        <w:tc>
          <w:tcPr>
            <w:tcW w:w="12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14"/>
                <w:szCs w:val="14"/>
                <w:color w:val="auto"/>
                <w:vertAlign w:val="superscript"/>
              </w:rPr>
              <w:t>(7)</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11/03/2025</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(57 )</w:t>
            </w: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05/01/2028</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8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10.62 %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19,156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19,019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18,869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ECM Industries, LLC (Revolver)</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12/23/2025</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7.93 %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ECM Industries, LLC (Revolver)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12/23/2025</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03/15/2027</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8.87 %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24,532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Exigo Intermediate II, LLC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03/15/2024</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7,424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(111 )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Exigo Intermediate II, LLC (Revolver)</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03/15/2027</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8.87 %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Exigo Intermediate II, LLC (Revolver)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03/15/2027</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06/17/2028</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7.00 %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05/14/2026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9.37 %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16,809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16,548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16,305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Gantech Acquisition Corp. (Revolver)</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05/14/2026</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9.37 %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05/14/2026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(56 )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w:t>
            </w:r>
            <w:r>
              <w:rPr>
                <w:rFonts w:ascii="Times New Roman" w:cs="Times New Roman" w:eastAsia="Times New Roman" w:hAnsi="Times New Roman"/>
                <w:sz w:val="14"/>
                <w:szCs w:val="14"/>
                <w:color w:val="auto"/>
                <w:vertAlign w:val="superscript"/>
              </w:rPr>
              <w:t>(7)</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08/10/2023</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Graffiti Buyer, Inc. (Revolver)</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08/10/2027</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9.16 %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08/10/2027</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Hancock Roofing and Construction L.L.C.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12/31/2022</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12/31/2026</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7.82 %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12/31/2026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11/23/2028</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10.17 %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Holdco Sands Intermediate, LLC (Revolver)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300"/>
              <w:spacing w:after="0"/>
              <w:rPr>
                <w:sz w:val="20"/>
                <w:szCs w:val="20"/>
                <w:color w:val="auto"/>
              </w:rPr>
            </w:pPr>
            <w:r>
              <w:rPr>
                <w:rFonts w:ascii="Times New Roman" w:cs="Times New Roman" w:eastAsia="Times New Roman" w:hAnsi="Times New Roman"/>
                <w:sz w:val="11"/>
                <w:szCs w:val="11"/>
                <w:color w:val="auto"/>
              </w:rPr>
              <w:t>11/23/2027</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3,941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(79 )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12/17/2026</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9.67 %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HV Watterson Holdings, LLC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12/17/2026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2,219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(61 )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HV Watterson Holdings, LLC - (Revolver)</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12/17/2026</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9.63 %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HV Watterson Holdings, LLC - (Revolver)</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12/17/2026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(37 )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12/10/2024</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6.00 %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10,188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10,077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HW Holdco, LLC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12/10/2024</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3,049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12/10/2024</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3,387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(42 )</w:t>
            </w: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Icon Partners III, LP</w:t>
            </w:r>
          </w:p>
        </w:tc>
        <w:tc>
          <w:tcPr>
            <w:tcW w:w="960" w:type="dxa"/>
            <w:vAlign w:val="bottom"/>
            <w:gridSpan w:val="2"/>
            <w:shd w:val="clear" w:color="auto" w:fill="CCECFF"/>
          </w:tcPr>
          <w:p>
            <w:pPr>
              <w:ind w:left="300"/>
              <w:spacing w:after="0"/>
              <w:rPr>
                <w:sz w:val="20"/>
                <w:szCs w:val="20"/>
                <w:color w:val="auto"/>
              </w:rPr>
            </w:pPr>
            <w:r>
              <w:rPr>
                <w:rFonts w:ascii="Times New Roman" w:cs="Times New Roman" w:eastAsia="Times New Roman" w:hAnsi="Times New Roman"/>
                <w:sz w:val="11"/>
                <w:szCs w:val="11"/>
                <w:color w:val="auto"/>
              </w:rPr>
              <w:t>05/11/2028</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8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7.55 %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12/30/2026</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10.70 %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3,685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IDC Infusion Services, Inc. (Revolver)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12/30/2026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(187 )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09/22/2027</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Imagine Acquisitionco, LLC </w:t>
            </w:r>
            <w:r>
              <w:rPr>
                <w:rFonts w:ascii="Times New Roman" w:cs="Times New Roman" w:eastAsia="Times New Roman" w:hAnsi="Times New Roman"/>
                <w:sz w:val="14"/>
                <w:szCs w:val="14"/>
                <w:color w:val="auto"/>
                <w:vertAlign w:val="superscript"/>
              </w:rPr>
              <w:t>(7)</w:t>
            </w:r>
          </w:p>
        </w:tc>
        <w:tc>
          <w:tcPr>
            <w:tcW w:w="960" w:type="dxa"/>
            <w:vAlign w:val="bottom"/>
            <w:gridSpan w:val="2"/>
            <w:shd w:val="clear" w:color="auto" w:fill="CCECFF"/>
          </w:tcPr>
          <w:p>
            <w:pPr>
              <w:ind w:left="300"/>
              <w:spacing w:after="0"/>
              <w:rPr>
                <w:sz w:val="20"/>
                <w:szCs w:val="20"/>
                <w:color w:val="auto"/>
              </w:rPr>
            </w:pPr>
            <w:r>
              <w:rPr>
                <w:rFonts w:ascii="Times New Roman" w:cs="Times New Roman" w:eastAsia="Times New Roman" w:hAnsi="Times New Roman"/>
                <w:sz w:val="11"/>
                <w:szCs w:val="11"/>
                <w:color w:val="auto"/>
              </w:rPr>
              <w:t>11/15/2027</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2,341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(35 )</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Imagine Acquisitionco, LLC (Revolver) </w:t>
            </w:r>
            <w:r>
              <w:rPr>
                <w:rFonts w:ascii="Times New Roman" w:cs="Times New Roman" w:eastAsia="Times New Roman" w:hAnsi="Times New Roman"/>
                <w:sz w:val="14"/>
                <w:szCs w:val="14"/>
                <w:color w:val="auto"/>
                <w:vertAlign w:val="superscript"/>
              </w:rPr>
              <w:t>(7)</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11/15/2027</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1,685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(42 )</w:t>
            </w:r>
          </w:p>
        </w:tc>
        <w:tc>
          <w:tcPr>
            <w:tcW w:w="0" w:type="dxa"/>
            <w:vAlign w:val="bottom"/>
          </w:tcPr>
          <w:p>
            <w:pPr>
              <w:spacing w:after="0"/>
              <w:rPr>
                <w:sz w:val="1"/>
                <w:szCs w:val="1"/>
                <w:color w:val="auto"/>
              </w:rPr>
            </w:pPr>
          </w:p>
        </w:tc>
      </w:tr>
      <w:tr>
        <w:trPr>
          <w:trHeight w:val="135"/>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96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12/07/2023</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10.18 %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L+715</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20,506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20,239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20,301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54"/>
        </w:trPr>
        <w:tc>
          <w:tcPr>
            <w:tcW w:w="3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1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1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tbl>
      <w:tblPr>
        <w:tblLayout w:type="fixed"/>
        <w:tblInd w:w="0" w:type="dxa"/>
        <w:tblCellMar>
          <w:top w:w="0" w:type="dxa"/>
          <w:left w:w="0" w:type="dxa"/>
          <w:bottom w:w="0" w:type="dxa"/>
          <w:right w:w="0" w:type="dxa"/>
        </w:tblCellMar>
      </w:tblPr>
      <w:tr>
        <w:trPr>
          <w:trHeight w:val="114"/>
        </w:trPr>
        <w:tc>
          <w:tcPr>
            <w:tcW w:w="3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5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20" w:type="dxa"/>
            <w:vAlign w:val="bottom"/>
          </w:tcPr>
          <w:p>
            <w:pPr>
              <w:spacing w:after="0"/>
              <w:rPr>
                <w:sz w:val="9"/>
                <w:szCs w:val="9"/>
                <w:color w:val="auto"/>
              </w:rPr>
            </w:pPr>
          </w:p>
        </w:tc>
        <w:tc>
          <w:tcPr>
            <w:tcW w:w="4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Above</w:t>
            </w:r>
          </w:p>
        </w:tc>
        <w:tc>
          <w:tcPr>
            <w:tcW w:w="2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4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2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29"/>
        </w:trPr>
        <w:tc>
          <w:tcPr>
            <w:tcW w:w="3880" w:type="dxa"/>
            <w:vAlign w:val="bottom"/>
            <w:tcBorders>
              <w:top w:val="single" w:sz="8" w:color="auto"/>
            </w:tcBorders>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color w:val="auto"/>
              </w:rPr>
              <w:t xml:space="preserve">Infolinks Media Buyco, LLC </w:t>
            </w:r>
            <w:r>
              <w:rPr>
                <w:rFonts w:ascii="Times New Roman" w:cs="Times New Roman" w:eastAsia="Times New Roman" w:hAnsi="Times New Roman"/>
                <w:sz w:val="14"/>
                <w:szCs w:val="14"/>
                <w:color w:val="auto"/>
                <w:vertAlign w:val="superscript"/>
              </w:rPr>
              <w:t>(7)</w:t>
            </w:r>
          </w:p>
        </w:tc>
        <w:tc>
          <w:tcPr>
            <w:tcW w:w="120" w:type="dxa"/>
            <w:vAlign w:val="bottom"/>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11/01/2023</w:t>
            </w:r>
          </w:p>
        </w:tc>
        <w:tc>
          <w:tcPr>
            <w:tcW w:w="140" w:type="dxa"/>
            <w:vAlign w:val="bottom"/>
            <w:shd w:val="clear" w:color="auto" w:fill="CCECFF"/>
          </w:tcPr>
          <w:p>
            <w:pPr>
              <w:spacing w:after="0"/>
              <w:rPr>
                <w:sz w:val="11"/>
                <w:szCs w:val="11"/>
                <w:color w:val="auto"/>
              </w:rPr>
            </w:pPr>
          </w:p>
        </w:tc>
        <w:tc>
          <w:tcPr>
            <w:tcW w:w="204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2,372</w:t>
            </w:r>
          </w:p>
        </w:tc>
        <w:tc>
          <w:tcPr>
            <w:tcW w:w="200" w:type="dxa"/>
            <w:vAlign w:val="bottom"/>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08/27/2025</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7.83 %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9,930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9,876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ITI Holdings, Inc.</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03/03/2028</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8.67 %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8,927</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8,784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8,749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ITI Holdings, Inc. (Revolver)</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03/03/2028</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8.25 %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ITI Holdings, Inc.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03/03/2028</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1,192</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12/20/2023</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11.12 %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11,678</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12/20/2023</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1,938</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11/10/2027</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24,341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Kinetic Purchaser, LLC (Revolver)</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11/10/2026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02/18/2027</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11.78 %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2,828</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Lash OpCo, LLC (Revolver)</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08/16/2026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9.38 %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568</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08/16/2026</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1,252</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08"/>
        </w:trPr>
        <w:tc>
          <w:tcPr>
            <w:tcW w:w="388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204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Leisure, Amusement, Motion Pictures,</w:t>
            </w:r>
          </w:p>
        </w:tc>
        <w:tc>
          <w:tcPr>
            <w:tcW w:w="1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10/31/2024</w:t>
            </w:r>
          </w:p>
        </w:tc>
        <w:tc>
          <w:tcPr>
            <w:tcW w:w="140" w:type="dxa"/>
            <w:vAlign w:val="bottom"/>
            <w:shd w:val="clear" w:color="auto" w:fill="CCECFF"/>
          </w:tcPr>
          <w:p>
            <w:pPr>
              <w:spacing w:after="0"/>
              <w:rPr>
                <w:sz w:val="12"/>
                <w:szCs w:val="12"/>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Entertainment</w:t>
            </w:r>
          </w:p>
        </w:tc>
        <w:tc>
          <w:tcPr>
            <w:tcW w:w="8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9.95 %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2,061</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1"/>
                <w:szCs w:val="11"/>
                <w:color w:val="auto"/>
              </w:rPr>
              <w:t>(PIK</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Ledge Lounger, Inc.</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11/09/2026</w:t>
            </w:r>
          </w:p>
        </w:tc>
        <w:tc>
          <w:tcPr>
            <w:tcW w:w="140" w:type="dxa"/>
            <w:vAlign w:val="bottom"/>
            <w:shd w:val="clear" w:color="auto" w:fill="CCECFF"/>
          </w:tcPr>
          <w:p>
            <w:pPr>
              <w:spacing w:after="0"/>
              <w:rPr>
                <w:sz w:val="12"/>
                <w:szCs w:val="12"/>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9.92 %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9,177</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9,021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9,040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Ledge Lounger, Inc.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11/09/2026</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1,933</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(29 )</w:t>
            </w: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02/03/2026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2,220</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2,205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Lightspeed Buyer Inc. (Revolver)</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02/03/2026</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02/03/2026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Limerick Town Cener, LLC</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09/27/2023</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Real Estate</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12.50 %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LSF9 Atlantis Holdings, LLC</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03/31/2029</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8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9.37 %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SOFR+725</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6,000</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5,772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5,685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Mars Acquisition Holdings Corp. (Revolver)</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05/14/2026</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806</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MBS Holdings, Inc.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04/16/2027</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694</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MDI Buyer, Inc.</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07/25/2028</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8.98 %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14,400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14,117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MDI Buyer, Inc. Term Loan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07/25/2028</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5,196</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(52 )</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MDI Buyer, Inc.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07/25/2028</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2,227</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12/10/2027</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9.17 %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1,320</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Acquirer, LLC Term Loan I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12/10/2027</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1,676</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Acquirer, LLC Term Loan II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12/10/2027</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8,922</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Acquirer, LLC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12/10/2027</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1,685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09/28/2027</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8.67 %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703</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09/28/2027</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(56 )</w:t>
            </w: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 (Revolver)</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09/28/2027</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09/28/2027</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1,598</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(93 )</w:t>
            </w: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NBH Group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08/19/2026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1,163</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Neptune Flood Incorporated</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10/14/2026</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7.10 %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4,379</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OIS Management Services,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07/09/2026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05/07/2027</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Cargo Transport</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8.77 %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7,008</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6,889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ORL Acquisition, Inc.</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09/03/2027</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8.92 %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4,454</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4,378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4,454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Acquisition, Inc.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09/03/2027</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597</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05/18/2026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8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9.81 %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15,391</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15,189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15,083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 (Revolver)</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05/18/2026</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9.81 %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1,774</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05/18/2026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PL Acquisitionco, LLC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11/09/2027</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3,236</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(81 )</w:t>
            </w: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PRA Events, Inc.</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08/07/2025</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14.17 %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L+1,050</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24,907</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21,694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24,907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1"/>
                <w:szCs w:val="11"/>
                <w:color w:val="auto"/>
              </w:rPr>
              <w:t>(PIK</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8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1"/>
                <w:szCs w:val="11"/>
                <w:color w:val="auto"/>
              </w:rPr>
              <w:t xml:space="preserve">PRA Events, Inc.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08/07/2025</w:t>
            </w:r>
          </w:p>
        </w:tc>
        <w:tc>
          <w:tcPr>
            <w:tcW w:w="140" w:type="dxa"/>
            <w:vAlign w:val="bottom"/>
            <w:shd w:val="clear" w:color="auto" w:fill="CCECFF"/>
          </w:tcPr>
          <w:p>
            <w:pPr>
              <w:spacing w:after="0"/>
              <w:rPr>
                <w:sz w:val="12"/>
                <w:szCs w:val="12"/>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L+1,050</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Pragmatic Institute, LLC</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07/06/2028</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9.30 %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35,340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34,826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Pragmatic Institute, LLC Term Loan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07/06/2028</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7,193</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Pragmatic Institute, LL (Revolver)</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07/06/2028</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9.30 %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959</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Pragmatic Institute, LL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07/06/2028</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3,836</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(38 )</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11/19/2026</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679</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 (Revolver)</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11/19/2026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9.51 %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11/19/2026</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Questex, LLC</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09/09/2024</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7.45 %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21,600</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21,436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21,168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09/09/2024</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3,590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(72 )</w:t>
            </w: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Radius Aerospace, Inc. (Revolver)</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03/31/2025</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8.28 %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Radius Aerospace, Inc.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03/31/2025</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1,336</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Rancho Health MSO, Inc.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12/18/2025</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12/18/2025</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02/28/2028</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Transportation</w:t>
            </w:r>
          </w:p>
        </w:tc>
        <w:tc>
          <w:tcPr>
            <w:tcW w:w="8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9.13 %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5,970</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5,885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5,701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 (Revolver)</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01/29/2026</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9.92 %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01/29/2026</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814</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(28 )</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Now Group, Inc. and Dynata, LLC</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12/20/2024</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8.84 %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06/20/2025</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03/10/2025</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8.97 %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12,906</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12,705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01/03/2025</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 (Revolver)</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12/20/2024</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8.28 %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593</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12/20/2024</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07/14/2025</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11.11 %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4,689</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4,636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Schlesinger Global, Inc. (Revolver)</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07/14/2025</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9.09 %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1"/>
                <w:szCs w:val="11"/>
                <w:color w:val="auto"/>
              </w:rPr>
              <w:t>(PIK</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8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1"/>
                <w:szCs w:val="11"/>
                <w:color w:val="auto"/>
              </w:rPr>
              <w:t>Schlesinger Global, Inc. (Revolver)</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07/14/2025</w:t>
            </w:r>
          </w:p>
        </w:tc>
        <w:tc>
          <w:tcPr>
            <w:tcW w:w="140" w:type="dxa"/>
            <w:vAlign w:val="bottom"/>
            <w:shd w:val="clear" w:color="auto" w:fill="CCECFF"/>
          </w:tcPr>
          <w:p>
            <w:pPr>
              <w:spacing w:after="0"/>
              <w:rPr>
                <w:sz w:val="12"/>
                <w:szCs w:val="12"/>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Seaway Buyer, LLC</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06/13/2029</w:t>
            </w:r>
          </w:p>
        </w:tc>
        <w:tc>
          <w:tcPr>
            <w:tcW w:w="14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9.70 %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4,800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Seaway Buyer, LLC (Revolver)</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06/13/2029</w:t>
            </w:r>
          </w:p>
        </w:tc>
        <w:tc>
          <w:tcPr>
            <w:tcW w:w="140" w:type="dxa"/>
            <w:vAlign w:val="bottom"/>
            <w:shd w:val="clear" w:color="auto" w:fill="CCECFF"/>
          </w:tcPr>
          <w:p>
            <w:pPr>
              <w:spacing w:after="0"/>
              <w:rPr>
                <w:sz w:val="11"/>
                <w:szCs w:val="11"/>
                <w:color w:val="auto"/>
              </w:rPr>
            </w:pP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3,126</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40"/>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Shiftkey, LLC</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06/21/2027</w:t>
            </w:r>
          </w:p>
        </w:tc>
        <w:tc>
          <w:tcPr>
            <w:tcW w:w="14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9.56 %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17,955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17,784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6"/>
        </w:trPr>
        <w:tc>
          <w:tcPr>
            <w:tcW w:w="3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1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1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tbl>
      <w:tblPr>
        <w:tblLayout w:type="fixed"/>
        <w:tblInd w:w="0" w:type="dxa"/>
        <w:tblCellMar>
          <w:top w:w="0" w:type="dxa"/>
          <w:left w:w="0" w:type="dxa"/>
          <w:bottom w:w="0" w:type="dxa"/>
          <w:right w:w="0" w:type="dxa"/>
        </w:tblCellMar>
      </w:tblPr>
      <w:tr>
        <w:trPr>
          <w:trHeight w:val="114"/>
        </w:trPr>
        <w:tc>
          <w:tcPr>
            <w:tcW w:w="3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7"/>
              </w:rPr>
              <w:t>Basis</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Point</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5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Spread</w:t>
            </w:r>
          </w:p>
        </w:tc>
        <w:tc>
          <w:tcPr>
            <w:tcW w:w="200" w:type="dxa"/>
            <w:vAlign w:val="bottom"/>
          </w:tcPr>
          <w:p>
            <w:pPr>
              <w:spacing w:after="0"/>
              <w:rPr>
                <w:sz w:val="9"/>
                <w:szCs w:val="9"/>
                <w:color w:val="auto"/>
              </w:rPr>
            </w:pPr>
          </w:p>
        </w:tc>
        <w:tc>
          <w:tcPr>
            <w:tcW w:w="5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Above</w:t>
            </w: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72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 xml:space="preserve">Index </w:t>
            </w:r>
            <w:r>
              <w:rPr>
                <w:rFonts w:ascii="Times New Roman" w:cs="Times New Roman" w:eastAsia="Times New Roman" w:hAnsi="Times New Roman"/>
                <w:sz w:val="14"/>
                <w:szCs w:val="14"/>
                <w:b w:val="1"/>
                <w:bCs w:val="1"/>
                <w:color w:val="auto"/>
                <w:vertAlign w:val="superscript"/>
              </w:rPr>
              <w:t>(4)</w:t>
            </w:r>
          </w:p>
        </w:tc>
        <w:tc>
          <w:tcPr>
            <w:tcW w:w="200" w:type="dxa"/>
            <w:vAlign w:val="bottom"/>
          </w:tcPr>
          <w:p>
            <w:pPr>
              <w:spacing w:after="0"/>
              <w:rPr>
                <w:sz w:val="14"/>
                <w:szCs w:val="14"/>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(3)</w:t>
            </w:r>
          </w:p>
        </w:tc>
        <w:tc>
          <w:tcPr>
            <w:tcW w:w="0" w:type="dxa"/>
            <w:vAlign w:val="bottom"/>
          </w:tcPr>
          <w:p>
            <w:pPr>
              <w:spacing w:after="0"/>
              <w:rPr>
                <w:sz w:val="1"/>
                <w:szCs w:val="1"/>
                <w:color w:val="auto"/>
              </w:rPr>
            </w:pPr>
          </w:p>
        </w:tc>
      </w:tr>
      <w:tr>
        <w:trPr>
          <w:trHeight w:val="128"/>
        </w:trPr>
        <w:tc>
          <w:tcPr>
            <w:tcW w:w="39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140" w:type="dxa"/>
            <w:vAlign w:val="bottom"/>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ind w:left="40"/>
              <w:spacing w:after="0"/>
              <w:rPr>
                <w:sz w:val="20"/>
                <w:szCs w:val="20"/>
                <w:color w:val="auto"/>
              </w:rPr>
            </w:pPr>
            <w:r>
              <w:rPr>
                <w:rFonts w:ascii="Times New Roman" w:cs="Times New Roman" w:eastAsia="Times New Roman" w:hAnsi="Times New Roman"/>
                <w:sz w:val="11"/>
                <w:szCs w:val="11"/>
                <w:color w:val="auto"/>
              </w:rPr>
              <w:t>12/18/2025</w:t>
            </w:r>
          </w:p>
        </w:tc>
        <w:tc>
          <w:tcPr>
            <w:tcW w:w="280" w:type="dxa"/>
            <w:vAlign w:val="bottom"/>
            <w:shd w:val="clear" w:color="auto" w:fill="CCECFF"/>
          </w:tcPr>
          <w:p>
            <w:pPr>
              <w:spacing w:after="0"/>
              <w:rPr>
                <w:sz w:val="11"/>
                <w:szCs w:val="11"/>
                <w:color w:val="auto"/>
              </w:rPr>
            </w:pPr>
          </w:p>
        </w:tc>
        <w:tc>
          <w:tcPr>
            <w:tcW w:w="20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shd w:val="clear" w:color="auto" w:fill="CCECFF"/>
          </w:tcPr>
          <w:p>
            <w:pPr>
              <w:spacing w:after="0"/>
              <w:rPr>
                <w:sz w:val="11"/>
                <w:szCs w:val="11"/>
                <w:color w:val="auto"/>
              </w:rPr>
            </w:pPr>
          </w:p>
        </w:tc>
        <w:tc>
          <w:tcPr>
            <w:tcW w:w="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12.17</w:t>
            </w:r>
          </w:p>
        </w:tc>
        <w:tc>
          <w:tcPr>
            <w:tcW w:w="22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86"/>
              </w:rPr>
              <w:t>%</w:t>
            </w: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L+850</w:t>
            </w:r>
          </w:p>
        </w:tc>
        <w:tc>
          <w:tcPr>
            <w:tcW w:w="200" w:type="dxa"/>
            <w:vAlign w:val="bottom"/>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31,680</w:t>
            </w:r>
          </w:p>
        </w:tc>
        <w:tc>
          <w:tcPr>
            <w:tcW w:w="22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31,004</w:t>
            </w:r>
          </w:p>
        </w:tc>
        <w:tc>
          <w:tcPr>
            <w:tcW w:w="22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31,047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Sigma Defense Systems, LLC (Revolver)</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12/18/2025</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12.17 %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12/18/2025</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1,845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(37 )</w:t>
            </w: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05/03/2024</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tcPr>
          <w:p>
            <w:pPr>
              <w:spacing w:after="0"/>
              <w:rPr>
                <w:sz w:val="11"/>
                <w:szCs w:val="11"/>
                <w:color w:val="auto"/>
              </w:rPr>
            </w:pPr>
          </w:p>
        </w:tc>
        <w:tc>
          <w:tcPr>
            <w:tcW w:w="7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2,016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01/17/2024</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(40 )</w:t>
            </w: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Spear Education,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02/26/2025</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8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9.42 %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12,018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11,947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Spendmend Holdings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03/01/2028</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8.63 %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9,705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9,581</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Spendmend Holdings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03/01/2023</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1"/>
                <w:szCs w:val="11"/>
                <w:color w:val="auto"/>
              </w:rPr>
            </w:pPr>
          </w:p>
        </w:tc>
        <w:tc>
          <w:tcPr>
            <w:tcW w:w="7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2,784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(57 )</w:t>
            </w: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Spendmend Holdings LLC - Funded Revolver</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03/01/2028</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8.63 %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Spendmend Holdings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03/01/2028</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1"/>
                <w:szCs w:val="11"/>
                <w:color w:val="auto"/>
              </w:rPr>
            </w:pPr>
          </w:p>
        </w:tc>
        <w:tc>
          <w:tcPr>
            <w:tcW w:w="7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08"/>
        </w:trPr>
        <w:tc>
          <w:tcPr>
            <w:tcW w:w="3940" w:type="dxa"/>
            <w:vAlign w:val="bottom"/>
            <w:shd w:val="clear" w:color="auto" w:fill="CCECFF"/>
          </w:tcPr>
          <w:p>
            <w:pPr>
              <w:ind w:left="20"/>
              <w:spacing w:after="0" w:line="108" w:lineRule="exact"/>
              <w:rPr>
                <w:sz w:val="20"/>
                <w:szCs w:val="20"/>
                <w:color w:val="auto"/>
              </w:rPr>
            </w:pPr>
            <w:r>
              <w:rPr>
                <w:rFonts w:ascii="Times New Roman" w:cs="Times New Roman" w:eastAsia="Times New Roman" w:hAnsi="Times New Roman"/>
                <w:sz w:val="9"/>
                <w:szCs w:val="9"/>
                <w:color w:val="auto"/>
              </w:rPr>
              <w:t xml:space="preserve">System Planning and Analysis, Inc. - (Revolver) </w:t>
            </w:r>
            <w:r>
              <w:rPr>
                <w:rFonts w:ascii="Times New Roman" w:cs="Times New Roman" w:eastAsia="Times New Roman" w:hAnsi="Times New Roman"/>
                <w:sz w:val="12"/>
                <w:szCs w:val="12"/>
                <w:color w:val="auto"/>
                <w:vertAlign w:val="superscript"/>
              </w:rPr>
              <w:t>(7)</w:t>
            </w:r>
          </w:p>
        </w:tc>
        <w:tc>
          <w:tcPr>
            <w:tcW w:w="14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20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4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(f/k/a Management Consulting &amp; Research,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08/16/2027</w:t>
            </w: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2,925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07/27/2026</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10.67 %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4,884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4,796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Bluebird Group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07/27/2026</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08/30/2027</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8.18 %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1,754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08/30/2027</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Vertex Companies, LLC (Revolver)</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08/30/2027</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8.26 %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08/30/2027</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03/26/2026</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8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8.87 %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12,864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12,626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03/26/2026</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06/16/2025</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8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8.76 %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06/16/2025</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1,644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04/01/2026</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7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(26 )</w:t>
            </w: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Unique Indoor Comfort,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05/24/2027</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8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8.95 %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27,233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26,904</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26,634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Unique Indoor Comfort,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05/24/2027</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120" w:type="dxa"/>
            <w:vAlign w:val="bottom"/>
          </w:tcPr>
          <w:p>
            <w:pPr>
              <w:spacing w:after="0"/>
              <w:rPr>
                <w:sz w:val="11"/>
                <w:szCs w:val="11"/>
                <w:color w:val="auto"/>
              </w:rPr>
            </w:pPr>
          </w:p>
        </w:tc>
        <w:tc>
          <w:tcPr>
            <w:tcW w:w="7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16,140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(194 )</w:t>
            </w: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Unique Indoor Comfort,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05/24/2027</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(66 )</w:t>
            </w: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03/31/2027</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8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12.42 %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25,368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24,881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02/27/2026</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9.09 %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3,831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3,771</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3,716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02/27/2026</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1"/>
                <w:szCs w:val="11"/>
                <w:color w:val="auto"/>
              </w:rPr>
            </w:pPr>
          </w:p>
        </w:tc>
        <w:tc>
          <w:tcPr>
            <w:tcW w:w="7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(41 )</w:t>
            </w:r>
          </w:p>
        </w:tc>
        <w:tc>
          <w:tcPr>
            <w:tcW w:w="0" w:type="dxa"/>
            <w:vAlign w:val="bottom"/>
          </w:tcPr>
          <w:p>
            <w:pPr>
              <w:spacing w:after="0"/>
              <w:rPr>
                <w:sz w:val="1"/>
                <w:szCs w:val="1"/>
                <w:color w:val="auto"/>
              </w:rPr>
            </w:pPr>
          </w:p>
        </w:tc>
      </w:tr>
      <w:tr>
        <w:trPr>
          <w:trHeight w:val="135"/>
        </w:trPr>
        <w:tc>
          <w:tcPr>
            <w:tcW w:w="39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720" w:type="dxa"/>
            <w:vAlign w:val="bottom"/>
            <w:tcBorders>
              <w:bottom w:val="single" w:sz="8" w:color="CCECFF"/>
            </w:tcBorders>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03/01/2024</w:t>
            </w:r>
          </w:p>
        </w:tc>
        <w:tc>
          <w:tcPr>
            <w:tcW w:w="280" w:type="dxa"/>
            <w:vAlign w:val="bottom"/>
            <w:tcBorders>
              <w:bottom w:val="single" w:sz="8" w:color="CCECFF"/>
            </w:tcBorders>
            <w:shd w:val="clear" w:color="auto" w:fill="CCECFF"/>
          </w:tcPr>
          <w:p>
            <w:pPr>
              <w:spacing w:after="0"/>
              <w:rPr>
                <w:sz w:val="11"/>
                <w:szCs w:val="11"/>
                <w:color w:val="auto"/>
              </w:rPr>
            </w:pPr>
          </w:p>
        </w:tc>
        <w:tc>
          <w:tcPr>
            <w:tcW w:w="20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840" w:type="dxa"/>
            <w:vAlign w:val="bottom"/>
            <w:tcBorders>
              <w:bottom w:val="single" w:sz="8" w:color="CCECFF"/>
            </w:tcBorders>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10.13 %</w:t>
            </w:r>
          </w:p>
        </w:tc>
        <w:tc>
          <w:tcPr>
            <w:tcW w:w="5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72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2,627</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2,608</w:t>
            </w:r>
          </w:p>
        </w:tc>
        <w:tc>
          <w:tcPr>
            <w:tcW w:w="22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2,562</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599,263</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588,267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Debt—22.2% of Net Assets</w:t>
            </w: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Atlas Purchaser, Inc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05/07/2029</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11.19 %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17,000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16,551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Best Practice Associates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06/29/2027</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12.67 %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17,825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17,506</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Burgess Point Purchaser Corporation</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07/28/2030</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8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12.16 %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7,752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Data Axle, Inc.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04/03/2024</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Other Media</w:t>
            </w:r>
          </w:p>
        </w:tc>
        <w:tc>
          <w:tcPr>
            <w:tcW w:w="8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12.92 %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L+925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20,288</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20,196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ENC Parent Corporation</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08/19/2029</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11.17 %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7,432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Halo Buyer, Inc.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07/06/2026</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8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11.37 %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32,500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32,164</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31,769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09/29/2024</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12.17 %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16,593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16,387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940" w:type="dxa"/>
            <w:vAlign w:val="bottom"/>
            <w:shd w:val="clear" w:color="auto" w:fill="CCECFF"/>
          </w:tcPr>
          <w:p>
            <w:pPr>
              <w:ind w:left="20"/>
              <w:spacing w:after="0" w:line="108" w:lineRule="exact"/>
              <w:rPr>
                <w:sz w:val="20"/>
                <w:szCs w:val="20"/>
                <w:color w:val="auto"/>
              </w:rPr>
            </w:pPr>
            <w:r>
              <w:rPr>
                <w:rFonts w:ascii="Times New Roman" w:cs="Times New Roman" w:eastAsia="Times New Roman" w:hAnsi="Times New Roman"/>
                <w:sz w:val="11"/>
                <w:szCs w:val="11"/>
                <w:color w:val="auto"/>
              </w:rPr>
              <w:t>QuantiTech LLC</w:t>
            </w:r>
          </w:p>
        </w:tc>
        <w:tc>
          <w:tcPr>
            <w:tcW w:w="720" w:type="dxa"/>
            <w:vAlign w:val="bottom"/>
            <w:gridSpan w:val="2"/>
            <w:shd w:val="clear" w:color="auto" w:fill="CCECFF"/>
          </w:tcPr>
          <w:p>
            <w:pPr>
              <w:ind w:left="180"/>
              <w:spacing w:after="0" w:line="108" w:lineRule="exact"/>
              <w:rPr>
                <w:sz w:val="20"/>
                <w:szCs w:val="20"/>
                <w:color w:val="auto"/>
              </w:rPr>
            </w:pPr>
            <w:r>
              <w:rPr>
                <w:rFonts w:ascii="Times New Roman" w:cs="Times New Roman" w:eastAsia="Times New Roman" w:hAnsi="Times New Roman"/>
                <w:sz w:val="11"/>
                <w:szCs w:val="11"/>
                <w:color w:val="auto"/>
              </w:rPr>
              <w:t>02/04/2027</w:t>
            </w:r>
          </w:p>
        </w:tc>
        <w:tc>
          <w:tcPr>
            <w:tcW w:w="280" w:type="dxa"/>
            <w:vAlign w:val="bottom"/>
            <w:shd w:val="clear" w:color="auto" w:fill="CCECFF"/>
          </w:tcPr>
          <w:p>
            <w:pPr>
              <w:spacing w:after="0"/>
              <w:rPr>
                <w:sz w:val="9"/>
                <w:szCs w:val="9"/>
                <w:color w:val="auto"/>
              </w:rPr>
            </w:pPr>
          </w:p>
        </w:tc>
        <w:tc>
          <w:tcPr>
            <w:tcW w:w="2000" w:type="dxa"/>
            <w:vAlign w:val="bottom"/>
            <w:shd w:val="clear" w:color="auto" w:fill="CCECFF"/>
          </w:tcPr>
          <w:p>
            <w:pPr>
              <w:spacing w:after="0"/>
              <w:rPr>
                <w:sz w:val="9"/>
                <w:szCs w:val="9"/>
                <w:color w:val="auto"/>
              </w:rPr>
            </w:pPr>
          </w:p>
        </w:tc>
        <w:tc>
          <w:tcPr>
            <w:tcW w:w="840" w:type="dxa"/>
            <w:vAlign w:val="bottom"/>
            <w:gridSpan w:val="3"/>
            <w:shd w:val="clear" w:color="auto" w:fill="CCECFF"/>
          </w:tcPr>
          <w:p>
            <w:pPr>
              <w:jc w:val="right"/>
              <w:ind w:right="66"/>
              <w:spacing w:after="0" w:line="108" w:lineRule="exact"/>
              <w:rPr>
                <w:sz w:val="20"/>
                <w:szCs w:val="20"/>
                <w:color w:val="auto"/>
              </w:rPr>
            </w:pPr>
            <w:r>
              <w:rPr>
                <w:rFonts w:ascii="Times New Roman" w:cs="Times New Roman" w:eastAsia="Times New Roman" w:hAnsi="Times New Roman"/>
                <w:sz w:val="11"/>
                <w:szCs w:val="11"/>
                <w:color w:val="auto"/>
              </w:rPr>
              <w:t>12.68 %</w:t>
            </w:r>
          </w:p>
        </w:tc>
        <w:tc>
          <w:tcPr>
            <w:tcW w:w="54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3M</w:t>
            </w:r>
          </w:p>
        </w:tc>
        <w:tc>
          <w:tcPr>
            <w:tcW w:w="20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L+1,000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VT Topco, Inc.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08/17/2026</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9.87 %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14,932</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58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20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5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133,160</w:t>
            </w:r>
          </w:p>
        </w:tc>
        <w:tc>
          <w:tcPr>
            <w:tcW w:w="22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129,936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Debt/Corporate Notes—9.1% of Net Assets</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940" w:type="dxa"/>
            <w:vAlign w:val="bottom"/>
            <w:shd w:val="clear" w:color="auto" w:fill="CCECFF"/>
          </w:tcPr>
          <w:p>
            <w:pPr>
              <w:spacing w:after="0"/>
              <w:rPr>
                <w:sz w:val="9"/>
                <w:szCs w:val="9"/>
                <w:color w:val="auto"/>
              </w:rPr>
            </w:pPr>
          </w:p>
        </w:tc>
        <w:tc>
          <w:tcPr>
            <w:tcW w:w="720" w:type="dxa"/>
            <w:vAlign w:val="bottom"/>
            <w:gridSpan w:val="2"/>
            <w:shd w:val="clear" w:color="auto" w:fill="CCECFF"/>
          </w:tcPr>
          <w:p>
            <w:pPr>
              <w:ind w:left="180"/>
              <w:spacing w:after="0" w:line="108" w:lineRule="exact"/>
              <w:rPr>
                <w:sz w:val="20"/>
                <w:szCs w:val="20"/>
                <w:color w:val="auto"/>
              </w:rPr>
            </w:pPr>
            <w:r>
              <w:rPr>
                <w:rFonts w:ascii="Times New Roman" w:cs="Times New Roman" w:eastAsia="Times New Roman" w:hAnsi="Times New Roman"/>
                <w:sz w:val="11"/>
                <w:szCs w:val="11"/>
                <w:color w:val="auto"/>
              </w:rPr>
              <w:t>01/15/2029</w:t>
            </w:r>
          </w:p>
        </w:tc>
        <w:tc>
          <w:tcPr>
            <w:tcW w:w="280" w:type="dxa"/>
            <w:vAlign w:val="bottom"/>
            <w:shd w:val="clear" w:color="auto" w:fill="CCECFF"/>
          </w:tcPr>
          <w:p>
            <w:pPr>
              <w:spacing w:after="0"/>
              <w:rPr>
                <w:sz w:val="9"/>
                <w:szCs w:val="9"/>
                <w:color w:val="auto"/>
              </w:rPr>
            </w:pPr>
          </w:p>
        </w:tc>
        <w:tc>
          <w:tcPr>
            <w:tcW w:w="2000" w:type="dxa"/>
            <w:vAlign w:val="bottom"/>
            <w:shd w:val="clear" w:color="auto" w:fill="CCECFF"/>
          </w:tcPr>
          <w:p>
            <w:pPr>
              <w:spacing w:after="0"/>
              <w:rPr>
                <w:sz w:val="9"/>
                <w:szCs w:val="9"/>
                <w:color w:val="auto"/>
              </w:rPr>
            </w:pPr>
          </w:p>
        </w:tc>
        <w:tc>
          <w:tcPr>
            <w:tcW w:w="840" w:type="dxa"/>
            <w:vAlign w:val="bottom"/>
            <w:gridSpan w:val="3"/>
            <w:shd w:val="clear" w:color="auto" w:fill="CCECFF"/>
          </w:tcPr>
          <w:p>
            <w:pPr>
              <w:jc w:val="right"/>
              <w:ind w:right="66"/>
              <w:spacing w:after="0" w:line="108" w:lineRule="exact"/>
              <w:rPr>
                <w:sz w:val="20"/>
                <w:szCs w:val="20"/>
                <w:color w:val="auto"/>
              </w:rPr>
            </w:pPr>
            <w:r>
              <w:rPr>
                <w:rFonts w:ascii="Times New Roman" w:cs="Times New Roman" w:eastAsia="Times New Roman" w:hAnsi="Times New Roman"/>
                <w:sz w:val="11"/>
                <w:szCs w:val="11"/>
                <w:color w:val="auto"/>
              </w:rPr>
              <w:t>15.31 %</w:t>
            </w:r>
          </w:p>
        </w:tc>
        <w:tc>
          <w:tcPr>
            <w:tcW w:w="54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3M</w:t>
            </w:r>
          </w:p>
        </w:tc>
        <w:tc>
          <w:tcPr>
            <w:tcW w:w="20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Express Wash Acquisition Company, LLC</w:t>
            </w:r>
          </w:p>
        </w:tc>
        <w:tc>
          <w:tcPr>
            <w:tcW w:w="14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L+1,150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21,000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20,278</w:t>
            </w: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20,359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Flock Financial,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05/26/2027</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8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12.50 %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34,000</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33,190</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32,895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Debt/Corporate Notes</w:t>
            </w:r>
          </w:p>
        </w:tc>
        <w:tc>
          <w:tcPr>
            <w:tcW w:w="140" w:type="dxa"/>
            <w:vAlign w:val="bottom"/>
            <w:tcBorders>
              <w:bottom w:val="single" w:sz="8" w:color="CCECFF"/>
            </w:tcBorders>
            <w:shd w:val="clear" w:color="auto" w:fill="CCECFF"/>
          </w:tcPr>
          <w:p>
            <w:pPr>
              <w:spacing w:after="0"/>
              <w:rPr>
                <w:sz w:val="11"/>
                <w:szCs w:val="11"/>
                <w:color w:val="auto"/>
              </w:rPr>
            </w:pPr>
          </w:p>
        </w:tc>
        <w:tc>
          <w:tcPr>
            <w:tcW w:w="58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20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5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53,468</w:t>
            </w:r>
          </w:p>
        </w:tc>
        <w:tc>
          <w:tcPr>
            <w:tcW w:w="22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53,254</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40" w:type="dxa"/>
            <w:vAlign w:val="bottom"/>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Interests—1.3% of Net Assets </w:t>
            </w:r>
            <w:r>
              <w:rPr>
                <w:rFonts w:ascii="Times New Roman" w:cs="Times New Roman" w:eastAsia="Times New Roman" w:hAnsi="Times New Roman"/>
                <w:sz w:val="14"/>
                <w:szCs w:val="14"/>
                <w:b w:val="1"/>
                <w:bCs w:val="1"/>
                <w:color w:val="auto"/>
                <w:vertAlign w:val="superscript"/>
              </w:rPr>
              <w:t>(6)</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(9)</w:t>
            </w: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AH Newco Equityholdings, LLC</w:t>
            </w:r>
          </w:p>
        </w:tc>
        <w:tc>
          <w:tcPr>
            <w:tcW w:w="140" w:type="dxa"/>
            <w:vAlign w:val="bottom"/>
          </w:tcPr>
          <w:p>
            <w:pPr>
              <w:spacing w:after="0"/>
              <w:rPr>
                <w:sz w:val="11"/>
                <w:szCs w:val="11"/>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6.00 %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Anteriad Holdings, LP (f/k/a MeritDirect Holdings, LP) </w:t>
            </w:r>
            <w:r>
              <w:rPr>
                <w:rFonts w:ascii="Times New Roman" w:cs="Times New Roman" w:eastAsia="Times New Roman" w:hAnsi="Times New Roman"/>
                <w:sz w:val="14"/>
                <w:szCs w:val="14"/>
                <w:color w:val="auto"/>
                <w:vertAlign w:val="superscript"/>
              </w:rPr>
              <w:t>(9)</w:t>
            </w: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Topco, LP</w:t>
            </w:r>
          </w:p>
        </w:tc>
        <w:tc>
          <w:tcPr>
            <w:tcW w:w="140" w:type="dxa"/>
            <w:vAlign w:val="bottom"/>
          </w:tcPr>
          <w:p>
            <w:pPr>
              <w:spacing w:after="0"/>
              <w:rPr>
                <w:sz w:val="11"/>
                <w:szCs w:val="11"/>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8.00 %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743,826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(9)</w:t>
            </w: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NXOF Holdings, Inc. (Tyto Athene, LLC)</w:t>
            </w:r>
          </w:p>
        </w:tc>
        <w:tc>
          <w:tcPr>
            <w:tcW w:w="140" w:type="dxa"/>
            <w:vAlign w:val="bottom"/>
          </w:tcPr>
          <w:p>
            <w:pPr>
              <w:spacing w:after="0"/>
              <w:rPr>
                <w:sz w:val="11"/>
                <w:szCs w:val="11"/>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7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ORL Holdco, Inc.</w:t>
            </w: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40" w:type="dxa"/>
            <w:vAlign w:val="bottom"/>
          </w:tcPr>
          <w:p>
            <w:pPr>
              <w:spacing w:after="0"/>
              <w:rPr>
                <w:sz w:val="11"/>
                <w:szCs w:val="11"/>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12.00 %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1,527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(8),(11)</w:t>
            </w: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TWD Parent Holdings, LLC</w:t>
            </w:r>
          </w:p>
        </w:tc>
        <w:tc>
          <w:tcPr>
            <w:tcW w:w="140" w:type="dxa"/>
            <w:vAlign w:val="bottom"/>
          </w:tcPr>
          <w:p>
            <w:pPr>
              <w:spacing w:after="0"/>
              <w:rPr>
                <w:sz w:val="11"/>
                <w:szCs w:val="11"/>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1"/>
                <w:szCs w:val="11"/>
                <w:color w:val="auto"/>
              </w:rPr>
            </w:pPr>
          </w:p>
        </w:tc>
        <w:tc>
          <w:tcPr>
            <w:tcW w:w="7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(The Vertex Companies, LLC)</w:t>
            </w:r>
          </w:p>
        </w:tc>
        <w:tc>
          <w:tcPr>
            <w:tcW w:w="140" w:type="dxa"/>
            <w:vAlign w:val="bottom"/>
            <w:tcBorders>
              <w:bottom w:val="single" w:sz="8" w:color="CCECFF"/>
            </w:tcBorders>
            <w:shd w:val="clear" w:color="auto" w:fill="CCECFF"/>
          </w:tcPr>
          <w:p>
            <w:pPr>
              <w:spacing w:after="0"/>
              <w:rPr>
                <w:sz w:val="11"/>
                <w:szCs w:val="11"/>
                <w:color w:val="auto"/>
              </w:rPr>
            </w:pPr>
          </w:p>
        </w:tc>
        <w:tc>
          <w:tcPr>
            <w:tcW w:w="58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20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5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6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5,026</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40" w:type="dxa"/>
            <w:vAlign w:val="bottom"/>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Interests/Warrants—26.2% of Net Assets </w:t>
            </w:r>
            <w:r>
              <w:rPr>
                <w:rFonts w:ascii="Times New Roman" w:cs="Times New Roman" w:eastAsia="Times New Roman" w:hAnsi="Times New Roman"/>
                <w:sz w:val="14"/>
                <w:szCs w:val="14"/>
                <w:b w:val="1"/>
                <w:bCs w:val="1"/>
                <w:color w:val="auto"/>
                <w:vertAlign w:val="superscript"/>
              </w:rPr>
              <w:t>(6)</w:t>
            </w: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1"/>
                <w:szCs w:val="11"/>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7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2,667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Affinion Group Holdings, Inc. (Warrants)</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04/10/2024</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77,190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2,126</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1"/>
                <w:szCs w:val="11"/>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1"/>
                <w:szCs w:val="11"/>
                <w:color w:val="auto"/>
              </w:rPr>
            </w:pPr>
          </w:p>
        </w:tc>
        <w:tc>
          <w:tcPr>
            <w:tcW w:w="7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(9)</w:t>
            </w: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Intermediate Company II, Inc.</w:t>
            </w:r>
          </w:p>
        </w:tc>
        <w:tc>
          <w:tcPr>
            <w:tcW w:w="140" w:type="dxa"/>
            <w:vAlign w:val="bottom"/>
          </w:tcPr>
          <w:p>
            <w:pPr>
              <w:spacing w:after="0"/>
              <w:rPr>
                <w:sz w:val="11"/>
                <w:szCs w:val="11"/>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7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940" w:type="dxa"/>
            <w:vAlign w:val="bottom"/>
            <w:shd w:val="clear" w:color="auto" w:fill="CCECFF"/>
          </w:tcPr>
          <w:p>
            <w:pPr>
              <w:ind w:left="20"/>
              <w:spacing w:after="0" w:line="108" w:lineRule="exact"/>
              <w:rPr>
                <w:sz w:val="20"/>
                <w:szCs w:val="20"/>
                <w:color w:val="auto"/>
              </w:rPr>
            </w:pPr>
            <w:r>
              <w:rPr>
                <w:rFonts w:ascii="Times New Roman" w:cs="Times New Roman" w:eastAsia="Times New Roman" w:hAnsi="Times New Roman"/>
                <w:sz w:val="11"/>
                <w:szCs w:val="11"/>
                <w:color w:val="auto"/>
              </w:rPr>
              <w:t>AMCSI Crash Co-Invest, LP</w:t>
            </w:r>
          </w:p>
        </w:tc>
        <w:tc>
          <w:tcPr>
            <w:tcW w:w="140" w:type="dxa"/>
            <w:vAlign w:val="bottom"/>
            <w:shd w:val="clear" w:color="auto" w:fill="CCECFF"/>
          </w:tcPr>
          <w:p>
            <w:pPr>
              <w:spacing w:after="0"/>
              <w:rPr>
                <w:sz w:val="9"/>
                <w:szCs w:val="9"/>
                <w:color w:val="auto"/>
              </w:rPr>
            </w:pPr>
          </w:p>
        </w:tc>
        <w:tc>
          <w:tcPr>
            <w:tcW w:w="580" w:type="dxa"/>
            <w:vAlign w:val="bottom"/>
            <w:shd w:val="clear" w:color="auto" w:fill="CCECFF"/>
          </w:tcPr>
          <w:p>
            <w:pPr>
              <w:ind w:left="460"/>
              <w:spacing w:after="0" w:line="108" w:lineRule="exact"/>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shd w:val="clear" w:color="auto" w:fill="CCECFF"/>
          </w:tcPr>
          <w:p>
            <w:pPr>
              <w:spacing w:after="0"/>
              <w:rPr>
                <w:sz w:val="9"/>
                <w:szCs w:val="9"/>
                <w:color w:val="auto"/>
              </w:rPr>
            </w:pPr>
          </w:p>
        </w:tc>
        <w:tc>
          <w:tcPr>
            <w:tcW w:w="200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shd w:val="clear" w:color="auto" w:fill="CCECFF"/>
          </w:tcPr>
          <w:p>
            <w:pPr>
              <w:spacing w:after="0"/>
              <w:rPr>
                <w:sz w:val="9"/>
                <w:szCs w:val="9"/>
                <w:color w:val="auto"/>
              </w:rPr>
            </w:pPr>
          </w:p>
        </w:tc>
        <w:tc>
          <w:tcPr>
            <w:tcW w:w="720" w:type="dxa"/>
            <w:vAlign w:val="bottom"/>
            <w:gridSpan w:val="2"/>
            <w:shd w:val="clear" w:color="auto" w:fill="CCECFF"/>
          </w:tcPr>
          <w:p>
            <w:pPr>
              <w:jc w:val="right"/>
              <w:ind w:right="186"/>
              <w:spacing w:after="0" w:line="108"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spacing w:after="0"/>
              <w:rPr>
                <w:sz w:val="9"/>
                <w:szCs w:val="9"/>
                <w:color w:val="auto"/>
              </w:rPr>
            </w:pPr>
          </w:p>
        </w:tc>
        <w:tc>
          <w:tcPr>
            <w:tcW w:w="72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2,419,20</w:t>
            </w: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4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2,419</w:t>
            </w: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2,470</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AMCSI Crash Co-Invest, LP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1"/>
                <w:szCs w:val="11"/>
                <w:color w:val="auto"/>
              </w:rPr>
            </w:pPr>
          </w:p>
        </w:tc>
        <w:tc>
          <w:tcPr>
            <w:tcW w:w="7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580,800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Anteriad Holdings, LP (f/k/a MeritDirect Holdings, LP) </w:t>
            </w:r>
            <w:r>
              <w:rPr>
                <w:rFonts w:ascii="Times New Roman" w:cs="Times New Roman" w:eastAsia="Times New Roman" w:hAnsi="Times New Roman"/>
                <w:sz w:val="14"/>
                <w:szCs w:val="14"/>
                <w:color w:val="auto"/>
                <w:vertAlign w:val="superscript"/>
              </w:rPr>
              <w:t>(9)</w:t>
            </w: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Athletico Holdings, LLC</w:t>
            </w:r>
          </w:p>
        </w:tc>
        <w:tc>
          <w:tcPr>
            <w:tcW w:w="140" w:type="dxa"/>
            <w:vAlign w:val="bottom"/>
          </w:tcPr>
          <w:p>
            <w:pPr>
              <w:spacing w:after="0"/>
              <w:rPr>
                <w:sz w:val="11"/>
                <w:szCs w:val="11"/>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1"/>
                <w:szCs w:val="11"/>
                <w:color w:val="auto"/>
              </w:rPr>
            </w:pPr>
          </w:p>
        </w:tc>
        <w:tc>
          <w:tcPr>
            <w:tcW w:w="7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9,357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940" w:type="dxa"/>
            <w:vAlign w:val="bottom"/>
            <w:shd w:val="clear" w:color="auto" w:fill="CCECFF"/>
          </w:tcPr>
          <w:p>
            <w:pPr>
              <w:ind w:left="20"/>
              <w:spacing w:after="0" w:line="108" w:lineRule="exact"/>
              <w:rPr>
                <w:sz w:val="20"/>
                <w:szCs w:val="20"/>
                <w:color w:val="auto"/>
              </w:rPr>
            </w:pPr>
            <w:r>
              <w:rPr>
                <w:rFonts w:ascii="Times New Roman" w:cs="Times New Roman" w:eastAsia="Times New Roman" w:hAnsi="Times New Roman"/>
                <w:sz w:val="9"/>
                <w:szCs w:val="9"/>
                <w:color w:val="auto"/>
              </w:rPr>
              <w:t xml:space="preserve">Atlas Investment Aggregator, LLC </w:t>
            </w:r>
            <w:r>
              <w:rPr>
                <w:rFonts w:ascii="Times New Roman" w:cs="Times New Roman" w:eastAsia="Times New Roman" w:hAnsi="Times New Roman"/>
                <w:sz w:val="12"/>
                <w:szCs w:val="12"/>
                <w:color w:val="auto"/>
                <w:vertAlign w:val="superscript"/>
              </w:rPr>
              <w:t>(9)</w:t>
            </w:r>
          </w:p>
        </w:tc>
        <w:tc>
          <w:tcPr>
            <w:tcW w:w="140" w:type="dxa"/>
            <w:vAlign w:val="bottom"/>
            <w:shd w:val="clear" w:color="auto" w:fill="CCECFF"/>
          </w:tcPr>
          <w:p>
            <w:pPr>
              <w:spacing w:after="0"/>
              <w:rPr>
                <w:sz w:val="9"/>
                <w:szCs w:val="9"/>
                <w:color w:val="auto"/>
              </w:rPr>
            </w:pPr>
          </w:p>
        </w:tc>
        <w:tc>
          <w:tcPr>
            <w:tcW w:w="580" w:type="dxa"/>
            <w:vAlign w:val="bottom"/>
            <w:shd w:val="clear" w:color="auto" w:fill="CCECFF"/>
          </w:tcPr>
          <w:p>
            <w:pPr>
              <w:ind w:left="460"/>
              <w:spacing w:after="0" w:line="108" w:lineRule="exact"/>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shd w:val="clear" w:color="auto" w:fill="CCECFF"/>
          </w:tcPr>
          <w:p>
            <w:pPr>
              <w:spacing w:after="0"/>
              <w:rPr>
                <w:sz w:val="9"/>
                <w:szCs w:val="9"/>
                <w:color w:val="auto"/>
              </w:rPr>
            </w:pPr>
          </w:p>
        </w:tc>
        <w:tc>
          <w:tcPr>
            <w:tcW w:w="200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shd w:val="clear" w:color="auto" w:fill="CCECFF"/>
          </w:tcPr>
          <w:p>
            <w:pPr>
              <w:spacing w:after="0"/>
              <w:rPr>
                <w:sz w:val="9"/>
                <w:szCs w:val="9"/>
                <w:color w:val="auto"/>
              </w:rPr>
            </w:pPr>
          </w:p>
        </w:tc>
        <w:tc>
          <w:tcPr>
            <w:tcW w:w="720" w:type="dxa"/>
            <w:vAlign w:val="bottom"/>
            <w:gridSpan w:val="2"/>
            <w:shd w:val="clear" w:color="auto" w:fill="CCECFF"/>
          </w:tcPr>
          <w:p>
            <w:pPr>
              <w:jc w:val="right"/>
              <w:ind w:right="186"/>
              <w:spacing w:after="0" w:line="108"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spacing w:after="0"/>
              <w:rPr>
                <w:sz w:val="9"/>
                <w:szCs w:val="9"/>
                <w:color w:val="auto"/>
              </w:rPr>
            </w:pPr>
          </w:p>
        </w:tc>
        <w:tc>
          <w:tcPr>
            <w:tcW w:w="72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1,700,00</w:t>
            </w: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4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1,700</w:t>
            </w: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1,219</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Burgess Point Holdings, LP</w:t>
            </w:r>
          </w:p>
        </w:tc>
        <w:tc>
          <w:tcPr>
            <w:tcW w:w="140" w:type="dxa"/>
            <w:vAlign w:val="bottom"/>
          </w:tcPr>
          <w:p>
            <w:pPr>
              <w:spacing w:after="0"/>
              <w:rPr>
                <w:sz w:val="11"/>
                <w:szCs w:val="11"/>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1"/>
                <w:szCs w:val="11"/>
                <w:color w:val="auto"/>
              </w:rPr>
            </w:pPr>
          </w:p>
        </w:tc>
        <w:tc>
          <w:tcPr>
            <w:tcW w:w="7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940" w:type="dxa"/>
            <w:vAlign w:val="bottom"/>
            <w:shd w:val="clear" w:color="auto" w:fill="CCECFF"/>
          </w:tcPr>
          <w:p>
            <w:pPr>
              <w:ind w:left="20"/>
              <w:spacing w:after="0" w:line="108" w:lineRule="exact"/>
              <w:rPr>
                <w:sz w:val="20"/>
                <w:szCs w:val="20"/>
                <w:color w:val="auto"/>
              </w:rPr>
            </w:pPr>
            <w:r>
              <w:rPr>
                <w:rFonts w:ascii="Times New Roman" w:cs="Times New Roman" w:eastAsia="Times New Roman" w:hAnsi="Times New Roman"/>
                <w:sz w:val="11"/>
                <w:szCs w:val="11"/>
                <w:color w:val="auto"/>
              </w:rPr>
              <w:t>Cartessa Aesthetics, LLC</w:t>
            </w:r>
          </w:p>
        </w:tc>
        <w:tc>
          <w:tcPr>
            <w:tcW w:w="140" w:type="dxa"/>
            <w:vAlign w:val="bottom"/>
            <w:shd w:val="clear" w:color="auto" w:fill="CCECFF"/>
          </w:tcPr>
          <w:p>
            <w:pPr>
              <w:spacing w:after="0"/>
              <w:rPr>
                <w:sz w:val="9"/>
                <w:szCs w:val="9"/>
                <w:color w:val="auto"/>
              </w:rPr>
            </w:pPr>
          </w:p>
        </w:tc>
        <w:tc>
          <w:tcPr>
            <w:tcW w:w="580" w:type="dxa"/>
            <w:vAlign w:val="bottom"/>
            <w:shd w:val="clear" w:color="auto" w:fill="CCECFF"/>
          </w:tcPr>
          <w:p>
            <w:pPr>
              <w:ind w:left="460"/>
              <w:spacing w:after="0" w:line="108" w:lineRule="exact"/>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shd w:val="clear" w:color="auto" w:fill="CCECFF"/>
          </w:tcPr>
          <w:p>
            <w:pPr>
              <w:spacing w:after="0"/>
              <w:rPr>
                <w:sz w:val="9"/>
                <w:szCs w:val="9"/>
                <w:color w:val="auto"/>
              </w:rPr>
            </w:pPr>
          </w:p>
        </w:tc>
        <w:tc>
          <w:tcPr>
            <w:tcW w:w="200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9"/>
                <w:szCs w:val="9"/>
                <w:color w:val="auto"/>
              </w:rPr>
            </w:pPr>
          </w:p>
        </w:tc>
        <w:tc>
          <w:tcPr>
            <w:tcW w:w="720" w:type="dxa"/>
            <w:vAlign w:val="bottom"/>
            <w:gridSpan w:val="2"/>
            <w:shd w:val="clear" w:color="auto" w:fill="CCECFF"/>
          </w:tcPr>
          <w:p>
            <w:pPr>
              <w:jc w:val="right"/>
              <w:ind w:right="186"/>
              <w:spacing w:after="0" w:line="108"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spacing w:after="0"/>
              <w:rPr>
                <w:sz w:val="9"/>
                <w:szCs w:val="9"/>
                <w:color w:val="auto"/>
              </w:rPr>
            </w:pPr>
          </w:p>
        </w:tc>
        <w:tc>
          <w:tcPr>
            <w:tcW w:w="72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3,562,50</w:t>
            </w: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4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3,563</w:t>
            </w: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3,716</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CI (Allied) Investment Holdings, LLC</w:t>
            </w:r>
          </w:p>
        </w:tc>
        <w:tc>
          <w:tcPr>
            <w:tcW w:w="140" w:type="dxa"/>
            <w:vAlign w:val="bottom"/>
          </w:tcPr>
          <w:p>
            <w:pPr>
              <w:spacing w:after="0"/>
              <w:rPr>
                <w:sz w:val="11"/>
                <w:szCs w:val="11"/>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1"/>
                <w:szCs w:val="11"/>
                <w:color w:val="auto"/>
              </w:rPr>
            </w:pPr>
          </w:p>
        </w:tc>
        <w:tc>
          <w:tcPr>
            <w:tcW w:w="7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120,962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14"/>
                <w:szCs w:val="14"/>
                <w:color w:val="auto"/>
                <w:vertAlign w:val="superscript"/>
              </w:rPr>
              <w:t>(9)</w:t>
            </w: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Parent, LLC</w:t>
            </w:r>
          </w:p>
        </w:tc>
        <w:tc>
          <w:tcPr>
            <w:tcW w:w="140" w:type="dxa"/>
            <w:vAlign w:val="bottom"/>
          </w:tcPr>
          <w:p>
            <w:pPr>
              <w:spacing w:after="0"/>
              <w:rPr>
                <w:sz w:val="11"/>
                <w:szCs w:val="11"/>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72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57,416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Cowboy Parent LLC</w:t>
            </w: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26,360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2,782</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4,011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1"/>
        </w:trPr>
        <w:tc>
          <w:tcPr>
            <w:tcW w:w="3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6400165</wp:posOffset>
            </wp:positionH>
            <wp:positionV relativeFrom="paragraph">
              <wp:posOffset>-4962525</wp:posOffset>
            </wp:positionV>
            <wp:extent cx="6858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-4962525</wp:posOffset>
            </wp:positionV>
            <wp:extent cx="68580"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-3830955</wp:posOffset>
            </wp:positionV>
            <wp:extent cx="68580" cy="93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-3830955</wp:posOffset>
            </wp:positionV>
            <wp:extent cx="68580" cy="93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-3394075</wp:posOffset>
            </wp:positionV>
            <wp:extent cx="68580" cy="939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-3394075</wp:posOffset>
            </wp:positionV>
            <wp:extent cx="68580" cy="939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-2356485</wp:posOffset>
            </wp:positionV>
            <wp:extent cx="6858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1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1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tbl>
      <w:tblPr>
        <w:tblLayout w:type="fixed"/>
        <w:tblInd w:w="0" w:type="dxa"/>
        <w:tblCellMar>
          <w:top w:w="0" w:type="dxa"/>
          <w:left w:w="0" w:type="dxa"/>
          <w:bottom w:w="0" w:type="dxa"/>
          <w:right w:w="0" w:type="dxa"/>
        </w:tblCellMar>
      </w:tblPr>
      <w:tr>
        <w:trPr>
          <w:trHeight w:val="114"/>
        </w:trPr>
        <w:tc>
          <w:tcPr>
            <w:tcW w:w="3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7"/>
              </w:rPr>
              <w:t>Basis</w:t>
            </w: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Point</w:t>
            </w: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2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220" w:type="dxa"/>
            <w:vAlign w:val="bottom"/>
          </w:tcPr>
          <w:p>
            <w:pPr>
              <w:spacing w:after="0"/>
              <w:rPr>
                <w:sz w:val="9"/>
                <w:szCs w:val="9"/>
                <w:color w:val="auto"/>
              </w:rPr>
            </w:pPr>
          </w:p>
        </w:tc>
        <w:tc>
          <w:tcPr>
            <w:tcW w:w="5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Spread</w:t>
            </w:r>
          </w:p>
        </w:tc>
        <w:tc>
          <w:tcPr>
            <w:tcW w:w="220" w:type="dxa"/>
            <w:vAlign w:val="bottom"/>
          </w:tcPr>
          <w:p>
            <w:pPr>
              <w:spacing w:after="0"/>
              <w:rPr>
                <w:sz w:val="9"/>
                <w:szCs w:val="9"/>
                <w:color w:val="auto"/>
              </w:rPr>
            </w:pPr>
          </w:p>
        </w:tc>
        <w:tc>
          <w:tcPr>
            <w:tcW w:w="56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Above</w:t>
            </w:r>
          </w:p>
        </w:tc>
        <w:tc>
          <w:tcPr>
            <w:tcW w:w="2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2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 xml:space="preserve">Index </w:t>
            </w:r>
            <w:r>
              <w:rPr>
                <w:rFonts w:ascii="Times New Roman" w:cs="Times New Roman" w:eastAsia="Times New Roman" w:hAnsi="Times New Roman"/>
                <w:sz w:val="14"/>
                <w:szCs w:val="14"/>
                <w:b w:val="1"/>
                <w:bCs w:val="1"/>
                <w:color w:val="auto"/>
                <w:vertAlign w:val="superscript"/>
              </w:rPr>
              <w:t>(4)</w:t>
            </w:r>
          </w:p>
        </w:tc>
        <w:tc>
          <w:tcPr>
            <w:tcW w:w="22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28"/>
        </w:trPr>
        <w:tc>
          <w:tcPr>
            <w:tcW w:w="39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Crane 1 Acquisition Parent Holdings, L.P.</w:t>
            </w:r>
          </w:p>
        </w:tc>
        <w:tc>
          <w:tcPr>
            <w:tcW w:w="120" w:type="dxa"/>
            <w:vAlign w:val="bottom"/>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22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22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Delta InvestCo LP</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698,889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(Sigma Defense Systems,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Delta InvestCo LP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442,155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(Sigma Defense Systems, LLC) </w:t>
            </w:r>
            <w:r>
              <w:rPr>
                <w:rFonts w:ascii="Times New Roman" w:cs="Times New Roman" w:eastAsia="Times New Roman" w:hAnsi="Times New Roman"/>
                <w:sz w:val="14"/>
                <w:szCs w:val="14"/>
                <w:color w:val="auto"/>
                <w:vertAlign w:val="superscript"/>
              </w:rPr>
              <w:t>(7), (9)</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167,537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14"/>
                <w:szCs w:val="14"/>
                <w:color w:val="auto"/>
                <w:vertAlign w:val="superscript"/>
              </w:rPr>
              <w:t>(11)</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1,005</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Exigo,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1,458,333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Express Wash Topco, LLC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658,000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3,290</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14,186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(7),(9)</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6,384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II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20,357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Gauge Lash Coinvest LLC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889,376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Gauge Schlesinger Coinvest, LLC</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Gauge TVC Coinvest, LLC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810,645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(TVC Enterprises, LLC)</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2,434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1,003</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 Dawgs Capital III, LP</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675,325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Green Veracity Holdings, LP - Class A</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(VT Topco, Inc.)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1,600,000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1,600</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Icon Partners V C, L.P.</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1,111,111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Icon Partners V C, L.P. </w:t>
            </w:r>
            <w:r>
              <w:rPr>
                <w:rFonts w:ascii="Times New Roman" w:cs="Times New Roman" w:eastAsia="Times New Roman" w:hAnsi="Times New Roman"/>
                <w:sz w:val="14"/>
                <w:szCs w:val="14"/>
                <w:color w:val="auto"/>
                <w:vertAlign w:val="superscript"/>
              </w:rPr>
              <w:t>(7),(9)</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388,889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Topco, LP</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743,826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Infogroup Parent Holdings, Inc.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Other Media</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181,495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(Data Axle, Inc.)</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Ironclad Holdco, LLC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4,566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ITC Infusion Co-invest, LP</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113,839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1,138</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ITC Rumba, LLC</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375,675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(Cano Health,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JWC-WE Holdings, L.P.</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2,688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Kentucky Racing Holdco, LLC (Warrants)</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161,252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1,308,814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1,309</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KL Stockton Co-Invest LP</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382,353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(Any Hour Services)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Lariat ecoserv Co-Invest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363,656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Investment Holdco LLC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273,143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Mars Intermidiate Holdings II, Inc.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MDI Aggregator, LP</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1,925,990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1,930</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1,926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Title,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815,385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3,920,145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3,984</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NEPRT Parent Holdings, LLC</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(Recteq,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North Haven Saints Equity Holdings, LP</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351,553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NXOF Holdings, Inc.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3,261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(Tyto Athene, LLC)</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OceanSound Discovery Equity, LP</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98,286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979</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(Holdco Sands Intermediate,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OHCP V BC COI, L.P.</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446,250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446</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OHCP V BC COI, L.P. </w:t>
            </w:r>
            <w:r>
              <w:rPr>
                <w:rFonts w:ascii="Times New Roman" w:cs="Times New Roman" w:eastAsia="Times New Roman" w:hAnsi="Times New Roman"/>
                <w:sz w:val="14"/>
                <w:szCs w:val="14"/>
                <w:color w:val="auto"/>
                <w:vertAlign w:val="superscript"/>
              </w:rPr>
              <w:t>(7),(9)</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303,750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(44 )</w:t>
            </w: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Oral Surgery (ITC) Holdings,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2,904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ORL Holdco, Inc.</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920" w:type="dxa"/>
            <w:vAlign w:val="bottom"/>
            <w:shd w:val="clear" w:color="auto" w:fill="CCECFF"/>
          </w:tcPr>
          <w:p>
            <w:pPr>
              <w:ind w:left="20"/>
              <w:spacing w:after="0" w:line="108" w:lineRule="exact"/>
              <w:rPr>
                <w:sz w:val="20"/>
                <w:szCs w:val="20"/>
                <w:color w:val="auto"/>
              </w:rPr>
            </w:pPr>
            <w:r>
              <w:rPr>
                <w:rFonts w:ascii="Times New Roman" w:cs="Times New Roman" w:eastAsia="Times New Roman" w:hAnsi="Times New Roman"/>
                <w:sz w:val="11"/>
                <w:szCs w:val="11"/>
                <w:color w:val="auto"/>
              </w:rPr>
              <w:t>PennantPark-TSO Senior Loan Fund II, LP</w:t>
            </w: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ind w:left="480"/>
              <w:spacing w:after="0" w:line="108"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9"/>
                <w:szCs w:val="9"/>
                <w:color w:val="auto"/>
              </w:rPr>
            </w:pPr>
          </w:p>
        </w:tc>
        <w:tc>
          <w:tcPr>
            <w:tcW w:w="20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78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15,038,87</w:t>
            </w: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15,039</w:t>
            </w: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Pink Lily Holdco,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Pragmatic Institute, LLC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1,918,047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1,918</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(7),(9)</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RFMG Parent, LP</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(Rancho Health MSO, Inc.)</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SBI Holdings Investments LLC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36,585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Seaway Topco, LP</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 L2 Holdings, LLC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881,966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882</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Class A (US Dominion, Inc.)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Class B (US Dominion, Inc.)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StellPen Holdings, LLC</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153,846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(CF512, Inc.)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6"/>
                <w:szCs w:val="16"/>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6"/>
                <w:szCs w:val="16"/>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6"/>
                <w:szCs w:val="16"/>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232,558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92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60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202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56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62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ind w:left="101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1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tbl>
      <w:tblPr>
        <w:tblLayout w:type="fixed"/>
        <w:tblInd w:w="0" w:type="dxa"/>
        <w:tblCellMar>
          <w:top w:w="0" w:type="dxa"/>
          <w:left w:w="0" w:type="dxa"/>
          <w:bottom w:w="0" w:type="dxa"/>
          <w:right w:w="0" w:type="dxa"/>
        </w:tblCellMar>
      </w:tblPr>
      <w:tr>
        <w:trPr>
          <w:trHeight w:val="114"/>
        </w:trPr>
        <w:tc>
          <w:tcPr>
            <w:tcW w:w="38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19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60" w:type="dxa"/>
            <w:vAlign w:val="bottom"/>
            <w:shd w:val="clear" w:color="auto" w:fill="CCECFF"/>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8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vMerge w:val="restart"/>
            <w:shd w:val="clear" w:color="auto" w:fill="CCECFF"/>
          </w:tcPr>
          <w:p>
            <w:pPr>
              <w:ind w:left="4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260" w:type="dxa"/>
            <w:vAlign w:val="bottom"/>
            <w:shd w:val="clear" w:color="auto" w:fill="CCECFF"/>
          </w:tcPr>
          <w:p>
            <w:pPr>
              <w:spacing w:after="0"/>
              <w:rPr>
                <w:sz w:val="9"/>
                <w:szCs w:val="9"/>
                <w:color w:val="auto"/>
              </w:rPr>
            </w:pPr>
          </w:p>
        </w:tc>
        <w:tc>
          <w:tcPr>
            <w:tcW w:w="19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80" w:type="dxa"/>
            <w:vAlign w:val="bottom"/>
            <w:gridSpan w:val="2"/>
            <w:vMerge w:val="restart"/>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560" w:type="dxa"/>
            <w:vAlign w:val="bottom"/>
            <w:shd w:val="clear" w:color="auto" w:fill="CCECFF"/>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60" w:type="dxa"/>
            <w:vAlign w:val="bottom"/>
            <w:vMerge w:val="restart"/>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0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vMerge w:val="continue"/>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19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80" w:type="dxa"/>
            <w:vAlign w:val="bottom"/>
            <w:gridSpan w:val="2"/>
            <w:vMerge w:val="continue"/>
            <w:shd w:val="clear" w:color="auto" w:fill="CCECFF"/>
          </w:tcPr>
          <w:p>
            <w:pPr>
              <w:spacing w:after="0"/>
              <w:rPr>
                <w:sz w:val="9"/>
                <w:szCs w:val="9"/>
                <w:color w:val="auto"/>
              </w:rPr>
            </w:pPr>
          </w:p>
        </w:tc>
        <w:tc>
          <w:tcPr>
            <w:tcW w:w="5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60" w:type="dxa"/>
            <w:vAlign w:val="bottom"/>
            <w:vMerge w:val="continue"/>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84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Borders>
              <w:bottom w:val="single" w:sz="8" w:color="CCECFF"/>
            </w:tcBorders>
            <w:shd w:val="clear" w:color="auto" w:fill="CCECFF"/>
          </w:tcPr>
          <w:p>
            <w:pPr>
              <w:spacing w:after="0"/>
              <w:rPr>
                <w:sz w:val="14"/>
                <w:szCs w:val="14"/>
                <w:color w:val="auto"/>
              </w:rPr>
            </w:pPr>
          </w:p>
        </w:tc>
        <w:tc>
          <w:tcPr>
            <w:tcW w:w="600" w:type="dxa"/>
            <w:vAlign w:val="bottom"/>
            <w:tcBorders>
              <w:bottom w:val="single" w:sz="8" w:color="auto"/>
            </w:tcBorders>
            <w:shd w:val="clear" w:color="auto" w:fill="CCECFF"/>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60" w:type="dxa"/>
            <w:vAlign w:val="bottom"/>
            <w:tcBorders>
              <w:bottom w:val="single" w:sz="8" w:color="CCECFF"/>
            </w:tcBorders>
            <w:shd w:val="clear" w:color="auto" w:fill="CCECFF"/>
          </w:tcPr>
          <w:p>
            <w:pPr>
              <w:spacing w:after="0"/>
              <w:rPr>
                <w:sz w:val="14"/>
                <w:szCs w:val="14"/>
                <w:color w:val="auto"/>
              </w:rPr>
            </w:pPr>
          </w:p>
        </w:tc>
        <w:tc>
          <w:tcPr>
            <w:tcW w:w="196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Borders>
              <w:bottom w:val="single" w:sz="8" w:color="CCECFF"/>
            </w:tcBorders>
            <w:shd w:val="clear" w:color="auto" w:fill="CCECFF"/>
          </w:tcPr>
          <w:p>
            <w:pPr>
              <w:spacing w:after="0"/>
              <w:rPr>
                <w:sz w:val="14"/>
                <w:szCs w:val="14"/>
                <w:color w:val="auto"/>
              </w:rPr>
            </w:pP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20" w:type="dxa"/>
            <w:vAlign w:val="bottom"/>
            <w:tcBorders>
              <w:bottom w:val="single" w:sz="8" w:color="CCECFF"/>
            </w:tcBorders>
            <w:shd w:val="clear" w:color="auto" w:fill="CCECFF"/>
          </w:tcPr>
          <w:p>
            <w:pPr>
              <w:spacing w:after="0"/>
              <w:rPr>
                <w:sz w:val="14"/>
                <w:szCs w:val="14"/>
                <w:color w:val="auto"/>
              </w:rPr>
            </w:pPr>
          </w:p>
        </w:tc>
        <w:tc>
          <w:tcPr>
            <w:tcW w:w="56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22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560" w:type="dxa"/>
            <w:vAlign w:val="bottom"/>
            <w:tcBorders>
              <w:bottom w:val="single" w:sz="8" w:color="auto"/>
            </w:tcBorders>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Borders>
              <w:bottom w:val="single" w:sz="8" w:color="CCECFF"/>
            </w:tcBorders>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640" w:type="dxa"/>
            <w:vAlign w:val="bottom"/>
            <w:tcBorders>
              <w:bottom w:val="single" w:sz="8" w:color="auto"/>
            </w:tcBorders>
            <w:shd w:val="clear" w:color="auto" w:fill="CCECFF"/>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760" w:type="dxa"/>
            <w:vAlign w:val="bottom"/>
            <w:tcBorders>
              <w:bottom w:val="single" w:sz="8" w:color="auto"/>
            </w:tcBorders>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40" w:type="dxa"/>
            <w:vAlign w:val="bottom"/>
          </w:tcPr>
          <w:p>
            <w:pPr>
              <w:ind w:left="20"/>
              <w:spacing w:after="0" w:line="129" w:lineRule="exact"/>
              <w:rPr>
                <w:sz w:val="20"/>
                <w:szCs w:val="20"/>
                <w:color w:val="auto"/>
              </w:rPr>
            </w:pPr>
            <w:r>
              <w:rPr>
                <w:rFonts w:ascii="Times New Roman" w:cs="Times New Roman" w:eastAsia="Times New Roman" w:hAnsi="Times New Roman"/>
                <w:sz w:val="11"/>
                <w:szCs w:val="11"/>
                <w:color w:val="auto"/>
              </w:rPr>
              <w:t xml:space="preserve">Tower Arch Infolinks Media,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531,293</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Tower Arch Infolinks Media, LP </w:t>
            </w:r>
            <w:r>
              <w:rPr>
                <w:rFonts w:ascii="Times New Roman" w:cs="Times New Roman" w:eastAsia="Times New Roman" w:hAnsi="Times New Roman"/>
                <w:sz w:val="14"/>
                <w:szCs w:val="14"/>
                <w:color w:val="auto"/>
                <w:vertAlign w:val="superscript"/>
              </w:rPr>
              <w:t>(7), (9)</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364,151</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8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 (11)</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11,527</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TWD Parent Holdings, LLC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608</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(The Vertex Companies, LLC)</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U.S. Well Services, Inc. - Class A </w:t>
            </w:r>
            <w:r>
              <w:rPr>
                <w:rFonts w:ascii="Times New Roman" w:cs="Times New Roman" w:eastAsia="Times New Roman" w:hAnsi="Times New Roman"/>
                <w:sz w:val="14"/>
                <w:szCs w:val="14"/>
                <w:color w:val="auto"/>
                <w:vertAlign w:val="superscript"/>
              </w:rPr>
              <w:t>(5), (11)</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60,057</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3,022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UniVista Insurance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WCP Ivyrehab QP CF Feeder, LP</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3,762,257</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3,762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3,762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WCP Ivyrehab QP CF Feeder, LP - Unfunded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237,743</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Parent, LP</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2,314</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(Wildcat Buyerco, Inc.)</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2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9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4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91,596</w:t>
            </w: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153,373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Non-Controlled, Non-Affiliated Portfolio Companies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882,513</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932,155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560" w:type="dxa"/>
            <w:vAlign w:val="bottom"/>
            <w:gridSpan w:val="3"/>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Investments in Non-Controlled, Affiliated Portfolio Companies—5.9% of Net Assets </w:t>
            </w:r>
            <w:r>
              <w:rPr>
                <w:rFonts w:ascii="Times New Roman" w:cs="Times New Roman" w:eastAsia="Times New Roman" w:hAnsi="Times New Roman"/>
                <w:sz w:val="14"/>
                <w:szCs w:val="14"/>
                <w:b w:val="1"/>
                <w:bCs w:val="1"/>
                <w:color w:val="auto"/>
                <w:vertAlign w:val="superscript"/>
              </w:rPr>
              <w:t>(1), (2)</w:t>
            </w:r>
          </w:p>
        </w:tc>
        <w:tc>
          <w:tcPr>
            <w:tcW w:w="260" w:type="dxa"/>
            <w:vAlign w:val="bottom"/>
            <w:shd w:val="clear" w:color="auto" w:fill="CCECFF"/>
          </w:tcPr>
          <w:p>
            <w:pPr>
              <w:spacing w:after="0"/>
              <w:rPr>
                <w:sz w:val="11"/>
                <w:szCs w:val="11"/>
                <w:color w:val="auto"/>
              </w:rPr>
            </w:pPr>
          </w:p>
        </w:tc>
        <w:tc>
          <w:tcPr>
            <w:tcW w:w="19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b w:val="1"/>
                <w:bCs w:val="1"/>
                <w:color w:val="auto"/>
              </w:rPr>
              <w:t>Preferred Equity/Partnership Interests—5.6% of Net Assets</w:t>
            </w:r>
            <w:r>
              <w:rPr>
                <w:rFonts w:ascii="Times New Roman" w:cs="Times New Roman" w:eastAsia="Times New Roman" w:hAnsi="Times New Roman"/>
                <w:sz w:val="14"/>
                <w:szCs w:val="14"/>
                <w:b w:val="1"/>
                <w:bCs w:val="1"/>
                <w:color w:val="auto"/>
                <w:vertAlign w:val="superscript"/>
              </w:rPr>
              <w:t>(6)</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Borders>
              <w:bottom w:val="single" w:sz="8" w:color="CCECFF"/>
            </w:tcBorders>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Cascade Environmental Holdings, LLC </w:t>
            </w:r>
            <w:r>
              <w:rPr>
                <w:rFonts w:ascii="Times New Roman" w:cs="Times New Roman" w:eastAsia="Times New Roman" w:hAnsi="Times New Roman"/>
                <w:sz w:val="14"/>
                <w:szCs w:val="14"/>
                <w:color w:val="auto"/>
                <w:vertAlign w:val="superscript"/>
              </w:rPr>
              <w:t>(9)</w:t>
            </w:r>
          </w:p>
        </w:tc>
        <w:tc>
          <w:tcPr>
            <w:tcW w:w="12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bottom w:val="single" w:sz="8" w:color="CCECFF"/>
            </w:tcBorders>
            <w:shd w:val="clear" w:color="auto" w:fill="CCECFF"/>
          </w:tcPr>
          <w:p>
            <w:pPr>
              <w:spacing w:after="0"/>
              <w:rPr>
                <w:sz w:val="11"/>
                <w:szCs w:val="11"/>
                <w:color w:val="auto"/>
              </w:rPr>
            </w:pPr>
          </w:p>
        </w:tc>
        <w:tc>
          <w:tcPr>
            <w:tcW w:w="19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5,887,236</w:t>
            </w:r>
          </w:p>
        </w:tc>
        <w:tc>
          <w:tcPr>
            <w:tcW w:w="2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32,791</w:t>
            </w: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32,791</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32,791</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32,791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Interests/Warrants—0.3% of Net Assets </w:t>
            </w:r>
            <w:r>
              <w:rPr>
                <w:rFonts w:ascii="Times New Roman" w:cs="Times New Roman" w:eastAsia="Times New Roman" w:hAnsi="Times New Roman"/>
                <w:sz w:val="14"/>
                <w:szCs w:val="14"/>
                <w:b w:val="1"/>
                <w:bCs w:val="1"/>
                <w:color w:val="auto"/>
                <w:vertAlign w:val="superscript"/>
              </w:rPr>
              <w:t>(6)</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9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Cascade Environmental Holdings, LLC</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7,444,347</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JF Intermediate, LLC</w:t>
            </w:r>
          </w:p>
        </w:tc>
        <w:tc>
          <w:tcPr>
            <w:tcW w:w="12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bottom w:val="single" w:sz="8" w:color="CCECFF"/>
            </w:tcBorders>
            <w:shd w:val="clear" w:color="auto" w:fill="CCECFF"/>
          </w:tcPr>
          <w:p>
            <w:pPr>
              <w:spacing w:after="0"/>
              <w:rPr>
                <w:sz w:val="11"/>
                <w:szCs w:val="11"/>
                <w:color w:val="auto"/>
              </w:rPr>
            </w:pPr>
          </w:p>
        </w:tc>
        <w:tc>
          <w:tcPr>
            <w:tcW w:w="19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19,687</w:t>
            </w:r>
          </w:p>
        </w:tc>
        <w:tc>
          <w:tcPr>
            <w:tcW w:w="2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1,969</w:t>
            </w: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1,969</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4,821</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12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9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4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37,612</w:t>
            </w: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34,760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84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Investments in Controlled, Affiliated Portfolio Companies—44.3% of Net Assets</w:t>
            </w: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840" w:type="dxa"/>
            <w:vAlign w:val="bottom"/>
          </w:tcPr>
          <w:p>
            <w:pPr>
              <w:ind w:left="20"/>
              <w:spacing w:after="0"/>
              <w:rPr>
                <w:sz w:val="20"/>
                <w:szCs w:val="20"/>
                <w:color w:val="auto"/>
              </w:rPr>
            </w:pPr>
            <w:r>
              <w:rPr>
                <w:rFonts w:ascii="Times New Roman" w:cs="Times New Roman" w:eastAsia="Times New Roman" w:hAnsi="Times New Roman"/>
                <w:sz w:val="7"/>
                <w:szCs w:val="7"/>
                <w:b w:val="1"/>
                <w:bCs w:val="1"/>
                <w:color w:val="auto"/>
              </w:rPr>
              <w:t>(1), (2)</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Debt—7.3% of Net Assets</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9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03/13/2024</w:t>
            </w:r>
          </w:p>
        </w:tc>
        <w:tc>
          <w:tcPr>
            <w:tcW w:w="26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8.67 %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38,250</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52,792</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42,698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9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4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52,792</w:t>
            </w: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42,698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Debt—0% of Net Assets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Mailsouth Inc.</w:t>
            </w:r>
          </w:p>
        </w:tc>
        <w:tc>
          <w:tcPr>
            <w:tcW w:w="720" w:type="dxa"/>
            <w:vAlign w:val="bottom"/>
            <w:tcBorders>
              <w:bottom w:val="single" w:sz="8" w:color="CCECFF"/>
            </w:tcBorders>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04/23/2025</w:t>
            </w:r>
          </w:p>
        </w:tc>
        <w:tc>
          <w:tcPr>
            <w:tcW w:w="260" w:type="dxa"/>
            <w:vAlign w:val="bottom"/>
            <w:tcBorders>
              <w:bottom w:val="single" w:sz="8" w:color="CCECFF"/>
            </w:tcBorders>
            <w:shd w:val="clear" w:color="auto" w:fill="CCECFF"/>
          </w:tcPr>
          <w:p>
            <w:pPr>
              <w:spacing w:after="0"/>
              <w:rPr>
                <w:sz w:val="11"/>
                <w:szCs w:val="11"/>
                <w:color w:val="auto"/>
              </w:rPr>
            </w:pPr>
          </w:p>
        </w:tc>
        <w:tc>
          <w:tcPr>
            <w:tcW w:w="19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12,846</w:t>
            </w:r>
          </w:p>
        </w:tc>
        <w:tc>
          <w:tcPr>
            <w:tcW w:w="2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12,383</w:t>
            </w: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12,383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8"/>
        </w:trPr>
        <w:tc>
          <w:tcPr>
            <w:tcW w:w="3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Debt—15.0% of Net Assets</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9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(11)</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07/31/2027</w:t>
            </w:r>
          </w:p>
        </w:tc>
        <w:tc>
          <w:tcPr>
            <w:tcW w:w="26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10.79 %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88,011</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88,011</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12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9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4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88,011</w:t>
            </w: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88,011</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Common Equity—22.0% of Net Assets </w:t>
            </w:r>
            <w:r>
              <w:rPr>
                <w:rFonts w:ascii="Times New Roman" w:cs="Times New Roman" w:eastAsia="Times New Roman" w:hAnsi="Times New Roman"/>
                <w:sz w:val="14"/>
                <w:szCs w:val="14"/>
                <w:b w:val="1"/>
                <w:bCs w:val="1"/>
                <w:color w:val="auto"/>
                <w:vertAlign w:val="superscript"/>
              </w:rPr>
              <w:t>(6)</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3,297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MSpark, LLC</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51,151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16,516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PennantPark Senior Loan Fund, LLC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49,298,789</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49,362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51,098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RAM Energy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Energy and Utilities</w:t>
            </w:r>
          </w:p>
        </w:tc>
        <w:tc>
          <w:tcPr>
            <w:tcW w:w="1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180,805</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162,708</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74,282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w:t>
            </w:r>
          </w:p>
        </w:tc>
        <w:tc>
          <w:tcPr>
            <w:tcW w:w="12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9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4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228,718</w:t>
            </w: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128,677</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381,904</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259,386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Investments—209.4% of Net Assets</w:t>
            </w:r>
          </w:p>
        </w:tc>
        <w:tc>
          <w:tcPr>
            <w:tcW w:w="12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9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4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1,302,029</w:t>
            </w: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1,226,301</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Equivalents—9.0% of Net Assets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9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39,122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39,122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BNY Mellon Cash Reserve and Cash</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13,722</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2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9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4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52,844</w:t>
            </w: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52,666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Equivalents—218.4% of Net Assets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1,354,873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1,278,967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840" w:type="dxa"/>
            <w:vAlign w:val="bottom"/>
            <w:shd w:val="clear" w:color="auto" w:fill="CCECFF"/>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Assets—(118.4%) of Net Assets</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rPr>
              <w:t>(693,402</w:t>
            </w:r>
          </w:p>
        </w:tc>
        <w:tc>
          <w:tcPr>
            <w:tcW w:w="100" w:type="dxa"/>
            <w:vAlign w:val="bottom"/>
            <w:shd w:val="clear" w:color="auto" w:fill="CCEC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35"/>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585,565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-4311015</wp:posOffset>
            </wp:positionV>
            <wp:extent cx="76835"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-4311015</wp:posOffset>
            </wp:positionV>
            <wp:extent cx="76835" cy="94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-4311015</wp:posOffset>
            </wp:positionV>
            <wp:extent cx="76835"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-4311015</wp:posOffset>
            </wp:positionV>
            <wp:extent cx="68580" cy="94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-4311015</wp:posOffset>
            </wp:positionV>
            <wp:extent cx="68580"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-4311015</wp:posOffset>
            </wp:positionV>
            <wp:extent cx="68580"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-4311015</wp:posOffset>
            </wp:positionV>
            <wp:extent cx="6858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-4311015</wp:posOffset>
            </wp:positionV>
            <wp:extent cx="6858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-3265170</wp:posOffset>
            </wp:positionV>
            <wp:extent cx="68580"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-3265170</wp:posOffset>
            </wp:positionV>
            <wp:extent cx="68580"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-2905125</wp:posOffset>
            </wp:positionV>
            <wp:extent cx="68580"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-2905125</wp:posOffset>
            </wp:positionV>
            <wp:extent cx="68580" cy="102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-2545715</wp:posOffset>
            </wp:positionV>
            <wp:extent cx="68580" cy="102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-2545715</wp:posOffset>
            </wp:positionV>
            <wp:extent cx="68580" cy="102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-2356485</wp:posOffset>
            </wp:positionV>
            <wp:extent cx="6858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-1945640</wp:posOffset>
            </wp:positionV>
            <wp:extent cx="68580" cy="939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939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-1765300</wp:posOffset>
            </wp:positionV>
            <wp:extent cx="68580" cy="1028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1028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-1396365</wp:posOffset>
            </wp:positionV>
            <wp:extent cx="68580" cy="939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939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-864870</wp:posOffset>
            </wp:positionV>
            <wp:extent cx="68580"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102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-676910</wp:posOffset>
            </wp:positionV>
            <wp:extent cx="68580" cy="94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94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-316865</wp:posOffset>
            </wp:positionV>
            <wp:extent cx="68580"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20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80" w:right="220" w:hanging="372"/>
        <w:spacing w:after="0" w:line="255" w:lineRule="auto"/>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3" w:lineRule="exact"/>
        <w:rPr>
          <w:rFonts w:ascii="Times New Roman" w:cs="Times New Roman" w:eastAsia="Times New Roman" w:hAnsi="Times New Roman"/>
          <w:sz w:val="12"/>
          <w:szCs w:val="12"/>
          <w:color w:val="auto"/>
        </w:rPr>
      </w:pPr>
    </w:p>
    <w:p>
      <w:pPr>
        <w:ind w:left="380" w:hanging="372"/>
        <w:spacing w:after="0" w:line="255" w:lineRule="auto"/>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our accounting policy (See Note 2).</w:t>
      </w:r>
    </w:p>
    <w:p>
      <w:pPr>
        <w:spacing w:after="0" w:line="24" w:lineRule="exact"/>
        <w:rPr>
          <w:rFonts w:ascii="Times New Roman" w:cs="Times New Roman" w:eastAsia="Times New Roman" w:hAnsi="Times New Roman"/>
          <w:sz w:val="12"/>
          <w:szCs w:val="12"/>
          <w:color w:val="auto"/>
        </w:rPr>
      </w:pPr>
    </w:p>
    <w:p>
      <w:pPr>
        <w:ind w:left="380" w:right="60" w:hanging="372"/>
        <w:spacing w:after="0"/>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Offered Rate, or LIBOR or “L,” the Euro Interbank Offered Rate, or EURIBOR or “E,” , or Secured Overnight Financing Rate, or "SOFR",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SOFR loans are typically indexed to a 30-day, 90-day or 180-day SOFR rates (1M L, 3M L, or 6M L, respectively)at the borrower’s option. All securities are subject to a LIBOR, SOFR or Prime rate floor where a spread is provided, unless noted. The spread provided includes PIK interest and other fee rates, if any.</w:t>
      </w:r>
    </w:p>
    <w:p>
      <w:pPr>
        <w:spacing w:after="0" w:line="25"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was not valued using significant unobservable inputs. The value of all other securities was determined using significant unobservable inputs (See Note 5).</w:t>
      </w:r>
    </w:p>
    <w:p>
      <w:pPr>
        <w:spacing w:after="0" w:line="24"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Non-income producing securities.</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Non-U.S. company or principal place of business outside the United States.</w:t>
      </w:r>
    </w:p>
    <w:p>
      <w:pPr>
        <w:spacing w:after="0" w:line="24"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held through our Taxable Subsidiary (See Note 1).</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 / Shares amount is denominated in British Pounds (£) as denoted.</w:t>
      </w:r>
    </w:p>
    <w:p>
      <w:pPr>
        <w:spacing w:after="0" w:line="24" w:lineRule="exact"/>
        <w:rPr>
          <w:rFonts w:ascii="Times New Roman" w:cs="Times New Roman" w:eastAsia="Times New Roman" w:hAnsi="Times New Roman"/>
          <w:sz w:val="12"/>
          <w:szCs w:val="12"/>
          <w:color w:val="auto"/>
        </w:rPr>
      </w:pPr>
    </w:p>
    <w:p>
      <w:pPr>
        <w:ind w:left="380" w:right="20" w:hanging="372"/>
        <w:spacing w:after="0" w:line="255" w:lineRule="auto"/>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88% of the Company’s total assets and non-qualifying assets represent 12% of the Company’s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1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1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00" w:type="dxa"/>
            <w:vAlign w:val="bottom"/>
          </w:tcPr>
          <w:p>
            <w:pPr>
              <w:spacing w:after="0"/>
              <w:rPr>
                <w:sz w:val="11"/>
                <w:szCs w:val="11"/>
                <w:color w:val="auto"/>
              </w:rPr>
            </w:pPr>
          </w:p>
        </w:tc>
        <w:tc>
          <w:tcPr>
            <w:tcW w:w="72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(3)</w:t>
            </w:r>
          </w:p>
        </w:tc>
        <w:tc>
          <w:tcPr>
            <w:tcW w:w="0" w:type="dxa"/>
            <w:vAlign w:val="bottom"/>
          </w:tcPr>
          <w:p>
            <w:pPr>
              <w:spacing w:after="0"/>
              <w:rPr>
                <w:sz w:val="1"/>
                <w:szCs w:val="1"/>
                <w:color w:val="auto"/>
              </w:rPr>
            </w:pPr>
          </w:p>
        </w:tc>
      </w:tr>
      <w:tr>
        <w:trPr>
          <w:trHeight w:val="156"/>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6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00" w:type="dxa"/>
            <w:vAlign w:val="bottom"/>
          </w:tcPr>
          <w:p>
            <w:pPr>
              <w:spacing w:after="0"/>
              <w:rPr>
                <w:sz w:val="13"/>
                <w:szCs w:val="13"/>
                <w:color w:val="auto"/>
              </w:rPr>
            </w:pPr>
          </w:p>
        </w:tc>
        <w:tc>
          <w:tcPr>
            <w:tcW w:w="72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90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0"/>
                <w:szCs w:val="10"/>
                <w:b w:val="1"/>
                <w:bCs w:val="1"/>
                <w:color w:val="auto"/>
              </w:rPr>
              <w:t xml:space="preserve">Investments in Non-Controlled, Non-Affiliated Portfolio Companies—124.3% </w:t>
            </w:r>
            <w:r>
              <w:rPr>
                <w:rFonts w:ascii="Times New Roman" w:cs="Times New Roman" w:eastAsia="Times New Roman" w:hAnsi="Times New Roman"/>
                <w:sz w:val="13"/>
                <w:szCs w:val="13"/>
                <w:b w:val="1"/>
                <w:bCs w:val="1"/>
                <w:color w:val="auto"/>
                <w:vertAlign w:val="superscript"/>
              </w:rPr>
              <w:t>(1), (2)</w:t>
            </w:r>
          </w:p>
        </w:tc>
        <w:tc>
          <w:tcPr>
            <w:tcW w:w="2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Debt—77.5%</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18 Freemont Street Acquisition, LLC</w:t>
            </w:r>
          </w:p>
        </w:tc>
        <w:tc>
          <w:tcPr>
            <w:tcW w:w="9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08/11/2025</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0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9.50 %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7,433</w:t>
            </w:r>
          </w:p>
        </w:tc>
        <w:tc>
          <w:tcPr>
            <w:tcW w:w="3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6,815</w:t>
            </w:r>
          </w:p>
        </w:tc>
        <w:tc>
          <w:tcPr>
            <w:tcW w:w="44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7,563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0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Ad.net Acquisition, LLC (Revolver)</w:t>
            </w:r>
          </w:p>
        </w:tc>
        <w:tc>
          <w:tcPr>
            <w:tcW w:w="90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1"/>
                <w:szCs w:val="11"/>
                <w:color w:val="auto"/>
              </w:rPr>
              <w:t>05/06/2026</w:t>
            </w: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7.00 %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76</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76</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05/06/2026</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Altamira Technologies, LLC (Revolver)</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07/24/2025</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L+700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07/24/2025</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American Insulated Glass, LLC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12/21/2023</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Building Materials</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15,795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15,639</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15,637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Any Hour Services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07/21/2027</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(38 )</w:t>
            </w: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07/21/2027</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9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07/31/2025</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6.25 %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Apex Service Partners, LLC Term Loan C</w:t>
            </w:r>
          </w:p>
        </w:tc>
        <w:tc>
          <w:tcPr>
            <w:tcW w:w="90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1"/>
                <w:szCs w:val="11"/>
                <w:color w:val="auto"/>
              </w:rPr>
              <w:t>07/31/2025</w:t>
            </w: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6.25 %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5,592</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5,509</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5,536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Apex Service Partners, LLC Term Loan 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01/31/2022</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6,658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Apex Service Partners, LLC (Revolver)</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07/29/2024</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L+525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239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239</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07/29/2024</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06/29/2022</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(55 )</w:t>
            </w: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12/29/2026</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Bottom Line Systems, LLC</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02/13/2023</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6.25 %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6,153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6,128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9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12/02/2022</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9.75 %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25,333</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25,333</w:t>
            </w:r>
          </w:p>
        </w:tc>
        <w:tc>
          <w:tcPr>
            <w:tcW w:w="2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25,333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0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CF512, Inc.</w:t>
            </w:r>
          </w:p>
        </w:tc>
        <w:tc>
          <w:tcPr>
            <w:tcW w:w="90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1"/>
                <w:szCs w:val="11"/>
                <w:color w:val="auto"/>
              </w:rPr>
              <w:t>08/20/2026</w:t>
            </w: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7.00 %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10,000</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9,802</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9,800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CF512, Inc.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08/20/2026</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2,727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(27 )</w:t>
            </w: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CF512, Inc.(Revolver)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08/20/2026</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Compex Legal Services, Inc.</w:t>
            </w:r>
          </w:p>
        </w:tc>
        <w:tc>
          <w:tcPr>
            <w:tcW w:w="9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02/09/2026</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6.75 %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3,570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3,514</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Compex Legal Services, Inc. (Revolver)</w:t>
            </w:r>
          </w:p>
        </w:tc>
        <w:tc>
          <w:tcPr>
            <w:tcW w:w="90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1"/>
                <w:szCs w:val="11"/>
                <w:color w:val="auto"/>
              </w:rPr>
              <w:t>02/07/2025</w:t>
            </w: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6.75 %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459</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459</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454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02/07/2025</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Connatix Buyer, Inc.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07/13/2027</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12,000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11,766</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11,760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01/13/2023</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3,158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Connatix Buyer, Inc. (Revolver)</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07/13/2027</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186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186</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Connatix Buyer, Inc.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07/13/2027</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Crane 1 Services, Inc.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08/16/2027</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1,847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1,820</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Services, Inc.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08/16/2023</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08/16/2027</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Crash Champions, LLC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08/05/2025</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Auto Sector</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4,751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4,704</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4,656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Crash Champions, LLC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05/14/2022</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6,749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(67 )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DermaRite Industries LLC</w:t>
            </w:r>
          </w:p>
        </w:tc>
        <w:tc>
          <w:tcPr>
            <w:tcW w:w="9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03/03/2022</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10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8.00 %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8,041</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7,720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Dr. Squatch, LLC</w:t>
            </w:r>
          </w:p>
        </w:tc>
        <w:tc>
          <w:tcPr>
            <w:tcW w:w="90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1"/>
                <w:szCs w:val="11"/>
                <w:color w:val="auto"/>
              </w:rPr>
              <w:t>08/27/2026</w:t>
            </w: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0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7.00 %</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13,515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13,247</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13,244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Dr. Squatch, LLC (Revolver)</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08/27/2026</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1,706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1,706</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08/27/2026</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DRS Holdings III, Inc.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11/03/2025</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9,975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9,882</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9,905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11/03/2025</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ECL Entertainment, LLC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03/31/2028</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Hotels, Motels, Inns and Gaming</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8.25 %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L+750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8,747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8,664</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8,944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ECM Industries,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12/23/2025</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9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06/17/2028</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5.50 %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3,487</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Gantech Acquisition Corp.</w:t>
            </w:r>
          </w:p>
        </w:tc>
        <w:tc>
          <w:tcPr>
            <w:tcW w:w="90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1"/>
                <w:szCs w:val="11"/>
                <w:color w:val="auto"/>
              </w:rPr>
              <w:t>05/14/2026</w:t>
            </w: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7.25 %</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19,900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19,522</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19,502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Gantech Acquisition Corp. (Revolver)</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05/14/2026</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498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498</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488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05/14/2026</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Graffiti Buyer, Inc.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08/10/2027</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Distribution</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1,994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1,955</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08/10/2023</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08/10/2027</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Hancock Roofing and Construction L.L.C.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12/31/2022</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12/31/2026</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12/10/2024</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5.50 %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2,541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2,526</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HW Holdco, LLC (Revolver)</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12/10/2024</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5.50 %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1,219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1,219</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12/10/2024</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2,168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IG Investments Holdings, LLC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09/22/2028</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4,518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4,428</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09/22/2027</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IMIA Holdings, Inc.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04/09/2027</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13,589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13,341</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13,317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IMIA Holdings, Inc.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04/09/2027</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Integrity Marketing Acquisition, LLC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08/27/2025</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Insurance</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6.49 %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17,220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17,116</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17,134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07/09/2023</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4,278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Juniper Landscaping of Florida, LLC</w:t>
            </w:r>
          </w:p>
        </w:tc>
        <w:tc>
          <w:tcPr>
            <w:tcW w:w="9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12/22/2021</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6.50 %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2,611</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K2 Pure Solutions NoCal, L.P.</w:t>
            </w:r>
          </w:p>
        </w:tc>
        <w:tc>
          <w:tcPr>
            <w:tcW w:w="90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1"/>
                <w:szCs w:val="11"/>
                <w:color w:val="auto"/>
              </w:rPr>
              <w:t>12/20/2023</w:t>
            </w: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8.00 %</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11,800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11,712</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11,486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K2 Pure Solutions NoCal, L.P. (Revolver)</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12/20/2023</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872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872</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849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12/20/2023</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1,066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(28 )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9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02/18/2027</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8.00 %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29,335</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Lash OpCo, LLC (Revolver)</w:t>
            </w:r>
          </w:p>
        </w:tc>
        <w:tc>
          <w:tcPr>
            <w:tcW w:w="90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1"/>
                <w:szCs w:val="11"/>
                <w:color w:val="auto"/>
              </w:rPr>
              <w:t>08/16/2026</w:t>
            </w: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8.00 %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291</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291</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285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08/19/2026</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1,528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(31 )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10/31/2024</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Leisure, Amusement, Motion Pictures, Entertainment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8.50 %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(PIK 5.00%)</w:t>
            </w: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Lightspeed Buyer Inc.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02/03/2026</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4,994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4,922</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4,994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02/03/2026</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Lombart Brothers, Inc.</w:t>
            </w:r>
          </w:p>
        </w:tc>
        <w:tc>
          <w:tcPr>
            <w:tcW w:w="9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04/13/2023</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7.25 %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Lombart Brothers, Inc. (Revolver)</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04/13/2023</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7.25 %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3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-6480175</wp:posOffset>
            </wp:positionV>
            <wp:extent cx="7132320" cy="93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-6128385</wp:posOffset>
            </wp:positionV>
            <wp:extent cx="7132320" cy="85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-5956935</wp:posOffset>
            </wp:positionV>
            <wp:extent cx="7132320" cy="85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-5785485</wp:posOffset>
            </wp:positionV>
            <wp:extent cx="7132320" cy="85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-5442585</wp:posOffset>
            </wp:positionV>
            <wp:extent cx="7132320" cy="85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-5271135</wp:posOffset>
            </wp:positionV>
            <wp:extent cx="7132320" cy="85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-5099685</wp:posOffset>
            </wp:positionV>
            <wp:extent cx="7132320" cy="85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-4756785</wp:posOffset>
            </wp:positionV>
            <wp:extent cx="7132320" cy="85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-4413885</wp:posOffset>
            </wp:positionV>
            <wp:extent cx="7132320" cy="857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-4242435</wp:posOffset>
            </wp:positionV>
            <wp:extent cx="7132320" cy="85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-4070985</wp:posOffset>
            </wp:positionV>
            <wp:extent cx="7132320" cy="857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-3899535</wp:posOffset>
            </wp:positionV>
            <wp:extent cx="7132320" cy="85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-3728085</wp:posOffset>
            </wp:positionV>
            <wp:extent cx="7132320" cy="85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-3385185</wp:posOffset>
            </wp:positionV>
            <wp:extent cx="7132320"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-3213735</wp:posOffset>
            </wp:positionV>
            <wp:extent cx="713232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-3042285</wp:posOffset>
            </wp:positionV>
            <wp:extent cx="713232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-2699385</wp:posOffset>
            </wp:positionV>
            <wp:extent cx="7132320"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-2527935</wp:posOffset>
            </wp:positionV>
            <wp:extent cx="7132320" cy="85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-2356485</wp:posOffset>
            </wp:positionV>
            <wp:extent cx="713232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-2185035</wp:posOffset>
            </wp:positionV>
            <wp:extent cx="713232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-2013585</wp:posOffset>
            </wp:positionV>
            <wp:extent cx="7132320" cy="857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-1842135</wp:posOffset>
            </wp:positionV>
            <wp:extent cx="7132320" cy="85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-1670685</wp:posOffset>
            </wp:positionV>
            <wp:extent cx="7132320" cy="857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-1499235</wp:posOffset>
            </wp:positionV>
            <wp:extent cx="7132320" cy="85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-1156335</wp:posOffset>
            </wp:positionV>
            <wp:extent cx="7132320" cy="857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85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5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1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1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tbl>
      <w:tblPr>
        <w:tblLayout w:type="fixed"/>
        <w:tblInd w:w="0" w:type="dxa"/>
        <w:tblCellMar>
          <w:top w:w="0" w:type="dxa"/>
          <w:left w:w="0" w:type="dxa"/>
          <w:bottom w:w="0" w:type="dxa"/>
          <w:right w:w="0" w:type="dxa"/>
        </w:tblCellMar>
      </w:tblPr>
      <w:tr>
        <w:trPr>
          <w:trHeight w:val="114"/>
        </w:trPr>
        <w:tc>
          <w:tcPr>
            <w:tcW w:w="3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1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4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220" w:type="dxa"/>
            <w:vAlign w:val="bottom"/>
          </w:tcPr>
          <w:p>
            <w:pPr>
              <w:spacing w:after="0"/>
              <w:rPr>
                <w:sz w:val="9"/>
                <w:szCs w:val="9"/>
                <w:color w:val="auto"/>
              </w:rPr>
            </w:pPr>
          </w:p>
        </w:tc>
        <w:tc>
          <w:tcPr>
            <w:tcW w:w="72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9"/>
                <w:szCs w:val="9"/>
                <w:color w:val="auto"/>
              </w:rPr>
            </w:pPr>
          </w:p>
        </w:tc>
        <w:tc>
          <w:tcPr>
            <w:tcW w:w="780" w:type="dxa"/>
            <w:vAlign w:val="bottom"/>
            <w:gridSpan w:val="3"/>
            <w:vMerge w:val="restart"/>
          </w:tcPr>
          <w:p>
            <w:pPr>
              <w:jc w:val="right"/>
              <w:ind w:right="102"/>
              <w:spacing w:after="0"/>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(3)</w:t>
            </w:r>
          </w:p>
        </w:tc>
        <w:tc>
          <w:tcPr>
            <w:tcW w:w="0" w:type="dxa"/>
            <w:vAlign w:val="bottom"/>
          </w:tcPr>
          <w:p>
            <w:pPr>
              <w:spacing w:after="0"/>
              <w:rPr>
                <w:sz w:val="1"/>
                <w:szCs w:val="1"/>
                <w:color w:val="auto"/>
              </w:rPr>
            </w:pPr>
          </w:p>
        </w:tc>
      </w:tr>
      <w:tr>
        <w:trPr>
          <w:trHeight w:val="148"/>
        </w:trPr>
        <w:tc>
          <w:tcPr>
            <w:tcW w:w="3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4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220" w:type="dxa"/>
            <w:vAlign w:val="bottom"/>
          </w:tcPr>
          <w:p>
            <w:pPr>
              <w:spacing w:after="0"/>
              <w:rPr>
                <w:sz w:val="12"/>
                <w:szCs w:val="12"/>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0" w:type="dxa"/>
            <w:vAlign w:val="bottom"/>
            <w:tcBorders>
              <w:top w:val="single" w:sz="8" w:color="auto"/>
            </w:tcBorders>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color w:val="auto"/>
              </w:rPr>
              <w:t>Mars Acquisition Holdings Corp. (Revolver)</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5/14/2026</w:t>
            </w:r>
          </w:p>
        </w:tc>
        <w:tc>
          <w:tcPr>
            <w:tcW w:w="140" w:type="dxa"/>
            <w:vAlign w:val="bottom"/>
            <w:shd w:val="clear" w:color="auto" w:fill="CCECFF"/>
          </w:tcPr>
          <w:p>
            <w:pPr>
              <w:spacing w:after="0"/>
              <w:rPr>
                <w:sz w:val="11"/>
                <w:szCs w:val="11"/>
                <w:color w:val="auto"/>
              </w:rPr>
            </w:pPr>
          </w:p>
        </w:tc>
        <w:tc>
          <w:tcPr>
            <w:tcW w:w="25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806</w:t>
            </w: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C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MBS Holdings,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04/16/2027</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05/23/2024</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2,759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2,736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MeritDirect,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05/23/2024</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2,518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6.00 %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6,953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6,814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6,814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1,880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1,880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08/19/2026</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7,561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NBH Group LLC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08/19/2026</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07/09/2026</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5.75 %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3,893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OIS Management Services, LLC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07/09/2023</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OIS Management Services,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07/09/2026</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05/07/2027</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Cargo Transport</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14,920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14,631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ORL Acquisition, Inc.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09/03/2027</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6.25 %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5,041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Acquisition, Inc.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09/03/2027</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15,671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15,435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 (Revolver)</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(35 )</w:t>
            </w:r>
          </w:p>
        </w:tc>
        <w:tc>
          <w:tcPr>
            <w:tcW w:w="0" w:type="dxa"/>
            <w:vAlign w:val="bottom"/>
          </w:tcPr>
          <w:p>
            <w:pPr>
              <w:spacing w:after="0"/>
              <w:rPr>
                <w:sz w:val="1"/>
                <w:szCs w:val="1"/>
                <w:color w:val="auto"/>
              </w:rPr>
            </w:pPr>
          </w:p>
        </w:tc>
      </w:tr>
      <w:tr>
        <w:trPr>
          <w:trHeight w:val="121"/>
        </w:trPr>
        <w:tc>
          <w:tcPr>
            <w:tcW w:w="300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PRA Events, Inc.</w:t>
            </w:r>
          </w:p>
        </w:tc>
        <w:tc>
          <w:tcPr>
            <w:tcW w:w="78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9"/>
              </w:rPr>
              <w:t>08/07/2025</w:t>
            </w:r>
          </w:p>
        </w:tc>
        <w:tc>
          <w:tcPr>
            <w:tcW w:w="140" w:type="dxa"/>
            <w:vAlign w:val="bottom"/>
            <w:shd w:val="clear" w:color="auto" w:fill="CCECFF"/>
          </w:tcPr>
          <w:p>
            <w:pPr>
              <w:spacing w:after="0"/>
              <w:rPr>
                <w:sz w:val="10"/>
                <w:szCs w:val="10"/>
                <w:color w:val="auto"/>
              </w:rPr>
            </w:pPr>
          </w:p>
        </w:tc>
        <w:tc>
          <w:tcPr>
            <w:tcW w:w="25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11.50 %</w:t>
            </w:r>
          </w:p>
        </w:tc>
        <w:tc>
          <w:tcPr>
            <w:tcW w:w="8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L+1,050</w:t>
            </w:r>
          </w:p>
        </w:tc>
        <w:tc>
          <w:tcPr>
            <w:tcW w:w="9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23,675</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20,421</w:t>
            </w: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22,373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(PIK 11.50%)</w:t>
            </w: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PRA Events, Inc. (Revolver)</w:t>
            </w:r>
          </w:p>
        </w:tc>
        <w:tc>
          <w:tcPr>
            <w:tcW w:w="7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9"/>
              </w:rPr>
              <w:t>08/07/2025</w:t>
            </w:r>
          </w:p>
        </w:tc>
        <w:tc>
          <w:tcPr>
            <w:tcW w:w="140" w:type="dxa"/>
            <w:vAlign w:val="bottom"/>
          </w:tcPr>
          <w:p>
            <w:pPr>
              <w:spacing w:after="0"/>
              <w:rPr>
                <w:sz w:val="10"/>
                <w:szCs w:val="10"/>
                <w:color w:val="auto"/>
              </w:rPr>
            </w:pPr>
          </w:p>
        </w:tc>
        <w:tc>
          <w:tcPr>
            <w:tcW w:w="2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11.50 %</w:t>
            </w: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L+1,050</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2,461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2,123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11.50%)</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shd w:val="clear" w:color="auto" w:fill="CCECFF"/>
          </w:tcPr>
          <w:p>
            <w:pPr>
              <w:spacing w:after="0"/>
              <w:rPr>
                <w:sz w:val="12"/>
                <w:szCs w:val="12"/>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6,188</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6,095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6,064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Quantic Electronics,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2,094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Questex,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09/09/2024</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6.00 %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21,825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21,584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Questex, LLC (Revolver)</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09/09/2024</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6.00 %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09/09/2024</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(86 )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Radius Aerospace, Inc.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03/31/2025</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2,227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(63 )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Rancho Health MSO,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01/29/2026</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Horizons,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06/28/2022</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28,796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28,682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Now Group, Inc. and Dynata,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2,884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06/20/2025</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03/10/2025</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15,952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01/03/2025</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 (Revolver)</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2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Schlesinger Global, Inc.</w:t>
            </w:r>
          </w:p>
        </w:tc>
        <w:tc>
          <w:tcPr>
            <w:tcW w:w="7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tcPr>
          <w:p>
            <w:pPr>
              <w:spacing w:after="0"/>
              <w:rPr>
                <w:sz w:val="10"/>
                <w:szCs w:val="10"/>
                <w:color w:val="auto"/>
              </w:rPr>
            </w:pPr>
          </w:p>
        </w:tc>
        <w:tc>
          <w:tcPr>
            <w:tcW w:w="2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8.00 %</w:t>
            </w: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L+700</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512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1.00%)</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Schlesinger Global, Inc. (Revolver)</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shd w:val="clear" w:color="auto" w:fill="CCECFF"/>
          </w:tcPr>
          <w:p>
            <w:pPr>
              <w:spacing w:after="0"/>
              <w:rPr>
                <w:sz w:val="10"/>
                <w:szCs w:val="10"/>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(PIK 1.00%)</w:t>
            </w: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Schlesinger Global, Inc. (Revolver)</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9.75 %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L+875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6,520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6,406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 - Term Loan II</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12/31/2021</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8.50 %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 (Revolver)</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05/03/2024</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8.50 %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05/03/2024</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01/17/2024</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Spear Education,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02/26/2025</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6.00 %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14,781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Spear Education,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02/26/2022</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Spectacle Gary Holdings,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12/23/2025</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Hotels, Motels, Inns and Gaming</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11.00 %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L+900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21,546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20,972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23,391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TAC LifePort Purchaser,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03/01/2026</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(0 )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07/27/2026</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5,606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5,496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Bluebird Group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07/27/2026</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08/30/2027</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4,577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4,486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4,491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08/30/2027</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2,221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08/30/2027</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Canada Parent, Inc. and TPC US Parent, LLC </w:t>
            </w:r>
            <w:r>
              <w:rPr>
                <w:rFonts w:ascii="Times New Roman" w:cs="Times New Roman" w:eastAsia="Times New Roman" w:hAnsi="Times New Roman"/>
                <w:sz w:val="14"/>
                <w:szCs w:val="14"/>
                <w:color w:val="auto"/>
                <w:vertAlign w:val="superscript"/>
              </w:rPr>
              <w:t>(8),(11)</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11/24/2025</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6.25 %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1,771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03/26/2026</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Transportation</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15,506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15,347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15,506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03/26/2026</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Transportation</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2,702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06/16/2025</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4,137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4,137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4,137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06/16/2025</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1,644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04/01/2026</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03/31/2027</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Home and Office Furnishings</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24,293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02/27/2026</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6.00 %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Wildcat Buyerco,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02/27/2022</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02/27/2026</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2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28"/>
        </w:trPr>
        <w:tc>
          <w:tcPr>
            <w:tcW w:w="300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Borders>
              <w:top w:val="single" w:sz="8" w:color="CCECFF"/>
            </w:tcBorders>
          </w:tcPr>
          <w:p>
            <w:pPr>
              <w:spacing w:after="0"/>
              <w:rPr>
                <w:sz w:val="11"/>
                <w:szCs w:val="11"/>
                <w:color w:val="auto"/>
              </w:rPr>
            </w:pPr>
          </w:p>
        </w:tc>
        <w:tc>
          <w:tcPr>
            <w:tcW w:w="640" w:type="dxa"/>
            <w:vAlign w:val="bottom"/>
            <w:tcBorders>
              <w:top w:val="single" w:sz="8" w:color="CCECFF"/>
            </w:tcBorders>
          </w:tcPr>
          <w:p>
            <w:pPr>
              <w:spacing w:after="0"/>
              <w:rPr>
                <w:sz w:val="11"/>
                <w:szCs w:val="11"/>
                <w:color w:val="auto"/>
              </w:rPr>
            </w:pPr>
          </w:p>
        </w:tc>
        <w:tc>
          <w:tcPr>
            <w:tcW w:w="140" w:type="dxa"/>
            <w:vAlign w:val="bottom"/>
            <w:tcBorders>
              <w:top w:val="single" w:sz="8" w:color="CCECFF"/>
            </w:tcBorders>
          </w:tcPr>
          <w:p>
            <w:pPr>
              <w:spacing w:after="0"/>
              <w:rPr>
                <w:sz w:val="11"/>
                <w:szCs w:val="11"/>
                <w:color w:val="auto"/>
              </w:rPr>
            </w:pPr>
          </w:p>
        </w:tc>
        <w:tc>
          <w:tcPr>
            <w:tcW w:w="2580" w:type="dxa"/>
            <w:vAlign w:val="bottom"/>
            <w:tcBorders>
              <w:top w:val="single" w:sz="8" w:color="CCECFF"/>
            </w:tcBorders>
          </w:tcPr>
          <w:p>
            <w:pPr>
              <w:spacing w:after="0"/>
              <w:rPr>
                <w:sz w:val="11"/>
                <w:szCs w:val="11"/>
                <w:color w:val="auto"/>
              </w:rPr>
            </w:pPr>
          </w:p>
        </w:tc>
        <w:tc>
          <w:tcPr>
            <w:tcW w:w="120" w:type="dxa"/>
            <w:vAlign w:val="bottom"/>
            <w:tcBorders>
              <w:top w:val="single" w:sz="8" w:color="CCECFF"/>
            </w:tcBorders>
          </w:tcPr>
          <w:p>
            <w:pPr>
              <w:spacing w:after="0"/>
              <w:rPr>
                <w:sz w:val="11"/>
                <w:szCs w:val="11"/>
                <w:color w:val="auto"/>
              </w:rPr>
            </w:pPr>
          </w:p>
        </w:tc>
        <w:tc>
          <w:tcPr>
            <w:tcW w:w="740" w:type="dxa"/>
            <w:vAlign w:val="bottom"/>
            <w:tcBorders>
              <w:top w:val="single" w:sz="8" w:color="CCECFF"/>
            </w:tcBorders>
          </w:tcPr>
          <w:p>
            <w:pPr>
              <w:spacing w:after="0"/>
              <w:rPr>
                <w:sz w:val="11"/>
                <w:szCs w:val="11"/>
                <w:color w:val="auto"/>
              </w:rPr>
            </w:pPr>
          </w:p>
        </w:tc>
        <w:tc>
          <w:tcPr>
            <w:tcW w:w="240" w:type="dxa"/>
            <w:vAlign w:val="bottom"/>
            <w:tcBorders>
              <w:top w:val="single" w:sz="8" w:color="CCECFF"/>
            </w:tcBorders>
          </w:tcPr>
          <w:p>
            <w:pPr>
              <w:spacing w:after="0"/>
              <w:rPr>
                <w:sz w:val="11"/>
                <w:szCs w:val="11"/>
                <w:color w:val="auto"/>
              </w:rPr>
            </w:pPr>
          </w:p>
        </w:tc>
        <w:tc>
          <w:tcPr>
            <w:tcW w:w="840" w:type="dxa"/>
            <w:vAlign w:val="bottom"/>
            <w:tcBorders>
              <w:top w:val="single" w:sz="8" w:color="CCECFF"/>
            </w:tcBorders>
          </w:tcPr>
          <w:p>
            <w:pPr>
              <w:spacing w:after="0"/>
              <w:rPr>
                <w:sz w:val="11"/>
                <w:szCs w:val="11"/>
                <w:color w:val="auto"/>
              </w:rPr>
            </w:pPr>
          </w:p>
        </w:tc>
        <w:tc>
          <w:tcPr>
            <w:tcW w:w="220" w:type="dxa"/>
            <w:vAlign w:val="bottom"/>
            <w:tcBorders>
              <w:top w:val="single" w:sz="8" w:color="CCECFF"/>
            </w:tcBorders>
          </w:tcPr>
          <w:p>
            <w:pPr>
              <w:spacing w:after="0"/>
              <w:rPr>
                <w:sz w:val="11"/>
                <w:szCs w:val="11"/>
                <w:color w:val="auto"/>
              </w:rPr>
            </w:pPr>
          </w:p>
        </w:tc>
        <w:tc>
          <w:tcPr>
            <w:tcW w:w="720" w:type="dxa"/>
            <w:vAlign w:val="bottom"/>
            <w:tcBorders>
              <w:top w:val="single" w:sz="8" w:color="CCECFF"/>
            </w:tcBorders>
          </w:tcPr>
          <w:p>
            <w:pPr>
              <w:spacing w:after="0"/>
              <w:rPr>
                <w:sz w:val="11"/>
                <w:szCs w:val="11"/>
                <w:color w:val="auto"/>
              </w:rPr>
            </w:pPr>
          </w:p>
        </w:tc>
        <w:tc>
          <w:tcPr>
            <w:tcW w:w="220" w:type="dxa"/>
            <w:vAlign w:val="bottom"/>
            <w:tcBorders>
              <w:top w:val="single" w:sz="8" w:color="CCEC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509,046</w:t>
            </w:r>
          </w:p>
        </w:tc>
        <w:tc>
          <w:tcPr>
            <w:tcW w:w="220" w:type="dxa"/>
            <w:vAlign w:val="bottom"/>
            <w:tcBorders>
              <w:top w:val="single" w:sz="8" w:color="CCEC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511,405</w:t>
            </w:r>
          </w:p>
        </w:tc>
        <w:tc>
          <w:tcPr>
            <w:tcW w:w="100" w:type="dxa"/>
            <w:vAlign w:val="bottom"/>
            <w:tcBorders>
              <w:top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Debt—16.2%</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Atlas Purchaser, Inc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05/07/2029</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9.75 %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Data Axle, Inc.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04/03/2024</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Other Media</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10.25 %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L+925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20,220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ENC Parent Corporation</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08/19/2029</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8.25 %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Halo Buyer, Inc.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07/06/2026</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9.25 %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32,500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32,106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31,119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09/29/2024</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9.50 %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16,593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16,292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QuantiTech LLC</w:t>
            </w:r>
          </w:p>
        </w:tc>
        <w:tc>
          <w:tcPr>
            <w:tcW w:w="7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02/04/2027</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11.00 %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VT Topco, Inc.</w:t>
            </w:r>
          </w:p>
        </w:tc>
        <w:tc>
          <w:tcPr>
            <w:tcW w:w="7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08/17/2026</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7.06 %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14,922</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25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107,620</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107,225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527"/>
        </w:trPr>
        <w:tc>
          <w:tcPr>
            <w:tcW w:w="3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-1242060</wp:posOffset>
            </wp:positionV>
            <wp:extent cx="68580" cy="1028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102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-359410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1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1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00" w:type="dxa"/>
            <w:vAlign w:val="bottom"/>
          </w:tcPr>
          <w:p>
            <w:pPr>
              <w:spacing w:after="0"/>
              <w:rPr>
                <w:sz w:val="11"/>
                <w:szCs w:val="11"/>
                <w:color w:val="auto"/>
              </w:rPr>
            </w:pPr>
          </w:p>
        </w:tc>
        <w:tc>
          <w:tcPr>
            <w:tcW w:w="72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(3)</w:t>
            </w:r>
          </w:p>
        </w:tc>
        <w:tc>
          <w:tcPr>
            <w:tcW w:w="0" w:type="dxa"/>
            <w:vAlign w:val="bottom"/>
          </w:tcPr>
          <w:p>
            <w:pPr>
              <w:spacing w:after="0"/>
              <w:rPr>
                <w:sz w:val="1"/>
                <w:szCs w:val="1"/>
                <w:color w:val="auto"/>
              </w:rPr>
            </w:pPr>
          </w:p>
        </w:tc>
      </w:tr>
      <w:tr>
        <w:trPr>
          <w:trHeight w:val="162"/>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00" w:type="dxa"/>
            <w:vAlign w:val="bottom"/>
          </w:tcPr>
          <w:p>
            <w:pPr>
              <w:spacing w:after="0"/>
              <w:rPr>
                <w:sz w:val="14"/>
                <w:szCs w:val="14"/>
                <w:color w:val="auto"/>
              </w:rPr>
            </w:pPr>
          </w:p>
        </w:tc>
        <w:tc>
          <w:tcPr>
            <w:tcW w:w="72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9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Debt/Corporate Notes—8.6%</w:t>
            </w:r>
          </w:p>
        </w:tc>
        <w:tc>
          <w:tcPr>
            <w:tcW w:w="120" w:type="dxa"/>
            <w:vAlign w:val="bottom"/>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6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60" w:type="dxa"/>
            <w:vAlign w:val="bottom"/>
            <w:tcBorders>
              <w:top w:val="single" w:sz="8" w:color="auto"/>
            </w:tcBorders>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540" w:type="dxa"/>
            <w:vAlign w:val="bottom"/>
            <w:tcBorders>
              <w:top w:val="single" w:sz="8" w:color="auto"/>
            </w:tcBorders>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40" w:type="dxa"/>
            <w:vAlign w:val="bottom"/>
            <w:tcBorders>
              <w:top w:val="single" w:sz="8" w:color="auto"/>
            </w:tcBorders>
            <w:shd w:val="clear" w:color="auto" w:fill="CCECFF"/>
          </w:tcPr>
          <w:p>
            <w:pPr>
              <w:spacing w:after="0"/>
              <w:rPr>
                <w:sz w:val="11"/>
                <w:szCs w:val="11"/>
                <w:color w:val="auto"/>
              </w:rPr>
            </w:pPr>
          </w:p>
        </w:tc>
        <w:tc>
          <w:tcPr>
            <w:tcW w:w="48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Blackhawk Industrial Distribution, Inc.</w:t>
            </w:r>
          </w:p>
        </w:tc>
        <w:tc>
          <w:tcPr>
            <w:tcW w:w="78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1"/>
                <w:szCs w:val="11"/>
                <w:color w:val="auto"/>
              </w:rPr>
              <w:t>03/17/2025</w:t>
            </w:r>
          </w:p>
        </w:tc>
        <w:tc>
          <w:tcPr>
            <w:tcW w:w="240" w:type="dxa"/>
            <w:vAlign w:val="bottom"/>
          </w:tcPr>
          <w:p>
            <w:pPr>
              <w:spacing w:after="0"/>
              <w:rPr>
                <w:sz w:val="10"/>
                <w:szCs w:val="10"/>
                <w:color w:val="auto"/>
              </w:rPr>
            </w:pP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4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12.00 %</w:t>
            </w:r>
          </w:p>
        </w:tc>
        <w:tc>
          <w:tcPr>
            <w:tcW w:w="860" w:type="dxa"/>
            <w:vAlign w:val="bottom"/>
          </w:tcPr>
          <w:p>
            <w:pPr>
              <w:ind w:left="7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14,335</w:t>
            </w:r>
          </w:p>
        </w:tc>
        <w:tc>
          <w:tcPr>
            <w:tcW w:w="3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14,165</w:t>
            </w:r>
          </w:p>
        </w:tc>
        <w:tc>
          <w:tcPr>
            <w:tcW w:w="440" w:type="dxa"/>
            <w:vAlign w:val="bottom"/>
            <w:gridSpan w:val="2"/>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(PIK 2.00%)</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Cascade Environmental LLC</w:t>
            </w:r>
          </w:p>
        </w:tc>
        <w:tc>
          <w:tcPr>
            <w:tcW w:w="7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12/30/2023</w:t>
            </w:r>
          </w:p>
        </w:tc>
        <w:tc>
          <w:tcPr>
            <w:tcW w:w="240" w:type="dxa"/>
            <w:vAlign w:val="bottom"/>
            <w:shd w:val="clear" w:color="auto" w:fill="CCECFF"/>
          </w:tcPr>
          <w:p>
            <w:pPr>
              <w:spacing w:after="0"/>
              <w:rPr>
                <w:sz w:val="10"/>
                <w:szCs w:val="10"/>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0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13.00 %</w:t>
            </w: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42,468</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42,150</w:t>
            </w:r>
          </w:p>
        </w:tc>
        <w:tc>
          <w:tcPr>
            <w:tcW w:w="2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42,680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25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920" w:type="dxa"/>
            <w:vAlign w:val="bottom"/>
            <w:tcBorders>
              <w:bottom w:val="single" w:sz="8" w:color="CCECFF"/>
            </w:tcBorders>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(PIK 13.00%)</w:t>
            </w:r>
          </w:p>
        </w:tc>
        <w:tc>
          <w:tcPr>
            <w:tcW w:w="86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spacing w:after="0"/>
              <w:rPr>
                <w:sz w:val="12"/>
                <w:szCs w:val="12"/>
                <w:color w:val="auto"/>
              </w:rPr>
            </w:pPr>
          </w:p>
        </w:tc>
        <w:tc>
          <w:tcPr>
            <w:tcW w:w="480" w:type="dxa"/>
            <w:vAlign w:val="bottom"/>
            <w:tcBorders>
              <w:bottom w:val="single" w:sz="8" w:color="auto"/>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20" w:type="dxa"/>
            <w:vAlign w:val="bottom"/>
          </w:tcPr>
          <w:p>
            <w:pPr>
              <w:ind w:left="20"/>
              <w:spacing w:after="0" w:line="114" w:lineRule="exact"/>
              <w:rPr>
                <w:sz w:val="20"/>
                <w:szCs w:val="20"/>
                <w:color w:val="auto"/>
              </w:rPr>
            </w:pPr>
            <w:r>
              <w:rPr>
                <w:rFonts w:ascii="Times New Roman" w:cs="Times New Roman" w:eastAsia="Times New Roman" w:hAnsi="Times New Roman"/>
                <w:sz w:val="11"/>
                <w:szCs w:val="11"/>
                <w:b w:val="1"/>
                <w:bCs w:val="1"/>
                <w:color w:val="auto"/>
              </w:rPr>
              <w:t>Total Subordinated Debt/Corporate Notes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56,315</w:t>
            </w:r>
          </w:p>
        </w:tc>
        <w:tc>
          <w:tcPr>
            <w:tcW w:w="2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57,015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92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Preferred Equity/Partnership Interests—3.9% </w:t>
            </w:r>
            <w:r>
              <w:rPr>
                <w:rFonts w:ascii="Times New Roman" w:cs="Times New Roman" w:eastAsia="Times New Roman" w:hAnsi="Times New Roman"/>
                <w:sz w:val="11"/>
                <w:szCs w:val="11"/>
                <w:b w:val="1"/>
                <w:bCs w:val="1"/>
                <w:color w:val="auto"/>
                <w:vertAlign w:val="superscript"/>
              </w:rPr>
              <w:t>(6)</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4"/>
                <w:szCs w:val="14"/>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AH Newco Equityholdings, LLC</w:t>
            </w: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6.00 %</w:t>
            </w: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Cascade Environmental LLC</w:t>
            </w:r>
          </w:p>
        </w:tc>
        <w:tc>
          <w:tcPr>
            <w:tcW w:w="120" w:type="dxa"/>
            <w:vAlign w:val="bottom"/>
          </w:tcPr>
          <w:p>
            <w:pPr>
              <w:spacing w:after="0"/>
              <w:rPr>
                <w:sz w:val="10"/>
                <w:szCs w:val="10"/>
                <w:color w:val="auto"/>
              </w:rPr>
            </w:pPr>
          </w:p>
        </w:tc>
        <w:tc>
          <w:tcPr>
            <w:tcW w:w="660" w:type="dxa"/>
            <w:vAlign w:val="bottom"/>
          </w:tcPr>
          <w:p>
            <w:pPr>
              <w:ind w:left="5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04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16.00 %</w:t>
            </w:r>
          </w:p>
        </w:tc>
        <w:tc>
          <w:tcPr>
            <w:tcW w:w="860" w:type="dxa"/>
            <w:vAlign w:val="bottom"/>
          </w:tcPr>
          <w:p>
            <w:pPr>
              <w:ind w:left="7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178,304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17,607</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21,133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9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Mars Intermediate Holdings II, Inc</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414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414</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4"/>
                <w:szCs w:val="14"/>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NXOF Holdings, Inc. (Tyto Athene, LLC)</w:t>
            </w: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ORL Holdco, Inc.</w:t>
            </w:r>
          </w:p>
        </w:tc>
        <w:tc>
          <w:tcPr>
            <w:tcW w:w="120" w:type="dxa"/>
            <w:vAlign w:val="bottom"/>
          </w:tcPr>
          <w:p>
            <w:pPr>
              <w:spacing w:after="0"/>
              <w:rPr>
                <w:sz w:val="10"/>
                <w:szCs w:val="10"/>
                <w:color w:val="auto"/>
              </w:rPr>
            </w:pPr>
          </w:p>
        </w:tc>
        <w:tc>
          <w:tcPr>
            <w:tcW w:w="660" w:type="dxa"/>
            <w:vAlign w:val="bottom"/>
          </w:tcPr>
          <w:p>
            <w:pPr>
              <w:ind w:left="5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9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Signature CR Intermediate Holdco, Inc.</w:t>
            </w:r>
          </w:p>
        </w:tc>
        <w:tc>
          <w:tcPr>
            <w:tcW w:w="120" w:type="dxa"/>
            <w:vAlign w:val="bottom"/>
          </w:tcPr>
          <w:p>
            <w:pPr>
              <w:spacing w:after="0"/>
              <w:rPr>
                <w:sz w:val="10"/>
                <w:szCs w:val="10"/>
                <w:color w:val="auto"/>
              </w:rPr>
            </w:pPr>
          </w:p>
        </w:tc>
        <w:tc>
          <w:tcPr>
            <w:tcW w:w="660" w:type="dxa"/>
            <w:vAlign w:val="bottom"/>
          </w:tcPr>
          <w:p>
            <w:pPr>
              <w:ind w:left="5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104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12.00 %</w:t>
            </w: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1,527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1,527</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1,879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(8),(11)</w:t>
            </w:r>
          </w:p>
        </w:tc>
        <w:tc>
          <w:tcPr>
            <w:tcW w:w="120" w:type="dxa"/>
            <w:vAlign w:val="bottom"/>
          </w:tcPr>
          <w:p>
            <w:pPr>
              <w:spacing w:after="0"/>
              <w:rPr>
                <w:sz w:val="14"/>
                <w:szCs w:val="14"/>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TWD Parent Holdings, LLC (The Vertex Companies, LLC)</w:t>
            </w: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CFF"/>
            </w:tcBorders>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auto"/>
            </w:tcBorders>
            <w:shd w:val="clear" w:color="auto" w:fill="CCECFF"/>
          </w:tcPr>
          <w:p>
            <w:pPr>
              <w:spacing w:after="0"/>
              <w:rPr>
                <w:sz w:val="11"/>
                <w:szCs w:val="11"/>
                <w:color w:val="auto"/>
              </w:rPr>
            </w:pPr>
          </w:p>
        </w:tc>
        <w:tc>
          <w:tcPr>
            <w:tcW w:w="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92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21,295</w:t>
            </w:r>
          </w:p>
        </w:tc>
        <w:tc>
          <w:tcPr>
            <w:tcW w:w="2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25,873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2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Interests/Warrants—18.0% </w:t>
            </w:r>
            <w:r>
              <w:rPr>
                <w:rFonts w:ascii="Times New Roman" w:cs="Times New Roman" w:eastAsia="Times New Roman" w:hAnsi="Times New Roman"/>
                <w:sz w:val="14"/>
                <w:szCs w:val="14"/>
                <w:b w:val="1"/>
                <w:bCs w:val="1"/>
                <w:color w:val="auto"/>
                <w:vertAlign w:val="superscript"/>
              </w:rPr>
              <w:t>(6)</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Ad.net Holdings, Inc. (9)</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2,667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Affinion Group Holdings, Inc. (Warrants)</w:t>
            </w:r>
          </w:p>
        </w:tc>
        <w:tc>
          <w:tcPr>
            <w:tcW w:w="78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04/10/2024</w:t>
            </w:r>
          </w:p>
        </w:tc>
        <w:tc>
          <w:tcPr>
            <w:tcW w:w="2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77,190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2,126</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(9)</w:t>
            </w:r>
          </w:p>
        </w:tc>
        <w:tc>
          <w:tcPr>
            <w:tcW w:w="120" w:type="dxa"/>
            <w:vAlign w:val="bottom"/>
          </w:tcPr>
          <w:p>
            <w:pPr>
              <w:spacing w:after="0"/>
              <w:rPr>
                <w:sz w:val="13"/>
                <w:szCs w:val="13"/>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9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Altamira Intermediate Company II, Inc.</w:t>
            </w:r>
          </w:p>
        </w:tc>
        <w:tc>
          <w:tcPr>
            <w:tcW w:w="120" w:type="dxa"/>
            <w:vAlign w:val="bottom"/>
          </w:tcPr>
          <w:p>
            <w:pPr>
              <w:spacing w:after="0"/>
              <w:rPr>
                <w:sz w:val="10"/>
                <w:szCs w:val="10"/>
                <w:color w:val="auto"/>
              </w:rPr>
            </w:pPr>
          </w:p>
        </w:tc>
        <w:tc>
          <w:tcPr>
            <w:tcW w:w="660" w:type="dxa"/>
            <w:vAlign w:val="bottom"/>
          </w:tcPr>
          <w:p>
            <w:pPr>
              <w:ind w:left="5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125,000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125</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Atlas Investment Aggregator,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1,700,000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Cascade Environmental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33,901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2,852</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2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CI (Allied) Investment Holdings, LLC</w:t>
            </w:r>
          </w:p>
        </w:tc>
        <w:tc>
          <w:tcPr>
            <w:tcW w:w="120" w:type="dxa"/>
            <w:vAlign w:val="bottom"/>
          </w:tcPr>
          <w:p>
            <w:pPr>
              <w:spacing w:after="0"/>
              <w:rPr>
                <w:sz w:val="10"/>
                <w:szCs w:val="10"/>
                <w:color w:val="auto"/>
              </w:rPr>
            </w:pPr>
          </w:p>
        </w:tc>
        <w:tc>
          <w:tcPr>
            <w:tcW w:w="660" w:type="dxa"/>
            <w:vAlign w:val="bottom"/>
          </w:tcPr>
          <w:p>
            <w:pPr>
              <w:ind w:left="5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120,962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1,243</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92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20" w:type="dxa"/>
            <w:vAlign w:val="bottom"/>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Parent, LLC</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57,416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2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Cowboy Parent LLC</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ind w:left="5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0"/>
                <w:szCs w:val="10"/>
                <w:color w:val="auto"/>
              </w:rPr>
            </w:pPr>
          </w:p>
        </w:tc>
        <w:tc>
          <w:tcPr>
            <w:tcW w:w="25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0"/>
                <w:szCs w:val="10"/>
                <w:color w:val="auto"/>
              </w:rPr>
            </w:pPr>
          </w:p>
        </w:tc>
        <w:tc>
          <w:tcPr>
            <w:tcW w:w="92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CFF"/>
          </w:tcPr>
          <w:p>
            <w:pPr>
              <w:ind w:left="7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22,500</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2,250</w:t>
            </w:r>
          </w:p>
        </w:tc>
        <w:tc>
          <w:tcPr>
            <w:tcW w:w="2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1,902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9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Crane 1 Acquisition Parent Holdings, L.P.</w:t>
            </w:r>
          </w:p>
        </w:tc>
        <w:tc>
          <w:tcPr>
            <w:tcW w:w="120" w:type="dxa"/>
            <w:vAlign w:val="bottom"/>
          </w:tcPr>
          <w:p>
            <w:pPr>
              <w:spacing w:after="0"/>
              <w:rPr>
                <w:sz w:val="8"/>
                <w:szCs w:val="8"/>
                <w:color w:val="auto"/>
              </w:rPr>
            </w:pPr>
          </w:p>
        </w:tc>
        <w:tc>
          <w:tcPr>
            <w:tcW w:w="660" w:type="dxa"/>
            <w:vAlign w:val="bottom"/>
          </w:tcPr>
          <w:p>
            <w:pPr>
              <w:ind w:left="5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8"/>
                <w:szCs w:val="8"/>
                <w:color w:val="auto"/>
              </w:rPr>
            </w:pP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8"/>
                <w:szCs w:val="8"/>
                <w:color w:val="auto"/>
              </w:rPr>
            </w:pPr>
          </w:p>
        </w:tc>
        <w:tc>
          <w:tcPr>
            <w:tcW w:w="920" w:type="dxa"/>
            <w:vAlign w:val="bottom"/>
            <w:gridSpan w:val="2"/>
          </w:tcPr>
          <w:p>
            <w:pPr>
              <w:jc w:val="right"/>
              <w:ind w:right="2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113</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104</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Crash Champion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570,522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571</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(7), (9)</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570,522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(82 )</w:t>
            </w: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167,537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14"/>
                <w:szCs w:val="14"/>
                <w:color w:val="auto"/>
                <w:vertAlign w:val="superscript"/>
              </w:rPr>
              <w:t>(11)</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3,331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(7),(9)</w:t>
            </w:r>
          </w:p>
        </w:tc>
        <w:tc>
          <w:tcPr>
            <w:tcW w:w="120" w:type="dxa"/>
            <w:vAlign w:val="bottom"/>
          </w:tcPr>
          <w:p>
            <w:pPr>
              <w:spacing w:after="0"/>
              <w:rPr>
                <w:sz w:val="13"/>
                <w:szCs w:val="13"/>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4,072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Gauge Lash Coinvest LLC</w:t>
            </w:r>
          </w:p>
        </w:tc>
        <w:tc>
          <w:tcPr>
            <w:tcW w:w="120" w:type="dxa"/>
            <w:vAlign w:val="bottom"/>
          </w:tcPr>
          <w:p>
            <w:pPr>
              <w:spacing w:after="0"/>
              <w:rPr>
                <w:sz w:val="12"/>
                <w:szCs w:val="12"/>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889,376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Gauge Schlesinger Coinvest, LLC</w:t>
            </w: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Gauge TVC Coinvest, LLC</w:t>
            </w:r>
          </w:p>
        </w:tc>
        <w:tc>
          <w:tcPr>
            <w:tcW w:w="120" w:type="dxa"/>
            <w:vAlign w:val="bottom"/>
          </w:tcPr>
          <w:p>
            <w:pPr>
              <w:spacing w:after="0"/>
              <w:rPr>
                <w:sz w:val="10"/>
                <w:szCs w:val="10"/>
                <w:color w:val="auto"/>
              </w:rPr>
            </w:pPr>
          </w:p>
        </w:tc>
        <w:tc>
          <w:tcPr>
            <w:tcW w:w="660" w:type="dxa"/>
            <w:vAlign w:val="bottom"/>
          </w:tcPr>
          <w:p>
            <w:pPr>
              <w:ind w:left="5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810,645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92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(TVC Enterprises, LLC)</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1,855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(7),(9)</w:t>
            </w:r>
          </w:p>
        </w:tc>
        <w:tc>
          <w:tcPr>
            <w:tcW w:w="120" w:type="dxa"/>
            <w:vAlign w:val="bottom"/>
          </w:tcPr>
          <w:p>
            <w:pPr>
              <w:spacing w:after="0"/>
              <w:rPr>
                <w:sz w:val="13"/>
                <w:szCs w:val="13"/>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92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Go Dawgs Capital III, LP</w:t>
            </w:r>
          </w:p>
        </w:tc>
        <w:tc>
          <w:tcPr>
            <w:tcW w:w="120" w:type="dxa"/>
            <w:vAlign w:val="bottom"/>
          </w:tcPr>
          <w:p>
            <w:pPr>
              <w:spacing w:after="0"/>
              <w:rPr>
                <w:sz w:val="10"/>
                <w:szCs w:val="10"/>
                <w:color w:val="auto"/>
              </w:rPr>
            </w:pPr>
          </w:p>
        </w:tc>
        <w:tc>
          <w:tcPr>
            <w:tcW w:w="660" w:type="dxa"/>
            <w:vAlign w:val="bottom"/>
          </w:tcPr>
          <w:p>
            <w:pPr>
              <w:ind w:left="5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Building Materials</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675,325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675</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92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20" w:type="dxa"/>
            <w:vAlign w:val="bottom"/>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Green Veracity Holdings, LP - Class A</w:t>
            </w:r>
          </w:p>
        </w:tc>
        <w:tc>
          <w:tcPr>
            <w:tcW w:w="120" w:type="dxa"/>
            <w:vAlign w:val="bottom"/>
          </w:tcPr>
          <w:p>
            <w:pPr>
              <w:spacing w:after="0"/>
              <w:rPr>
                <w:sz w:val="10"/>
                <w:szCs w:val="10"/>
                <w:color w:val="auto"/>
              </w:rPr>
            </w:pPr>
          </w:p>
        </w:tc>
        <w:tc>
          <w:tcPr>
            <w:tcW w:w="660" w:type="dxa"/>
            <w:vAlign w:val="bottom"/>
          </w:tcPr>
          <w:p>
            <w:pPr>
              <w:ind w:left="5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92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(VT Topco, Inc.)</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Infogroup Parent Holdings, Inc. (Data Axle, Inc.)</w:t>
            </w:r>
          </w:p>
        </w:tc>
        <w:tc>
          <w:tcPr>
            <w:tcW w:w="120" w:type="dxa"/>
            <w:vAlign w:val="bottom"/>
          </w:tcPr>
          <w:p>
            <w:pPr>
              <w:spacing w:after="0"/>
              <w:rPr>
                <w:sz w:val="10"/>
                <w:szCs w:val="10"/>
                <w:color w:val="auto"/>
              </w:rPr>
            </w:pPr>
          </w:p>
        </w:tc>
        <w:tc>
          <w:tcPr>
            <w:tcW w:w="660" w:type="dxa"/>
            <w:vAlign w:val="bottom"/>
          </w:tcPr>
          <w:p>
            <w:pPr>
              <w:ind w:left="5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Other Media</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181,495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2,040</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3,221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Ironclad Holdco, LLC (Applied Technical Services,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3,960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ITC Rumba, LLC (Cano Health,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375,675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JWC-WE Holdings, L.P.</w:t>
            </w:r>
          </w:p>
        </w:tc>
        <w:tc>
          <w:tcPr>
            <w:tcW w:w="120" w:type="dxa"/>
            <w:vAlign w:val="bottom"/>
          </w:tcPr>
          <w:p>
            <w:pPr>
              <w:spacing w:after="0"/>
              <w:rPr>
                <w:sz w:val="10"/>
                <w:szCs w:val="10"/>
                <w:color w:val="auto"/>
              </w:rPr>
            </w:pPr>
          </w:p>
        </w:tc>
        <w:tc>
          <w:tcPr>
            <w:tcW w:w="660" w:type="dxa"/>
            <w:vAlign w:val="bottom"/>
          </w:tcPr>
          <w:p>
            <w:pPr>
              <w:ind w:left="5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Home and Office Furnishings</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1,906,433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6,616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920" w:type="dxa"/>
            <w:vAlign w:val="bottom"/>
            <w:vMerge w:val="restart"/>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920" w:type="dxa"/>
            <w:vAlign w:val="bottom"/>
            <w:vMerge w:val="continue"/>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256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86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54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48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92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Kadmon Holdings, Inc. </w:t>
            </w:r>
            <w:r>
              <w:rPr>
                <w:rFonts w:ascii="Times New Roman" w:cs="Times New Roman" w:eastAsia="Times New Roman" w:hAnsi="Times New Roman"/>
                <w:sz w:val="11"/>
                <w:szCs w:val="11"/>
                <w:color w:val="auto"/>
                <w:vertAlign w:val="superscript"/>
              </w:rPr>
              <w:t>(5)</w:t>
            </w:r>
          </w:p>
        </w:tc>
        <w:tc>
          <w:tcPr>
            <w:tcW w:w="120" w:type="dxa"/>
            <w:vAlign w:val="bottom"/>
          </w:tcPr>
          <w:p>
            <w:pPr>
              <w:spacing w:after="0"/>
              <w:rPr>
                <w:sz w:val="8"/>
                <w:szCs w:val="8"/>
                <w:color w:val="auto"/>
              </w:rPr>
            </w:pPr>
          </w:p>
        </w:tc>
        <w:tc>
          <w:tcPr>
            <w:tcW w:w="660" w:type="dxa"/>
            <w:vAlign w:val="bottom"/>
          </w:tcPr>
          <w:p>
            <w:pPr>
              <w:ind w:left="5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8"/>
                <w:szCs w:val="8"/>
                <w:color w:val="auto"/>
              </w:rPr>
            </w:pP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8"/>
                <w:szCs w:val="8"/>
                <w:color w:val="auto"/>
              </w:rPr>
            </w:pPr>
          </w:p>
        </w:tc>
        <w:tc>
          <w:tcPr>
            <w:tcW w:w="920" w:type="dxa"/>
            <w:vAlign w:val="bottom"/>
            <w:gridSpan w:val="2"/>
          </w:tcPr>
          <w:p>
            <w:pPr>
              <w:jc w:val="right"/>
              <w:ind w:right="2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252,014</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2,266</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2,195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Kentucky Racing Holdco, LLC (Warrants)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161,252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KL Stockton Co-Invest LP (Any Hour Services)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382,353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Lariat ecoserv Co-Invest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363,656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Lightspeed Investment Holdco LLC</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273,143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Mars Intermidiate Holdings II, Inc.</w:t>
            </w:r>
          </w:p>
        </w:tc>
        <w:tc>
          <w:tcPr>
            <w:tcW w:w="120" w:type="dxa"/>
            <w:vAlign w:val="bottom"/>
          </w:tcPr>
          <w:p>
            <w:pPr>
              <w:spacing w:after="0"/>
              <w:rPr>
                <w:sz w:val="10"/>
                <w:szCs w:val="10"/>
                <w:color w:val="auto"/>
              </w:rPr>
            </w:pPr>
          </w:p>
        </w:tc>
        <w:tc>
          <w:tcPr>
            <w:tcW w:w="660" w:type="dxa"/>
            <w:vAlign w:val="bottom"/>
          </w:tcPr>
          <w:p>
            <w:pPr>
              <w:ind w:left="5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414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Municipal Emergency Services, Inc.</w:t>
            </w:r>
          </w:p>
        </w:tc>
        <w:tc>
          <w:tcPr>
            <w:tcW w:w="120" w:type="dxa"/>
            <w:vAlign w:val="bottom"/>
          </w:tcPr>
          <w:p>
            <w:pPr>
              <w:spacing w:after="0"/>
              <w:rPr>
                <w:sz w:val="10"/>
                <w:szCs w:val="10"/>
                <w:color w:val="auto"/>
              </w:rPr>
            </w:pPr>
          </w:p>
        </w:tc>
        <w:tc>
          <w:tcPr>
            <w:tcW w:w="660" w:type="dxa"/>
            <w:vAlign w:val="bottom"/>
          </w:tcPr>
          <w:p>
            <w:pPr>
              <w:ind w:left="5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1,593,514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1,594</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1,594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NEPRT Parent Holdings, LLC (Recteq,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4"/>
                <w:szCs w:val="14"/>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92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NXOF Holdings, Inc.</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ind w:left="5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0"/>
                <w:szCs w:val="10"/>
                <w:color w:val="auto"/>
              </w:rPr>
            </w:pPr>
          </w:p>
        </w:tc>
        <w:tc>
          <w:tcPr>
            <w:tcW w:w="25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0"/>
                <w:szCs w:val="10"/>
                <w:color w:val="auto"/>
              </w:rPr>
            </w:pPr>
          </w:p>
        </w:tc>
        <w:tc>
          <w:tcPr>
            <w:tcW w:w="92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CFF"/>
          </w:tcPr>
          <w:p>
            <w:pPr>
              <w:ind w:left="7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3,261</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(Tyto Athene, LLC)</w:t>
            </w: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9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OceanSound Discovery Equity, LP</w:t>
            </w:r>
          </w:p>
        </w:tc>
        <w:tc>
          <w:tcPr>
            <w:tcW w:w="120" w:type="dxa"/>
            <w:vAlign w:val="bottom"/>
          </w:tcPr>
          <w:p>
            <w:pPr>
              <w:spacing w:after="0"/>
              <w:rPr>
                <w:sz w:val="8"/>
                <w:szCs w:val="8"/>
                <w:color w:val="auto"/>
              </w:rPr>
            </w:pPr>
          </w:p>
        </w:tc>
        <w:tc>
          <w:tcPr>
            <w:tcW w:w="660" w:type="dxa"/>
            <w:vAlign w:val="bottom"/>
          </w:tcPr>
          <w:p>
            <w:pPr>
              <w:ind w:left="5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8"/>
                <w:szCs w:val="8"/>
                <w:color w:val="auto"/>
              </w:rPr>
            </w:pP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8"/>
                <w:szCs w:val="8"/>
                <w:color w:val="auto"/>
              </w:rPr>
            </w:pPr>
          </w:p>
        </w:tc>
        <w:tc>
          <w:tcPr>
            <w:tcW w:w="920" w:type="dxa"/>
            <w:vAlign w:val="bottom"/>
            <w:gridSpan w:val="2"/>
          </w:tcPr>
          <w:p>
            <w:pPr>
              <w:jc w:val="right"/>
              <w:ind w:right="2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98,286</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979</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1,625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(Holdco Sands Intermediate,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Oral Surgery (ITC)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2,904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ORL Holdco, Inc.</w:t>
            </w:r>
          </w:p>
        </w:tc>
        <w:tc>
          <w:tcPr>
            <w:tcW w:w="120" w:type="dxa"/>
            <w:vAlign w:val="bottom"/>
          </w:tcPr>
          <w:p>
            <w:pPr>
              <w:spacing w:after="0"/>
              <w:rPr>
                <w:sz w:val="10"/>
                <w:szCs w:val="10"/>
                <w:color w:val="auto"/>
              </w:rPr>
            </w:pPr>
          </w:p>
        </w:tc>
        <w:tc>
          <w:tcPr>
            <w:tcW w:w="660" w:type="dxa"/>
            <w:vAlign w:val="bottom"/>
          </w:tcPr>
          <w:p>
            <w:pPr>
              <w:ind w:left="5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638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(7),(9)</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4"/>
                <w:szCs w:val="14"/>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-6076950</wp:posOffset>
            </wp:positionV>
            <wp:extent cx="713232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-5631180</wp:posOffset>
            </wp:positionV>
            <wp:extent cx="7132320" cy="85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-5288280</wp:posOffset>
            </wp:positionV>
            <wp:extent cx="7132320" cy="85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-5031105</wp:posOffset>
            </wp:positionV>
            <wp:extent cx="713232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-4756785</wp:posOffset>
            </wp:positionV>
            <wp:extent cx="7132320" cy="85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-4585335</wp:posOffset>
            </wp:positionV>
            <wp:extent cx="7132320" cy="857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-4413885</wp:posOffset>
            </wp:positionV>
            <wp:extent cx="7132320" cy="857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-4242435</wp:posOffset>
            </wp:positionV>
            <wp:extent cx="7132320" cy="85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-3728085</wp:posOffset>
            </wp:positionV>
            <wp:extent cx="7132320" cy="857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-3556635</wp:posOffset>
            </wp:positionV>
            <wp:extent cx="7132320" cy="857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-3385820</wp:posOffset>
            </wp:positionV>
            <wp:extent cx="7132320" cy="85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-3213735</wp:posOffset>
            </wp:positionV>
            <wp:extent cx="7132320" cy="857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-2785110</wp:posOffset>
            </wp:positionV>
            <wp:extent cx="7132320" cy="857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-2613660</wp:posOffset>
            </wp:positionV>
            <wp:extent cx="7132320" cy="857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-2270760</wp:posOffset>
            </wp:positionV>
            <wp:extent cx="7132320" cy="857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-2099310</wp:posOffset>
            </wp:positionV>
            <wp:extent cx="7132320" cy="85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-1927860</wp:posOffset>
            </wp:positionV>
            <wp:extent cx="713232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-1671320</wp:posOffset>
            </wp:positionV>
            <wp:extent cx="7132320" cy="857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-1499870</wp:posOffset>
            </wp:positionV>
            <wp:extent cx="7132320" cy="857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132320" cy="857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-1156970</wp:posOffset>
            </wp:positionV>
            <wp:extent cx="7132320" cy="857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857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57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57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ind w:left="101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NNANTPARK INVESTMENT CORPORATION AND SUBSIDIARIES</w:t>
      </w:r>
    </w:p>
    <w:p>
      <w:pPr>
        <w:spacing w:after="0" w:line="1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tbl>
      <w:tblPr>
        <w:tblLayout w:type="fixed"/>
        <w:tblInd w:w="0" w:type="dxa"/>
        <w:tblCellMar>
          <w:top w:w="0" w:type="dxa"/>
          <w:left w:w="0" w:type="dxa"/>
          <w:bottom w:w="0" w:type="dxa"/>
          <w:right w:w="0" w:type="dxa"/>
        </w:tblCellMar>
      </w:tblPr>
      <w:tr>
        <w:trPr>
          <w:trHeight w:val="114"/>
        </w:trPr>
        <w:tc>
          <w:tcPr>
            <w:tcW w:w="2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2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90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5"/>
              </w:rPr>
              <w:t>Basis Point</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5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9"/>
                <w:szCs w:val="9"/>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(3)</w:t>
            </w:r>
          </w:p>
        </w:tc>
        <w:tc>
          <w:tcPr>
            <w:tcW w:w="0" w:type="dxa"/>
            <w:vAlign w:val="bottom"/>
          </w:tcPr>
          <w:p>
            <w:pPr>
              <w:spacing w:after="0"/>
              <w:rPr>
                <w:sz w:val="1"/>
                <w:szCs w:val="1"/>
                <w:color w:val="auto"/>
              </w:rPr>
            </w:pPr>
          </w:p>
        </w:tc>
      </w:tr>
      <w:tr>
        <w:trPr>
          <w:trHeight w:val="148"/>
        </w:trPr>
        <w:tc>
          <w:tcPr>
            <w:tcW w:w="3040" w:type="dxa"/>
            <w:vAlign w:val="bottom"/>
            <w:gridSpan w:val="2"/>
            <w:vMerge w:val="continue"/>
          </w:tcPr>
          <w:p>
            <w:pPr>
              <w:spacing w:after="0"/>
              <w:rPr>
                <w:sz w:val="12"/>
                <w:szCs w:val="1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40" w:type="dxa"/>
            <w:vAlign w:val="bottom"/>
          </w:tcPr>
          <w:p>
            <w:pPr>
              <w:spacing w:after="0"/>
              <w:rPr>
                <w:sz w:val="12"/>
                <w:szCs w:val="12"/>
                <w:color w:val="auto"/>
              </w:rPr>
            </w:pPr>
          </w:p>
        </w:tc>
        <w:tc>
          <w:tcPr>
            <w:tcW w:w="2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RFMG Parent, LP (Rancho Health MSO, Inc.)</w:t>
            </w:r>
          </w:p>
        </w:tc>
        <w:tc>
          <w:tcPr>
            <w:tcW w:w="120" w:type="dxa"/>
            <w:vAlign w:val="bottom"/>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9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0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SBI Holdings Investments LLC</w:t>
            </w:r>
          </w:p>
        </w:tc>
        <w:tc>
          <w:tcPr>
            <w:tcW w:w="660" w:type="dxa"/>
            <w:vAlign w:val="bottom"/>
          </w:tcPr>
          <w:p>
            <w:pPr>
              <w:ind w:left="5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36,585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9"/>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SSC Dominion Holdings, LLC</w:t>
            </w:r>
          </w:p>
        </w:tc>
        <w:tc>
          <w:tcPr>
            <w:tcW w:w="660" w:type="dxa"/>
            <w:vAlign w:val="bottom"/>
          </w:tcPr>
          <w:p>
            <w:pPr>
              <w:ind w:left="5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1,890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Class A (US Dominion, Inc.)</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6"/>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0"/>
                <w:szCs w:val="10"/>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0"/>
                <w:szCs w:val="10"/>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Class B (US Dominion, Inc.)</w:t>
            </w: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StellPen Holdings, LLC (CF512, Inc.)</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153,846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(9)</w:t>
            </w: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232,558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233</w:t>
            </w: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 (11)</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TWD Parent Holdings, LLC (The Vertex Companies, LLC)</w:t>
            </w: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U.S. Well Services, Inc. - Class A </w:t>
            </w:r>
            <w:r>
              <w:rPr>
                <w:rFonts w:ascii="Times New Roman" w:cs="Times New Roman" w:eastAsia="Times New Roman" w:hAnsi="Times New Roman"/>
                <w:sz w:val="14"/>
                <w:szCs w:val="14"/>
                <w:color w:val="auto"/>
                <w:vertAlign w:val="superscript"/>
              </w:rPr>
              <w:t>(5), (11)</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1,261,201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UniVista Insurance</w:t>
            </w: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Wildcat Parent, LP (Wildcat Buyerco, Inc.)</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2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ZS Juniper L.P.</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ind w:left="5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0"/>
                <w:szCs w:val="10"/>
                <w:color w:val="auto"/>
              </w:rPr>
            </w:pPr>
          </w:p>
        </w:tc>
        <w:tc>
          <w:tcPr>
            <w:tcW w:w="2560" w:type="dxa"/>
            <w:vAlign w:val="bottom"/>
            <w:shd w:val="clear" w:color="auto" w:fill="CCECFF"/>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shd w:val="clear" w:color="auto" w:fill="CCECFF"/>
          </w:tcPr>
          <w:p>
            <w:pPr>
              <w:spacing w:after="0"/>
              <w:rPr>
                <w:sz w:val="10"/>
                <w:szCs w:val="10"/>
                <w:color w:val="auto"/>
              </w:rPr>
            </w:pPr>
          </w:p>
        </w:tc>
        <w:tc>
          <w:tcPr>
            <w:tcW w:w="920" w:type="dxa"/>
            <w:vAlign w:val="bottom"/>
            <w:gridSpan w:val="2"/>
            <w:shd w:val="clear" w:color="auto" w:fill="CCEC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1,056</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1,056</w:t>
            </w:r>
          </w:p>
        </w:tc>
        <w:tc>
          <w:tcPr>
            <w:tcW w:w="2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5,227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tcBorders>
              <w:bottom w:val="single" w:sz="8" w:color="CCECFF"/>
            </w:tcBorders>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(Juniper Landscaping of Florida, LLC) </w:t>
            </w:r>
            <w:r>
              <w:rPr>
                <w:rFonts w:ascii="Times New Roman" w:cs="Times New Roman" w:eastAsia="Times New Roman" w:hAnsi="Times New Roman"/>
                <w:sz w:val="14"/>
                <w:szCs w:val="14"/>
                <w:color w:val="auto"/>
                <w:vertAlign w:val="superscript"/>
              </w:rPr>
              <w:t>(9)</w:t>
            </w:r>
          </w:p>
        </w:tc>
        <w:tc>
          <w:tcPr>
            <w:tcW w:w="120" w:type="dxa"/>
            <w:vAlign w:val="bottom"/>
            <w:tcBorders>
              <w:bottom w:val="single" w:sz="8" w:color="CCECFF"/>
            </w:tcBorders>
            <w:shd w:val="clear" w:color="auto" w:fill="CCECFF"/>
          </w:tcPr>
          <w:p>
            <w:pPr>
              <w:spacing w:after="0"/>
              <w:rPr>
                <w:sz w:val="13"/>
                <w:szCs w:val="13"/>
                <w:color w:val="auto"/>
              </w:rPr>
            </w:pPr>
          </w:p>
        </w:tc>
        <w:tc>
          <w:tcPr>
            <w:tcW w:w="6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256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70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90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56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540" w:type="dxa"/>
            <w:vAlign w:val="bottom"/>
            <w:tcBorders>
              <w:bottom w:val="single" w:sz="8" w:color="auto"/>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540" w:type="dxa"/>
            <w:vAlign w:val="bottom"/>
            <w:tcBorders>
              <w:bottom w:val="single" w:sz="8" w:color="auto"/>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35,536</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118,982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700" w:type="dxa"/>
            <w:vAlign w:val="bottom"/>
            <w:tcBorders>
              <w:bottom w:val="single" w:sz="8" w:color="CCECFF"/>
            </w:tcBorders>
            <w:gridSpan w:val="3"/>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Non-Controlled, Non-Affiliated Portfolio Companies</w:t>
            </w: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729,811</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820,500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70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Investments in Non-Controlled, Affiliated Portfolio Companies—7.6% </w:t>
            </w:r>
            <w:r>
              <w:rPr>
                <w:rFonts w:ascii="Times New Roman" w:cs="Times New Roman" w:eastAsia="Times New Roman" w:hAnsi="Times New Roman"/>
                <w:sz w:val="14"/>
                <w:szCs w:val="14"/>
                <w:b w:val="1"/>
                <w:bCs w:val="1"/>
                <w:color w:val="auto"/>
                <w:vertAlign w:val="superscript"/>
              </w:rPr>
              <w:t>(1), (2)</w:t>
            </w: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Interests—6.2% </w:t>
            </w:r>
            <w:r>
              <w:rPr>
                <w:rFonts w:ascii="Times New Roman" w:cs="Times New Roman" w:eastAsia="Times New Roman" w:hAnsi="Times New Roman"/>
                <w:sz w:val="14"/>
                <w:szCs w:val="14"/>
                <w:b w:val="1"/>
                <w:bCs w:val="1"/>
                <w:color w:val="auto"/>
                <w:vertAlign w:val="superscript"/>
              </w:rPr>
              <w:t>(6)</w:t>
            </w: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ETX Energy, LLC </w:t>
            </w:r>
            <w:r>
              <w:rPr>
                <w:rFonts w:ascii="Times New Roman" w:cs="Times New Roman" w:eastAsia="Times New Roman" w:hAnsi="Times New Roman"/>
                <w:sz w:val="14"/>
                <w:szCs w:val="14"/>
                <w:color w:val="auto"/>
                <w:vertAlign w:val="superscript"/>
              </w:rPr>
              <w:t>(9)</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61,732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ETX Energy, LLC - Series X </w:t>
            </w:r>
            <w:r>
              <w:rPr>
                <w:rFonts w:ascii="Times New Roman" w:cs="Times New Roman" w:eastAsia="Times New Roman" w:hAnsi="Times New Roman"/>
                <w:sz w:val="14"/>
                <w:szCs w:val="14"/>
                <w:color w:val="auto"/>
                <w:vertAlign w:val="superscript"/>
              </w:rPr>
              <w:t>(9)</w:t>
            </w: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10,944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1,094</w:t>
            </w: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MidOcean JF Holdings Corp.</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153,922</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15,392</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22,660</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41,023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Interests/Warrants—1.4% </w:t>
            </w:r>
            <w:r>
              <w:rPr>
                <w:rFonts w:ascii="Times New Roman" w:cs="Times New Roman" w:eastAsia="Times New Roman" w:hAnsi="Times New Roman"/>
                <w:sz w:val="14"/>
                <w:szCs w:val="14"/>
                <w:b w:val="1"/>
                <w:bCs w:val="1"/>
                <w:color w:val="auto"/>
                <w:vertAlign w:val="superscript"/>
              </w:rPr>
              <w:t>(6)</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ETX Energy, LLC </w:t>
            </w:r>
            <w:r>
              <w:rPr>
                <w:rFonts w:ascii="Times New Roman" w:cs="Times New Roman" w:eastAsia="Times New Roman" w:hAnsi="Times New Roman"/>
                <w:sz w:val="14"/>
                <w:szCs w:val="14"/>
                <w:color w:val="auto"/>
                <w:vertAlign w:val="superscript"/>
              </w:rPr>
              <w:t>(9)</w:t>
            </w: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1,658,389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29,712</w:t>
            </w: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ETX Energy Management Company, LLC</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1,754,104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MidOcean JF Holdings Corp.</w:t>
            </w:r>
          </w:p>
        </w:tc>
        <w:tc>
          <w:tcPr>
            <w:tcW w:w="660" w:type="dxa"/>
            <w:vAlign w:val="bottom"/>
            <w:tcBorders>
              <w:bottom w:val="single" w:sz="8" w:color="CCECFF"/>
            </w:tcBorders>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65,933</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24,790</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9,139</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56,064</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700" w:type="dxa"/>
            <w:vAlign w:val="bottom"/>
            <w:tcBorders>
              <w:bottom w:val="single" w:sz="8" w:color="CCECFF"/>
            </w:tcBorders>
            <w:gridSpan w:val="3"/>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78,723</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50,161</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70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Investments in Controlled, Affiliated Portfolio Companies—58.3% </w:t>
            </w:r>
            <w:r>
              <w:rPr>
                <w:rFonts w:ascii="Times New Roman" w:cs="Times New Roman" w:eastAsia="Times New Roman" w:hAnsi="Times New Roman"/>
                <w:sz w:val="14"/>
                <w:szCs w:val="14"/>
                <w:b w:val="1"/>
                <w:bCs w:val="1"/>
                <w:color w:val="auto"/>
                <w:vertAlign w:val="superscript"/>
              </w:rPr>
              <w:t>(1), (2)</w:t>
            </w: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Debt—6.2%</w:t>
            </w: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03/13/2024</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7.50 %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30,500</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42,389</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41,125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42,389</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41,125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Debt—10.6%</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2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Mailsouth Inc.</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ind w:left="80"/>
              <w:spacing w:after="0" w:line="122" w:lineRule="exact"/>
              <w:rPr>
                <w:sz w:val="20"/>
                <w:szCs w:val="20"/>
                <w:color w:val="auto"/>
              </w:rPr>
            </w:pPr>
            <w:r>
              <w:rPr>
                <w:rFonts w:ascii="Times New Roman" w:cs="Times New Roman" w:eastAsia="Times New Roman" w:hAnsi="Times New Roman"/>
                <w:sz w:val="11"/>
                <w:szCs w:val="11"/>
                <w:color w:val="auto"/>
              </w:rPr>
              <w:t>04/23/2025</w:t>
            </w:r>
          </w:p>
        </w:tc>
        <w:tc>
          <w:tcPr>
            <w:tcW w:w="240" w:type="dxa"/>
            <w:vAlign w:val="bottom"/>
            <w:shd w:val="clear" w:color="auto" w:fill="CCECFF"/>
          </w:tcPr>
          <w:p>
            <w:pPr>
              <w:spacing w:after="0"/>
              <w:rPr>
                <w:sz w:val="10"/>
                <w:szCs w:val="10"/>
                <w:color w:val="auto"/>
              </w:rPr>
            </w:pPr>
          </w:p>
        </w:tc>
        <w:tc>
          <w:tcPr>
            <w:tcW w:w="25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Printing and Publishing</w:t>
            </w:r>
          </w:p>
        </w:tc>
        <w:tc>
          <w:tcPr>
            <w:tcW w:w="104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15.00 %</w:t>
            </w:r>
          </w:p>
        </w:tc>
        <w:tc>
          <w:tcPr>
            <w:tcW w:w="9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11,087</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11,087</w:t>
            </w:r>
          </w:p>
        </w:tc>
        <w:tc>
          <w:tcPr>
            <w:tcW w:w="2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11,087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(PIK 15.00%)</w:t>
            </w:r>
          </w:p>
        </w:tc>
        <w:tc>
          <w:tcPr>
            <w:tcW w:w="9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PT Network Intermediate Holdings, LLC</w:t>
            </w:r>
          </w:p>
        </w:tc>
        <w:tc>
          <w:tcPr>
            <w:tcW w:w="12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11/30/2024</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11.00 %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58,582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58,276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(PIK 11.00%)</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69,363</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69,668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Debt—9.7%</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Borders>
              <w:bottom w:val="single" w:sz="8" w:color="CCECFF"/>
            </w:tcBorders>
            <w:gridSpan w:val="2"/>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(11)</w:t>
            </w:r>
          </w:p>
        </w:tc>
        <w:tc>
          <w:tcPr>
            <w:tcW w:w="66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1"/>
                <w:szCs w:val="11"/>
                <w:color w:val="auto"/>
              </w:rPr>
              <w:t>07/31/2027</w:t>
            </w: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040" w:type="dxa"/>
            <w:vAlign w:val="bottom"/>
            <w:tcBorders>
              <w:bottom w:val="single" w:sz="8" w:color="CCECFF"/>
            </w:tcBorders>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9.00 %</w:t>
            </w:r>
          </w:p>
        </w:tc>
        <w:tc>
          <w:tcPr>
            <w:tcW w:w="9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64,155</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64,155</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64,155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64,155</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64,155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gridSpan w:val="2"/>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Preferred Equity—2.0% </w:t>
            </w:r>
            <w:r>
              <w:rPr>
                <w:rFonts w:ascii="Times New Roman" w:cs="Times New Roman" w:eastAsia="Times New Roman" w:hAnsi="Times New Roman"/>
                <w:sz w:val="14"/>
                <w:szCs w:val="14"/>
                <w:b w:val="1"/>
                <w:bCs w:val="1"/>
                <w:color w:val="auto"/>
                <w:vertAlign w:val="superscript"/>
              </w:rPr>
              <w:t>(6)</w:t>
            </w: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14"/>
                <w:szCs w:val="14"/>
                <w:color w:val="auto"/>
                <w:vertAlign w:val="superscript"/>
              </w:rPr>
              <w:t>(9)</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Borders>
              <w:bottom w:val="single" w:sz="8" w:color="CCECFF"/>
            </w:tcBorders>
            <w:gridSpan w:val="2"/>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14"/>
                <w:szCs w:val="14"/>
                <w:color w:val="auto"/>
                <w:vertAlign w:val="superscript"/>
              </w:rPr>
              <w:t>(9)</w:t>
            </w: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40" w:type="dxa"/>
            <w:vAlign w:val="bottom"/>
            <w:tcBorders>
              <w:bottom w:val="single" w:sz="8" w:color="CCECFF"/>
            </w:tcBorders>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11.00 %</w:t>
            </w:r>
          </w:p>
        </w:tc>
        <w:tc>
          <w:tcPr>
            <w:tcW w:w="9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833</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10,725</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13,412</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11,272</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gridSpan w:val="2"/>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Common Equity—29.7% </w:t>
            </w:r>
            <w:r>
              <w:rPr>
                <w:rFonts w:ascii="Times New Roman" w:cs="Times New Roman" w:eastAsia="Times New Roman" w:hAnsi="Times New Roman"/>
                <w:sz w:val="14"/>
                <w:szCs w:val="14"/>
                <w:b w:val="1"/>
                <w:bCs w:val="1"/>
                <w:color w:val="auto"/>
                <w:vertAlign w:val="superscript"/>
              </w:rPr>
              <w:t>(6)</w:t>
            </w: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333,333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14"/>
                <w:szCs w:val="14"/>
                <w:color w:val="auto"/>
                <w:vertAlign w:val="superscript"/>
              </w:rPr>
              <w:t>(9)</w:t>
            </w: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MSpark, LLC</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51,151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16,516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(11)</w:t>
            </w: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33,830,005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33,893</w:t>
            </w: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41,160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14"/>
                <w:szCs w:val="14"/>
                <w:color w:val="auto"/>
                <w:vertAlign w:val="superscript"/>
              </w:rPr>
              <w:t>(9)</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7,159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RAM Energy Holdings LLC</w:t>
            </w:r>
          </w:p>
        </w:tc>
        <w:tc>
          <w:tcPr>
            <w:tcW w:w="660" w:type="dxa"/>
            <w:vAlign w:val="bottom"/>
            <w:tcBorders>
              <w:bottom w:val="single" w:sz="8" w:color="CCECFF"/>
            </w:tcBorders>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Energy and Utilities</w:t>
            </w:r>
          </w:p>
        </w:tc>
        <w:tc>
          <w:tcPr>
            <w:tcW w:w="12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180,805</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162,708</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81,710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225,408</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196,269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412,587</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384,628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Investments—190.2%</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1,221,121</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1,255,290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Equivalents—3.1%</w:t>
            </w: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18,220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BNY Mellon Cash Reserve and Cash</w:t>
            </w: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2,163</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2,137</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20,383</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20,357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Equivalents—193.2%</w:t>
            </w:r>
          </w:p>
        </w:tc>
        <w:tc>
          <w:tcPr>
            <w:tcW w:w="6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CCECFF"/>
            </w:tcBorders>
            <w:shd w:val="clear" w:color="auto" w:fill="CCECFF"/>
          </w:tcPr>
          <w:p>
            <w:pPr>
              <w:spacing w:after="0"/>
              <w:rPr>
                <w:sz w:val="14"/>
                <w:szCs w:val="14"/>
                <w:color w:val="auto"/>
              </w:rPr>
            </w:pPr>
          </w:p>
        </w:tc>
        <w:tc>
          <w:tcPr>
            <w:tcW w:w="256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70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900" w:type="dxa"/>
            <w:vAlign w:val="bottom"/>
            <w:tcBorders>
              <w:bottom w:val="single" w:sz="8" w:color="CCECFF"/>
            </w:tcBorders>
            <w:shd w:val="clear" w:color="auto" w:fill="CCECFF"/>
          </w:tcPr>
          <w:p>
            <w:pPr>
              <w:spacing w:after="0"/>
              <w:rPr>
                <w:sz w:val="14"/>
                <w:szCs w:val="14"/>
                <w:color w:val="auto"/>
              </w:rPr>
            </w:pPr>
          </w:p>
        </w:tc>
        <w:tc>
          <w:tcPr>
            <w:tcW w:w="20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56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1,241,504</w:t>
            </w:r>
          </w:p>
        </w:tc>
        <w:tc>
          <w:tcPr>
            <w:tcW w:w="20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1,275,647</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04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Assets—(93.2%)</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(615,503 )</w:t>
            </w:r>
          </w:p>
        </w:tc>
        <w:tc>
          <w:tcPr>
            <w:tcW w:w="0" w:type="dxa"/>
            <w:vAlign w:val="bottom"/>
          </w:tcPr>
          <w:p>
            <w:pPr>
              <w:spacing w:after="0"/>
              <w:rPr>
                <w:sz w:val="1"/>
                <w:szCs w:val="1"/>
                <w:color w:val="auto"/>
              </w:rPr>
            </w:pPr>
          </w:p>
        </w:tc>
      </w:tr>
      <w:tr>
        <w:trPr>
          <w:trHeight w:val="175"/>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66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25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70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90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56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54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660,144</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-4697095</wp:posOffset>
            </wp:positionV>
            <wp:extent cx="68580" cy="1028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-4697095</wp:posOffset>
            </wp:positionV>
            <wp:extent cx="68580" cy="1028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-4508500</wp:posOffset>
            </wp:positionV>
            <wp:extent cx="68580" cy="939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-4508500</wp:posOffset>
            </wp:positionV>
            <wp:extent cx="68580" cy="939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-3977005</wp:posOffset>
            </wp:positionV>
            <wp:extent cx="68580" cy="946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946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-3625215</wp:posOffset>
            </wp:positionV>
            <wp:extent cx="68580" cy="1028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1028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-3436620</wp:posOffset>
            </wp:positionV>
            <wp:extent cx="68580" cy="939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939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-3076575</wp:posOffset>
            </wp:positionV>
            <wp:extent cx="68580" cy="946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946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-2545080</wp:posOffset>
            </wp:positionV>
            <wp:extent cx="68580" cy="946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946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-2365375</wp:posOffset>
            </wp:positionV>
            <wp:extent cx="68580" cy="1028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1028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-1833880</wp:posOffset>
            </wp:positionV>
            <wp:extent cx="68580" cy="1028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1028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-959485</wp:posOffset>
            </wp:positionV>
            <wp:extent cx="68580"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1028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-770890</wp:posOffset>
            </wp:positionV>
            <wp:extent cx="68580" cy="1028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1028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-410845</wp:posOffset>
            </wp:positionV>
            <wp:extent cx="68580" cy="1028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1028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-222250</wp:posOffset>
            </wp:positionV>
            <wp:extent cx="651510" cy="1111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151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1912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42" w:lineRule="exact"/>
        <w:rPr>
          <w:sz w:val="20"/>
          <w:szCs w:val="20"/>
          <w:color w:val="auto"/>
        </w:rPr>
      </w:pPr>
    </w:p>
    <w:p>
      <w:pPr>
        <w:ind w:left="380" w:right="220" w:hanging="372"/>
        <w:spacing w:after="0" w:line="255" w:lineRule="auto"/>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3" w:lineRule="exact"/>
        <w:rPr>
          <w:rFonts w:ascii="Times New Roman" w:cs="Times New Roman" w:eastAsia="Times New Roman" w:hAnsi="Times New Roman"/>
          <w:sz w:val="12"/>
          <w:szCs w:val="12"/>
          <w:color w:val="auto"/>
        </w:rPr>
      </w:pPr>
    </w:p>
    <w:p>
      <w:pPr>
        <w:ind w:left="380" w:hanging="372"/>
        <w:spacing w:after="0" w:line="255" w:lineRule="auto"/>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our accounting policy (See Note 2).</w:t>
      </w:r>
    </w:p>
    <w:p>
      <w:pPr>
        <w:spacing w:after="0" w:line="24" w:lineRule="exact"/>
        <w:rPr>
          <w:rFonts w:ascii="Times New Roman" w:cs="Times New Roman" w:eastAsia="Times New Roman" w:hAnsi="Times New Roman"/>
          <w:sz w:val="12"/>
          <w:szCs w:val="12"/>
          <w:color w:val="auto"/>
        </w:rPr>
      </w:pPr>
    </w:p>
    <w:p>
      <w:pPr>
        <w:ind w:left="380" w:right="100" w:hanging="372"/>
        <w:spacing w:after="0" w:line="241" w:lineRule="auto"/>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26"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was not valued using significant unobservable inputs. The value of all other securities was determined using significant unobservable inputs (See Note 5).</w:t>
      </w:r>
    </w:p>
    <w:p>
      <w:pPr>
        <w:spacing w:after="0" w:line="24"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Non-income producing securities.</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Non-U.S. company or principal place of business outside the United States.</w:t>
      </w:r>
    </w:p>
    <w:p>
      <w:pPr>
        <w:spacing w:after="0" w:line="24"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held through our Taxable Subsidiary (See Note 1).</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 / Shares amount is denominated in British Pounds (£) as denoted.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37" w:lineRule="exact"/>
        <w:rPr>
          <w:sz w:val="20"/>
          <w:szCs w:val="20"/>
          <w:color w:val="auto"/>
        </w:rPr>
      </w:pPr>
    </w:p>
    <w:p>
      <w:pPr>
        <w:ind w:left="380" w:right="20" w:hanging="372"/>
        <w:spacing w:after="0" w:line="255" w:lineRule="auto"/>
        <w:tabs>
          <w:tab w:leader="none" w:pos="3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2021, qualifying assets represent 87% of the Company’s total assets and non-qualifying assets represent 12% of the Company’s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upperLetter"/>
      <w:start w:val="2"/>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12"/>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2022-11-16T15:17:40Z</dcterms:created>
  <dcterms:modified xsi:type="dcterms:W3CDTF">2022-11-16T15:17:40Z</dcterms:modified>
</cp:coreProperties>
</file>