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December 5,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0" w:lineRule="exact"/>
        <w:rPr>
          <w:sz w:val="24"/>
          <w:szCs w:val="24"/>
          <w:color w:val="auto"/>
        </w:rPr>
      </w:pP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December 5, 2018, PennantPark Investment Corporation issued a press release announcing first fiscal quarter 2019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280" w:hanging="547"/>
        <w:spacing w:after="0" w:line="293" w:lineRule="auto"/>
        <w:tabs>
          <w:tab w:leader="none" w:pos="315"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600" w:right="8400" w:hanging="547"/>
        <w:spacing w:after="0" w:line="250" w:lineRule="auto"/>
        <w:tabs>
          <w:tab w:leader="none" w:pos="32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of PennantPark Investment Corporation dated December 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780" w:type="dxa"/>
            <w:vAlign w:val="bottom"/>
            <w:gridSpan w:val="3"/>
          </w:tcPr>
          <w:p>
            <w:pPr>
              <w:ind w:left="184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December 6, 2018</w:t>
            </w:r>
          </w:p>
        </w:tc>
        <w:tc>
          <w:tcPr>
            <w:tcW w:w="4780" w:type="dxa"/>
            <w:vAlign w:val="bottom"/>
            <w:gridSpan w:val="3"/>
          </w:tcPr>
          <w:p>
            <w:pPr>
              <w:ind w:left="1840"/>
              <w:spacing w:after="0"/>
              <w:rPr>
                <w:sz w:val="20"/>
                <w:szCs w:val="20"/>
                <w:color w:val="auto"/>
              </w:rPr>
            </w:pPr>
            <w:r>
              <w:rPr>
                <w:rFonts w:ascii="Arial" w:cs="Arial" w:eastAsia="Arial" w:hAnsi="Arial"/>
                <w:sz w:val="18"/>
                <w:szCs w:val="18"/>
                <w:color w:val="auto"/>
              </w:rPr>
              <w:t>By: /s/ Aviv Efrat</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Quarterly Distribution of $0.18 per Share</w:t>
      </w:r>
    </w:p>
    <w:p>
      <w:pPr>
        <w:spacing w:after="0" w:line="212"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NEW YORK, Dec. 05, 2018 (GLOBE NEWSWIRE) -- PennantPark Investment Corporation (the "Company") (NASDAQ: PNNT) declares first fiscal quarter 2019 distribution of $0.18 per share, payable on January 2, 2019 to stockholders of record as of December 21, 2018.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“We are pleased that we have been able to continue to deliver an attractive dividend over a long period of time” said Arthur 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Penn, Chairman and Chief Executive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2020-05-05T15:07:28Z</dcterms:created>
  <dcterms:modified xsi:type="dcterms:W3CDTF">2020-05-05T15:07:28Z</dcterms:modified>
</cp:coreProperties>
</file>