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814-00736</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40" w:type="dxa"/>
            <w:vAlign w:val="bottom"/>
          </w:tcPr>
          <w:p>
            <w:pPr>
              <w:jc w:val="center"/>
              <w:ind w:left="115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212-905-1000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19"/>
        </w:trPr>
        <w:tc>
          <w:tcPr>
            <w:tcW w:w="3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Common Stock, par value $0.001 per</w:t>
            </w:r>
          </w:p>
        </w:tc>
        <w:tc>
          <w:tcPr>
            <w:tcW w:w="120" w:type="dxa"/>
            <w:vAlign w:val="bottom"/>
          </w:tcPr>
          <w:p>
            <w:pPr>
              <w:spacing w:after="0"/>
              <w:rPr>
                <w:sz w:val="10"/>
                <w:szCs w:val="10"/>
                <w:color w:val="auto"/>
              </w:rPr>
            </w:pPr>
          </w:p>
        </w:tc>
        <w:tc>
          <w:tcPr>
            <w:tcW w:w="3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PNNT</w:t>
            </w:r>
          </w:p>
        </w:tc>
        <w:tc>
          <w:tcPr>
            <w:tcW w:w="100" w:type="dxa"/>
            <w:vAlign w:val="bottom"/>
          </w:tcPr>
          <w:p>
            <w:pPr>
              <w:spacing w:after="0"/>
              <w:rPr>
                <w:sz w:val="10"/>
                <w:szCs w:val="10"/>
                <w:color w:val="auto"/>
              </w:rPr>
            </w:pPr>
          </w:p>
        </w:tc>
        <w:tc>
          <w:tcPr>
            <w:tcW w:w="3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w:t>
            </w: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5.50%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PNNTG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21, 2021, PennantPark Investment Corporation (the “Company”) and American Stock Transfer &amp; Trust Company, LLC (the “Trustee”) entered into the Fourth Supplemental Indenture (the “Fourth Supplemental Indenture”) to the Indenture, dated January 22, 2013, by and between the Company and the Trustee (the “Base Indenture” and, together with the Fourth Supplemental Indenture, the “Indenture”). The Fourth Supplemental Indenture relates to the Company’s issuance and sale of $150,000,000 aggregate principal amount of the Company’s 4.50% Notes due 2026 (the “Offering”). The Offering was made pursuant to the Company’s effective shelf registration statement on Form N-2 (Registration No. 333-230014) previously filed with the Securities and Exchange Commission (the “Registration Statement”), as supplemented by a preliminary prospectus supplement dated April 14, 2021 (the “Preliminary Prospectus Supplement”) and a final prospectus supplement dated April 14, 2021 (the “Final Prospectus Supplement”).</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Company’s 4.50% notes due 2026 (the “Notes”) will mature on May 1, 2026 and may be redeemed in whole or in part at the Company’s option. The Notes bear interest at a rate of 4.50% per year payable semi-annually on May 1 and November 1 of each year, commencing November 1, 2021. The Notes will be the Company’s direct unsecured obligations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Company’s current and future unsecured unsubordinated indebtedness, senior to any of the Company’s future indebtedness that expressly states it is subordinated in right of payment to the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Indenture contains certain covenants, including covenants requiring the Company to comply with the asset coverage requirements of Section 18(a) (1)(A) as modified by Section 61(a) of the Investment Company Act of 1940, as amended, and to provide financial information to the holders of the Notes and the Trustee if the Company is no longer subject to the reporting requirements under the Securities Exchange Act of 1934, as amended. These covenants are subject to important limitations and exceptions that are described in the Indenture.</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Notes were offered and sold in an offering registered under the Securities Act of 1933, as amended, pursuant to the Registration Statement, the Preliminary Prospectus Supplement, and the Final Prospectus Supplement. The transaction closed on April 21, 2021. The net proceeds to the Company were approximately $145.5 million, based on the public offering price per Note of 99.443% of the aggregate principal amount thereof, after deducting the underwriting discounts and commissions of $3.0 million payable by the Company and estimated offering expenses of approximately $700,000 payable by the Company. The Company intends to use the net proceeds to reduce outstanding obligations under its credit facility, to invest in new or existing portfolio companies or for other general corporate or strategic purposes.</w:t>
      </w:r>
    </w:p>
    <w:p>
      <w:pPr>
        <w:spacing w:after="0" w:line="17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foregoing descriptions of the Fourth Supplemental Indenture and the Notes do not purport to be complete and are qualified in their entirety by reference to the full text of the Fourth Supplemental Indenture and the Notes, respectively, each filed as exhibits hereto and incorporated by reference herein.</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2.03. Creation of a Direct Financial Obligation or an Obligation under an Off-Balance Sheet Arrangement of a Registrant.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to this current report on Form 8-K is by this reference incorporated in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5">
        <w:r>
          <w:rPr>
            <w:rFonts w:ascii="Arial" w:cs="Arial" w:eastAsia="Arial" w:hAnsi="Arial"/>
            <w:sz w:val="18"/>
            <w:szCs w:val="18"/>
            <w:u w:val="single" w:color="auto"/>
            <w:color w:val="0000EE"/>
          </w:rPr>
          <w:t>Fourth Supplemental Indenture, dated as of April 21, 2021, by and between the Company and American Stock Transfer &amp; Trust Company,</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LLC, as trustee.</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5">
        <w:r>
          <w:rPr>
            <w:rFonts w:ascii="Arial" w:cs="Arial" w:eastAsia="Arial" w:hAnsi="Arial"/>
            <w:sz w:val="16"/>
            <w:szCs w:val="16"/>
            <w:u w:val="single" w:color="auto"/>
            <w:color w:val="0000EE"/>
          </w:rPr>
          <w:t>Form of 4.50% Notes due 2026 (Incorporated by reference to Exhibit 4.1 hereto).</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38">
        <w:r>
          <w:rPr>
            <w:rFonts w:ascii="Arial" w:cs="Arial" w:eastAsia="Arial" w:hAnsi="Arial"/>
            <w:sz w:val="16"/>
            <w:szCs w:val="16"/>
            <w:u w:val="single" w:color="auto"/>
            <w:color w:val="0000EE"/>
          </w:rPr>
          <w:t>Opinion of Dechert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42">
        <w:r>
          <w:rPr>
            <w:rFonts w:ascii="Arial" w:cs="Arial" w:eastAsia="Arial" w:hAnsi="Arial"/>
            <w:sz w:val="16"/>
            <w:szCs w:val="16"/>
            <w:u w:val="single" w:color="auto"/>
            <w:color w:val="0000EE"/>
          </w:rPr>
          <w:t>Opinion of Venable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38">
        <w:r>
          <w:rPr>
            <w:rFonts w:ascii="Arial" w:cs="Arial" w:eastAsia="Arial" w:hAnsi="Arial"/>
            <w:sz w:val="16"/>
            <w:szCs w:val="16"/>
            <w:u w:val="single" w:color="auto"/>
            <w:color w:val="0000EE"/>
          </w:rPr>
          <w:t>Consent of Dechert LLP (included in Exhibit 5.1).</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42">
        <w:r>
          <w:rPr>
            <w:rFonts w:ascii="Arial" w:cs="Arial" w:eastAsia="Arial" w:hAnsi="Arial"/>
            <w:sz w:val="16"/>
            <w:szCs w:val="16"/>
            <w:u w:val="single" w:color="auto"/>
            <w:color w:val="0000EE"/>
          </w:rPr>
          <w:t>Consent of Venable LLP (included in Exhibit 5.2).</w:t>
        </w:r>
      </w:hyperlink>
    </w:p>
    <w:p>
      <w:pPr>
        <w:sectPr>
          <w:pgSz w:w="11900" w:h="16838" w:orient="portrait"/>
          <w:cols w:equalWidth="0" w:num="1">
            <w:col w:w="10640"/>
          </w:cols>
          <w:pgMar w:left="440" w:top="270" w:right="81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spacing w:after="0"/>
        <w:tabs>
          <w:tab w:leader="none" w:pos="5360" w:val="left"/>
          <w:tab w:leader="none" w:pos="5820" w:val="left"/>
        </w:tabs>
        <w:rPr>
          <w:sz w:val="20"/>
          <w:szCs w:val="20"/>
          <w:color w:val="auto"/>
        </w:rPr>
      </w:pPr>
      <w:r>
        <w:rPr>
          <w:rFonts w:ascii="Arial" w:cs="Arial" w:eastAsia="Arial" w:hAnsi="Arial"/>
          <w:sz w:val="18"/>
          <w:szCs w:val="18"/>
          <w:color w:val="auto"/>
        </w:rPr>
        <w:t>Date: April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 &amp; Treasurer</w:t>
      </w:r>
    </w:p>
    <w:p>
      <w:pPr>
        <w:sectPr>
          <w:pgSz w:w="11900" w:h="16838" w:orient="portrait"/>
          <w:cols w:equalWidth="0" w:num="1">
            <w:col w:w="10880"/>
          </w:cols>
          <w:pgMar w:left="440" w:top="270" w:right="5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FOURTH SUPPLEMENTAL INDENTURE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Dated as of April 21, 2021</w:t>
      </w:r>
    </w:p>
    <w:p>
      <w:pPr>
        <w:sectPr>
          <w:pgSz w:w="11900" w:h="16838" w:orient="portrait"/>
          <w:cols w:equalWidth="0" w:num="1">
            <w:col w:w="10020"/>
          </w:cols>
          <w:pgMar w:left="144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 SUPPLEMENTAL INDENTURE</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THIS FOURTH SUPPLEMENTAL INDENTURE (this “Fourth Supplemental Indenture”), dated as of April 21, 2021, is between PennantPark Investment Corporation, a Maryland corporation (the “Company”), and American Stock Transfer &amp; Trust Company, LLC, as trustee (the “Trustee”). All capitalized terms used herein shall have the meaning set forth in the Base Indenture (as defined below) unless otherwise defined herein.</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The Company and the Trustee executed and delivered an Indenture, dated as of January 22, 2013 (the “Base Indenture” and as amended and supplemented by this Fourth Supplemental Indenture, the “Indenture”), to provide for the issuance by the Company from time to time of the Company’s debt securities evidencing its unsecured indebtedness (the “Securities”), to be issued in one or more series as provided in the Indenture.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desires to issue and sell $150,000,000 aggregate principal amount of the Company’s 4.50% Notes due 2026 (the “Notes”).</w:t>
      </w:r>
    </w:p>
    <w:p>
      <w:pPr>
        <w:spacing w:after="0" w:line="23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Sections 901(5) and 901(7)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Base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176"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pacing w:after="0" w:line="184"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Company has duly authorized the execution and delivery of this Fourth Supplemental Indenture to provide for the issuance of the Notes and all acts and things necessary to make this Fourth Supplemental Indenture a valid, binding, and legal obligation of the Company and to constitute a valid agreement of the Company, in accordance with its terms, have been done and performed.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as follows:</w:t>
      </w:r>
    </w:p>
    <w:p>
      <w:pPr>
        <w:sectPr>
          <w:pgSz w:w="11900" w:h="16838" w:orient="portrait"/>
          <w:cols w:equalWidth="0" w:num="1">
            <w:col w:w="10960"/>
          </w:cols>
          <w:pgMar w:left="440" w:top="274"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1.01 Terms of the Notes</w:t>
      </w:r>
      <w:r>
        <w:rPr>
          <w:rFonts w:ascii="Arial" w:cs="Arial" w:eastAsia="Arial" w:hAnsi="Arial"/>
          <w:sz w:val="18"/>
          <w:szCs w:val="18"/>
          <w:color w:val="auto"/>
        </w:rPr>
        <w:t>. The following terms relating to the Notes are hereby established:</w:t>
      </w:r>
    </w:p>
    <w:p>
      <w:pPr>
        <w:spacing w:after="0" w:line="225" w:lineRule="exact"/>
        <w:rPr>
          <w:sz w:val="20"/>
          <w:szCs w:val="20"/>
          <w:color w:val="auto"/>
        </w:rPr>
      </w:pPr>
    </w:p>
    <w:p>
      <w:pPr>
        <w:ind w:right="40" w:firstLine="436"/>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Notes shall constitute a series of Securities having the title “4.50% Notes due 2026” and shall be designated as Senior Securities under the Indenture. The Notes shall bear a CUSIP number of 708062 AC8 and an ISIN number of US708062AC82.</w:t>
      </w:r>
    </w:p>
    <w:p>
      <w:pPr>
        <w:spacing w:after="0" w:line="170" w:lineRule="exact"/>
        <w:rPr>
          <w:rFonts w:ascii="Arial" w:cs="Arial" w:eastAsia="Arial" w:hAnsi="Arial"/>
          <w:sz w:val="18"/>
          <w:szCs w:val="18"/>
          <w:color w:val="auto"/>
        </w:rPr>
      </w:pPr>
    </w:p>
    <w:p>
      <w:pPr>
        <w:ind w:firstLine="436"/>
        <w:spacing w:after="0" w:line="271"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$150,000,000.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Notes must be part of the same issue as the Notes for U.S. federal income tax purposes if represented by the same CUSIP number as the Notes. Any Additional Notes and the existing Notes shall constitute a single series under the Indenture and all references to the relevant Notes herein shall include the Additional Notes unless the context otherwise requires.</w:t>
      </w:r>
    </w:p>
    <w:p>
      <w:pPr>
        <w:spacing w:after="0" w:line="178" w:lineRule="exact"/>
        <w:rPr>
          <w:rFonts w:ascii="Arial" w:cs="Arial" w:eastAsia="Arial" w:hAnsi="Arial"/>
          <w:sz w:val="17"/>
          <w:szCs w:val="17"/>
          <w:color w:val="auto"/>
        </w:rPr>
      </w:pPr>
    </w:p>
    <w:p>
      <w:pPr>
        <w:ind w:right="140" w:firstLine="436"/>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entire Outstanding principal amount of the Notes shall be payable on May 1, 2026, unless earlier redeemed or repurchased in accordance with the provisions of the Indenture.</w:t>
      </w:r>
    </w:p>
    <w:p>
      <w:pPr>
        <w:spacing w:after="0" w:line="170" w:lineRule="exact"/>
        <w:rPr>
          <w:rFonts w:ascii="Arial" w:cs="Arial" w:eastAsia="Arial" w:hAnsi="Arial"/>
          <w:sz w:val="18"/>
          <w:szCs w:val="18"/>
          <w:color w:val="auto"/>
        </w:rPr>
      </w:pPr>
    </w:p>
    <w:p>
      <w:pPr>
        <w:ind w:right="40" w:firstLine="436"/>
        <w:spacing w:after="0" w:line="286" w:lineRule="auto"/>
        <w:tabs>
          <w:tab w:leader="none" w:pos="69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rate at which the Notes shall bear interest shall be 4.50% per annum (the “Applicable Interest Rate”). The date from which interest shall accrue on the Notes shall be April 21, 2021, or the most recent Interest Payment Date to which interest has been paid or provided for; the Interest Payment Dates for the Notes shall be May 1 and November 1 of each year, commencing November 1, 2021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Interest Payment Date falls on a day that is not a Business Day, then the applicable interest payment shall be made on the next succeeding Business Day with the same force and effect as if made on the scheduled Interest Payment Date and no additional interest will accrue as a result of such delayed payment); the initial interest period will be the period from and including April 21, 2021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the close of business on the Regular Record Date for such interest, which shall be April 15 and October 15 (whether or not a Business Day), as the case may be, next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left="-40" w:firstLine="436"/>
        <w:spacing w:after="0" w:line="254" w:lineRule="auto"/>
        <w:tabs>
          <w:tab w:leader="none" w:pos="645"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Notes shall be initially issuable in global form (each such Note, a “Global Note”). The Global Notes and the Trustee’s certificate of authentication thereon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Fourth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94" w:lineRule="exact"/>
        <w:rPr>
          <w:rFonts w:ascii="Arial" w:cs="Arial" w:eastAsia="Arial" w:hAnsi="Arial"/>
          <w:sz w:val="18"/>
          <w:szCs w:val="18"/>
          <w:color w:val="auto"/>
        </w:rPr>
      </w:pPr>
    </w:p>
    <w:p>
      <w:pPr>
        <w:ind w:left="-40" w:right="200" w:firstLine="436"/>
        <w:spacing w:after="0" w:line="277" w:lineRule="auto"/>
        <w:tabs>
          <w:tab w:leader="none" w:pos="62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depositary for such Global Notes shall be The Depository Trust Company, New York, New York. The Security Registrar with respect to the Global Notes shall be the Trustee.</w:t>
      </w:r>
    </w:p>
    <w:p>
      <w:pPr>
        <w:spacing w:after="0" w:line="170" w:lineRule="exact"/>
        <w:rPr>
          <w:rFonts w:ascii="Arial" w:cs="Arial" w:eastAsia="Arial" w:hAnsi="Arial"/>
          <w:sz w:val="18"/>
          <w:szCs w:val="18"/>
          <w:color w:val="auto"/>
        </w:rPr>
      </w:pPr>
    </w:p>
    <w:p>
      <w:pPr>
        <w:ind w:left="-40" w:firstLine="43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shall be defeasible pursuant to Section 1402 or Section 1403 of the Base Indenture. Covenant defeasance contained in Section 1403 of the Base Indenture shall apply to the covenants contained in Sections 1008 and 1009 of the Indenture.</w:t>
      </w:r>
    </w:p>
    <w:p>
      <w:pPr>
        <w:spacing w:after="0" w:line="170" w:lineRule="exact"/>
        <w:rPr>
          <w:rFonts w:ascii="Arial" w:cs="Arial" w:eastAsia="Arial" w:hAnsi="Arial"/>
          <w:sz w:val="18"/>
          <w:szCs w:val="18"/>
          <w:color w:val="auto"/>
        </w:rPr>
      </w:pPr>
    </w:p>
    <w:p>
      <w:pPr>
        <w:ind w:left="660" w:hanging="26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shall be redeemable pursuant to Section 1101 of the Base Indenture and as follows:</w:t>
      </w:r>
    </w:p>
    <w:p>
      <w:pPr>
        <w:spacing w:after="0" w:line="117" w:lineRule="exact"/>
        <w:rPr>
          <w:rFonts w:ascii="Arial" w:cs="Arial" w:eastAsia="Arial" w:hAnsi="Arial"/>
          <w:sz w:val="18"/>
          <w:szCs w:val="18"/>
          <w:color w:val="auto"/>
        </w:rPr>
      </w:pPr>
    </w:p>
    <w:p>
      <w:pPr>
        <w:ind w:left="400" w:hanging="4"/>
        <w:spacing w:after="0" w:line="308"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Notes will be redeemable, in whole or in part, at any time, or from time to time, at the option of the Company, at a Redemption Price equal to the greater of the following amounts, plus, in each case, accrued and unpaid interest to the Redemption Date:</w:t>
      </w:r>
    </w:p>
    <w:p>
      <w:pPr>
        <w:spacing w:after="0" w:line="38" w:lineRule="exact"/>
        <w:rPr>
          <w:rFonts w:ascii="Arial" w:cs="Arial" w:eastAsia="Arial" w:hAnsi="Arial"/>
          <w:sz w:val="17"/>
          <w:szCs w:val="17"/>
          <w:color w:val="auto"/>
        </w:rPr>
      </w:pPr>
    </w:p>
    <w:p>
      <w:pPr>
        <w:ind w:left="1040" w:hanging="221"/>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400" w:right="120" w:firstLine="419"/>
        <w:spacing w:after="0" w:line="263" w:lineRule="auto"/>
        <w:tabs>
          <w:tab w:leader="none" w:pos="103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Redemption Date) on the Notes to be redeemed, discounted to the Redemption Date on a semi-annual basis (assuming a 360-day year consisting of twelve 30-day months) using the applicable Treasury Rate plus 50 basis points;</w:t>
      </w:r>
    </w:p>
    <w:p>
      <w:pPr>
        <w:spacing w:after="0" w:line="76" w:lineRule="exact"/>
        <w:rPr>
          <w:sz w:val="20"/>
          <w:szCs w:val="20"/>
          <w:color w:val="auto"/>
        </w:rPr>
      </w:pPr>
    </w:p>
    <w:p>
      <w:pPr>
        <w:jc w:val="both"/>
        <w:ind w:left="400" w:right="380"/>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however, that if the Company redeems any Notes on or after February 1, 2026, the Redemption Price for the Notes will be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100% of the principal amount of the Notes to be redeemed, plus accrued and unpaid interest, if any, to, but excluding, the Redemption Date.</w:t>
      </w:r>
    </w:p>
    <w:p>
      <w:pPr>
        <w:spacing w:after="0" w:line="16" w:lineRule="exact"/>
        <w:rPr>
          <w:sz w:val="20"/>
          <w:szCs w:val="20"/>
          <w:color w:val="auto"/>
        </w:rPr>
      </w:pPr>
    </w:p>
    <w:p>
      <w:pPr>
        <w:ind w:left="400" w:right="160" w:firstLine="423"/>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4" w:right="499" w:bottom="1440" w:gutter="0" w:footer="0" w:header="0"/>
        </w:sectPr>
      </w:pPr>
    </w:p>
    <w:bookmarkStart w:id="8" w:name="page9"/>
    <w:bookmarkEnd w:id="8"/>
    <w:p>
      <w:pPr>
        <w:ind w:right="180" w:firstLine="423"/>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Comparable Treasury Issue</w:t>
      </w:r>
      <w:r>
        <w:rPr>
          <w:rFonts w:ascii="Arial" w:cs="Arial" w:eastAsia="Arial" w:hAnsi="Arial"/>
          <w:sz w:val="16"/>
          <w:szCs w:val="16"/>
          <w:color w:val="auto"/>
        </w:rPr>
        <w:t>”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41" w:lineRule="exact"/>
        <w:rPr>
          <w:sz w:val="20"/>
          <w:szCs w:val="20"/>
          <w:color w:val="auto"/>
        </w:rPr>
      </w:pPr>
    </w:p>
    <w:p>
      <w:pPr>
        <w:ind w:right="8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Agent</w:t>
      </w:r>
      <w:r>
        <w:rPr>
          <w:rFonts w:ascii="Arial" w:cs="Arial" w:eastAsia="Arial" w:hAnsi="Arial"/>
          <w:sz w:val="18"/>
          <w:szCs w:val="18"/>
          <w:color w:val="auto"/>
        </w:rPr>
        <w:t>” means a Reference Treasury Dealer selected by the Company.</w:t>
      </w:r>
    </w:p>
    <w:p>
      <w:pPr>
        <w:spacing w:after="0" w:line="117"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each of (1) Raymond James &amp; Associates, Inc. or its affiliates which are primary U.S. government securities dealers, (2) a primary U.S. government securities dealer selected by Keefe, Bruyette &amp; Woods, Inc., (3) a primary U.S. government securities dealer selected by Truist Securities, Inc., and their respective successors; provided, however, that if any of the foregoing or its affiliates shall cease to be a primary U.S. government securities dealer in the United States (a “Primary Treasury Dealer”), the Company shall select another Primary Treasury Dealer.</w:t>
      </w:r>
    </w:p>
    <w:p>
      <w:pPr>
        <w:spacing w:after="0" w:line="80" w:lineRule="exact"/>
        <w:rPr>
          <w:sz w:val="20"/>
          <w:szCs w:val="20"/>
          <w:color w:val="auto"/>
        </w:rPr>
      </w:pPr>
    </w:p>
    <w:p>
      <w:pPr>
        <w:ind w:right="1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79" w:lineRule="exact"/>
        <w:rPr>
          <w:sz w:val="20"/>
          <w:szCs w:val="20"/>
          <w:color w:val="auto"/>
        </w:rPr>
      </w:pPr>
    </w:p>
    <w:p>
      <w:pPr>
        <w:ind w:firstLine="423"/>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Rate</w:t>
      </w:r>
      <w:r>
        <w:rPr>
          <w:rFonts w:ascii="Arial" w:cs="Arial" w:eastAsia="Arial" w:hAnsi="Arial"/>
          <w:sz w:val="16"/>
          <w:szCs w:val="16"/>
          <w:color w:val="auto"/>
        </w:rPr>
        <w:t>”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Price and the Treasury Rate will be determined by the Company.</w:t>
      </w:r>
    </w:p>
    <w:p>
      <w:pPr>
        <w:spacing w:after="0" w:line="117" w:lineRule="exact"/>
        <w:rPr>
          <w:sz w:val="20"/>
          <w:szCs w:val="20"/>
          <w:color w:val="auto"/>
        </w:rPr>
      </w:pPr>
    </w:p>
    <w:p>
      <w:pPr>
        <w:ind w:right="320" w:firstLine="423"/>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62" w:lineRule="exact"/>
        <w:rPr>
          <w:sz w:val="20"/>
          <w:szCs w:val="20"/>
          <w:color w:val="auto"/>
        </w:rPr>
      </w:pPr>
    </w:p>
    <w:p>
      <w:pPr>
        <w:ind w:right="180" w:firstLine="419"/>
        <w:spacing w:after="0" w:line="311" w:lineRule="auto"/>
        <w:tabs>
          <w:tab w:leader="none" w:pos="688"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Notes to be redeemed, not less than 30 nor more than 60 days prior to the Redemption Date, at the Holder’s address appearing in the Security Register.</w:t>
      </w:r>
    </w:p>
    <w:p>
      <w:pPr>
        <w:spacing w:after="0" w:line="41" w:lineRule="exact"/>
        <w:rPr>
          <w:sz w:val="20"/>
          <w:szCs w:val="20"/>
          <w:color w:val="auto"/>
        </w:rPr>
      </w:pPr>
    </w:p>
    <w:p>
      <w:pPr>
        <w:ind w:firstLine="423"/>
        <w:spacing w:after="0" w:line="286" w:lineRule="auto"/>
        <w:rPr>
          <w:sz w:val="20"/>
          <w:szCs w:val="20"/>
          <w:color w:val="auto"/>
        </w:rPr>
      </w:pPr>
      <w:r>
        <w:rPr>
          <w:rFonts w:ascii="Arial" w:cs="Arial" w:eastAsia="Arial" w:hAnsi="Arial"/>
          <w:sz w:val="17"/>
          <w:szCs w:val="17"/>
          <w:color w:val="auto"/>
        </w:rPr>
        <w:t>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9" w:name="page10"/>
    <w:bookmarkEnd w:id="9"/>
    <w:p>
      <w:pPr>
        <w:ind w:left="440" w:right="60" w:firstLine="419"/>
        <w:spacing w:after="0" w:line="277" w:lineRule="auto"/>
        <w:tabs>
          <w:tab w:leader="none" w:pos="1178"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exercise of the Company’s option to redeem the Notes will be done in compliance with the Investment Company Act, to the extent applicable.</w:t>
      </w:r>
    </w:p>
    <w:p>
      <w:pPr>
        <w:spacing w:after="0" w:line="62" w:lineRule="exact"/>
        <w:rPr>
          <w:rFonts w:ascii="Arial" w:cs="Arial" w:eastAsia="Arial" w:hAnsi="Arial"/>
          <w:sz w:val="18"/>
          <w:szCs w:val="18"/>
          <w:color w:val="auto"/>
        </w:rPr>
      </w:pPr>
    </w:p>
    <w:p>
      <w:pPr>
        <w:ind w:left="440" w:firstLine="419"/>
        <w:spacing w:after="0" w:line="273" w:lineRule="auto"/>
        <w:tabs>
          <w:tab w:leader="none" w:pos="1168"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If the Company elects to redeem only a portion of the Notes, the particular Notes to be redeemed will be selected by the Trustee on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basis to the extent practicable, or, if a</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basis is not practicable for any reason, by lot or in such other manner as the Trustee shall deem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fair and appropriate, and in any case in accordance with the applicable procedures of the Depositary and in accordance with the Investment Company Act as directed by the Company. In the event of a redemption of this Note in part only, a new Note or Notes will be issued in the name of the Holder thereof upon the cancellation of the original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partial redemption shall reduce the portion of the principal amount of a Note not redeemed to less than $2,000.</w:t>
      </w:r>
    </w:p>
    <w:p>
      <w:pPr>
        <w:spacing w:after="0" w:line="69" w:lineRule="exact"/>
        <w:rPr>
          <w:rFonts w:ascii="Arial" w:cs="Arial" w:eastAsia="Arial" w:hAnsi="Arial"/>
          <w:sz w:val="17"/>
          <w:szCs w:val="17"/>
          <w:color w:val="auto"/>
        </w:rPr>
      </w:pPr>
    </w:p>
    <w:p>
      <w:pPr>
        <w:ind w:left="440" w:right="40" w:firstLine="419"/>
        <w:spacing w:after="0" w:line="277" w:lineRule="auto"/>
        <w:tabs>
          <w:tab w:leader="none" w:pos="1118" w:val="left"/>
        </w:tabs>
        <w:numPr>
          <w:ilvl w:val="1"/>
          <w:numId w:val="5"/>
        </w:numPr>
        <w:rPr>
          <w:rFonts w:ascii="Arial" w:cs="Arial" w:eastAsia="Arial" w:hAnsi="Arial"/>
          <w:sz w:val="18"/>
          <w:szCs w:val="18"/>
          <w:color w:val="auto"/>
        </w:rPr>
      </w:pPr>
      <w:r>
        <w:rPr>
          <w:rFonts w:ascii="Arial" w:cs="Arial" w:eastAsia="Arial" w:hAnsi="Arial"/>
          <w:sz w:val="18"/>
          <w:szCs w:val="18"/>
          <w:color w:val="auto"/>
        </w:rPr>
        <w:t>Unless the Company defaults in payment of the Redemption Price, on and after the Redemption Date, interest will cease to accrue on the Notes or portion of the Notes called for redemption hereunder.</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shall not be subject to any sinking fund pursuant to Section 1201 of the Base Indenture.</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shall be issuable in denominations of $2,000 and integral multiples of $1,000 in excess thereof.</w:t>
      </w:r>
    </w:p>
    <w:p>
      <w:pPr>
        <w:spacing w:after="0" w:line="225"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the Notes will not have the option to have the Notes repaid prior to the Stated Maturity other than in accordance with Article Thirteen of the Indenture.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jc w:val="both"/>
        <w:ind w:right="380" w:firstLine="440"/>
        <w:spacing w:after="0" w:line="286" w:lineRule="auto"/>
        <w:rPr>
          <w:sz w:val="20"/>
          <w:szCs w:val="20"/>
          <w:color w:val="auto"/>
        </w:rPr>
      </w:pP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of this Fourth Supplemental Indenture.</w:t>
      </w:r>
    </w:p>
    <w:p>
      <w:pPr>
        <w:spacing w:after="0" w:line="225"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Below Investment Grade Rating Event</w:t>
      </w:r>
      <w:r>
        <w:rPr>
          <w:rFonts w:ascii="Arial" w:cs="Arial" w:eastAsia="Arial" w:hAnsi="Arial"/>
          <w:sz w:val="17"/>
          <w:szCs w:val="17"/>
          <w:color w:val="auto"/>
        </w:rPr>
        <w:t xml:space="preserve">”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 w:name="page11"/>
    <w:bookmarkEnd w:id="1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Rating Agency making the reduction in rating to which this definition would otherwise apply does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40" w:firstLine="419"/>
        <w:spacing w:after="0" w:line="25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Securities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79" w:lineRule="exact"/>
        <w:rPr>
          <w:rFonts w:ascii="Arial" w:cs="Arial" w:eastAsia="Arial" w:hAnsi="Arial"/>
          <w:sz w:val="18"/>
          <w:szCs w:val="18"/>
          <w:color w:val="auto"/>
        </w:rPr>
      </w:pPr>
    </w:p>
    <w:p>
      <w:pPr>
        <w:ind w:left="440" w:right="20" w:firstLine="419"/>
        <w:spacing w:after="0" w:line="279" w:lineRule="auto"/>
        <w:tabs>
          <w:tab w:leader="none" w:pos="111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Securities Exchange Act) (other than any Permitted Holders) becomes the “beneficial owner” (as defined in Rules 13d-3 and 13d-5 under the Securities Exchange Act), directly or indirectly, of more than 50% of the outstanding Voting Stock of the Company, measured by voting power rather than number of shares; or</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approval by the Company’s stockholders of any plan or proposal relating to the liquidation or dissolution of the Company.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Repurchase Event</w:t>
      </w:r>
      <w:r>
        <w:rPr>
          <w:rFonts w:ascii="Arial" w:cs="Arial" w:eastAsia="Arial" w:hAnsi="Arial"/>
          <w:sz w:val="18"/>
          <w:szCs w:val="18"/>
          <w:color w:val="auto"/>
        </w:rPr>
        <w:t>” means the occurrence of a Change of Control and a Below Investment Grade Rating Event.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Subsidiary</w:t>
      </w:r>
      <w:r>
        <w:rPr>
          <w:rFonts w:ascii="Arial" w:cs="Arial" w:eastAsia="Arial" w:hAnsi="Arial"/>
          <w:sz w:val="18"/>
          <w:szCs w:val="18"/>
          <w:color w:val="auto"/>
        </w:rPr>
        <w:t>”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each Note in global form, The Depository Trust Company, until a successor shall have been appointed and becomes such person, and thereafter, Depositary shall mean or include such successor.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Egan-Jones</w:t>
      </w:r>
      <w:r>
        <w:rPr>
          <w:rFonts w:ascii="Arial" w:cs="Arial" w:eastAsia="Arial" w:hAnsi="Arial"/>
          <w:sz w:val="18"/>
          <w:szCs w:val="18"/>
          <w:color w:val="auto"/>
        </w:rPr>
        <w:t>” means Egan-Jones Ratings Company, Inc. or any successor thereto.</w:t>
      </w:r>
    </w:p>
    <w:p>
      <w:pPr>
        <w:spacing w:after="0" w:line="117"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Investment Adviser</w:t>
      </w:r>
      <w:r>
        <w:rPr>
          <w:rFonts w:ascii="Arial" w:cs="Arial" w:eastAsia="Arial" w:hAnsi="Arial"/>
          <w:sz w:val="18"/>
          <w:szCs w:val="18"/>
          <w:color w:val="auto"/>
        </w:rPr>
        <w:t>” means PennantPark Investment Advisers, LLC.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w:t>
      </w:r>
      <w:r>
        <w:rPr>
          <w:rFonts w:ascii="Arial" w:cs="Arial" w:eastAsia="Arial" w:hAnsi="Arial"/>
          <w:sz w:val="18"/>
          <w:szCs w:val="18"/>
          <w:color w:val="auto"/>
        </w:rPr>
        <w:t>” means a rating of BBB- or better by Egan-Jones (or its equivalent under any successor rating categories of Egan-Jones) (or if such Rating Agency ceases to rate the Notes for reasons outside of the Company’s control, the equivalent investment grade credit rating from any Rating Agency selected by the Company as a replacement Rating Agency).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(i) the Company and (ii) one or more of the Company’s Controlled Subsidiaries.</w:t>
      </w:r>
    </w:p>
    <w:p>
      <w:pPr>
        <w:spacing w:after="0" w:line="225" w:lineRule="exact"/>
        <w:rPr>
          <w:sz w:val="20"/>
          <w:szCs w:val="20"/>
          <w:color w:val="auto"/>
        </w:rPr>
      </w:pPr>
    </w:p>
    <w:p>
      <w:pPr>
        <w:jc w:val="both"/>
        <w:ind w:right="5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Egan-Jones; and if Egan-Jones ceases to rate the Notes or fails to make a rating of the Notes publicly available for reasons outside of the Company’s control, a “nationally recognized statistical rating organization” as defined in Section 3(a)(62) of the Securities Exchange Act selected by the Company as a replacement agency for Egan-Jones.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that would be a “significant subsidiary” as defined in Article 1, Rule 1-02 of Regulation S-X under the Securities Exchange Act, as such regulation is in effect on the original date of this Indenture (but excluding any Subsidiary which is (a) a non-recourse or limited recourse Subsidiary, (b) a bankruptcy remote special purpose vehicle or (c) is not consolidated with the Company for purposes of GAAP).</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of this Fourth Supplemental Indenture.</w:t>
      </w:r>
    </w:p>
    <w:p>
      <w:pPr>
        <w:spacing w:after="0" w:line="225"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49"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“Business Day” included therein in its entirety with the following:</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banking institutions in New York or the city in which the Corporate Trust Office of the Trustee is located are authorized or obligated by law or executive order to close.</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“Subsidiary” included therein in its entirety with the following: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 w:name="page13"/>
    <w:bookmarkEnd w:id="12"/>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FORM</w:t>
      </w:r>
    </w:p>
    <w:p>
      <w:pPr>
        <w:spacing w:after="0" w:line="211"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Article Two of the Base Indenture shall be amended by adding the following new Section 204 thereto, as set forth below:</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204. Certificated Securities</w:t>
      </w:r>
      <w:r>
        <w:rPr>
          <w:rFonts w:ascii="Arial" w:cs="Arial" w:eastAsia="Arial" w:hAnsi="Arial"/>
          <w:sz w:val="18"/>
          <w:szCs w:val="18"/>
          <w:color w:val="auto"/>
        </w:rPr>
        <w:t>.</w:t>
      </w:r>
    </w:p>
    <w:p>
      <w:pPr>
        <w:spacing w:after="0" w:line="121"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Notwithstanding anything to the contrary, Securities in physical, certificated form will be issued and delivered to each person that the Depositary identifies as a beneficial owner of the related Securities only if:</w:t>
      </w:r>
    </w:p>
    <w:p>
      <w:pPr>
        <w:spacing w:after="0" w:line="62" w:lineRule="exact"/>
        <w:rPr>
          <w:sz w:val="20"/>
          <w:szCs w:val="20"/>
          <w:color w:val="auto"/>
        </w:rPr>
      </w:pPr>
    </w:p>
    <w:p>
      <w:pPr>
        <w:ind w:left="440" w:right="120" w:hanging="4"/>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Depositary notifies the Company at any time that it is unwilling or unable to continue as depositary for the Securities in global form and a successor depositary is not appointed within 90 days;</w:t>
      </w:r>
    </w:p>
    <w:p>
      <w:pPr>
        <w:spacing w:after="0" w:line="62" w:lineRule="exact"/>
        <w:rPr>
          <w:rFonts w:ascii="Arial" w:cs="Arial" w:eastAsia="Arial" w:hAnsi="Arial"/>
          <w:sz w:val="18"/>
          <w:szCs w:val="18"/>
          <w:color w:val="auto"/>
        </w:rPr>
      </w:pPr>
    </w:p>
    <w:p>
      <w:pPr>
        <w:ind w:left="440" w:right="420" w:hanging="4"/>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Depositary ceases to be registered as a clearing agency under the Securities Exchange Act and a successor depositary is not appointed within 90 days; or</w:t>
      </w:r>
    </w:p>
    <w:p>
      <w:pPr>
        <w:spacing w:after="0" w:line="62" w:lineRule="exact"/>
        <w:rPr>
          <w:rFonts w:ascii="Arial" w:cs="Arial" w:eastAsia="Arial" w:hAnsi="Arial"/>
          <w:sz w:val="18"/>
          <w:szCs w:val="18"/>
          <w:color w:val="auto"/>
        </w:rPr>
      </w:pPr>
    </w:p>
    <w:p>
      <w:pPr>
        <w:ind w:left="440" w:right="460" w:hanging="4"/>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Event of Default with respect to the Securities has occurred and is continuing and such beneficial owner requests that its Securities be issued in physical, certificated form.”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(2) thereof in its entirety with the following:</w:t>
      </w:r>
    </w:p>
    <w:p>
      <w:pPr>
        <w:spacing w:after="0" w:line="76"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“(2) default in the payment of the principal of (or premium, if any, on) any Note when it becomes due and payable at its Maturity, including upon any Redemption Date or required repurchase date; or”</w:t>
      </w:r>
    </w:p>
    <w:p>
      <w:pPr>
        <w:spacing w:after="0" w:line="170"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(6) thereof in its entirety with the following: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 a court of competent jurisdiction enters an order or decree under any Bankruptcy Law that:</w:t>
      </w:r>
    </w:p>
    <w:p>
      <w:pPr>
        <w:spacing w:after="0" w:line="117" w:lineRule="exact"/>
        <w:rPr>
          <w:sz w:val="20"/>
          <w:szCs w:val="20"/>
          <w:color w:val="auto"/>
        </w:rPr>
      </w:pPr>
    </w:p>
    <w:p>
      <w:pPr>
        <w:ind w:left="1720" w:hanging="292"/>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 or proceeding, or</w:t>
      </w:r>
    </w:p>
    <w:p>
      <w:pPr>
        <w:spacing w:after="0" w:line="117" w:lineRule="exact"/>
        <w:rPr>
          <w:rFonts w:ascii="Arial" w:cs="Arial" w:eastAsia="Arial" w:hAnsi="Arial"/>
          <w:sz w:val="18"/>
          <w:szCs w:val="18"/>
          <w:color w:val="auto"/>
        </w:rPr>
      </w:pPr>
    </w:p>
    <w:p>
      <w:pPr>
        <w:ind w:left="1420" w:right="420" w:firstLine="8"/>
        <w:spacing w:after="0" w:line="277" w:lineRule="auto"/>
        <w:tabs>
          <w:tab w:leader="none" w:pos="1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adjudges the Company bankrupt or insolvent, or approves as properly filed a petition seeking reorganization, arrangement, adjustment or composition of or in respect of the Company, or</w:t>
      </w:r>
    </w:p>
    <w:p>
      <w:pPr>
        <w:spacing w:after="0" w:line="62" w:lineRule="exact"/>
        <w:rPr>
          <w:rFonts w:ascii="Arial" w:cs="Arial" w:eastAsia="Arial" w:hAnsi="Arial"/>
          <w:sz w:val="18"/>
          <w:szCs w:val="18"/>
          <w:color w:val="auto"/>
        </w:rPr>
      </w:pPr>
    </w:p>
    <w:p>
      <w:pPr>
        <w:ind w:left="1720" w:hanging="292"/>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420" w:right="360" w:firstLine="8"/>
        <w:spacing w:after="0" w:line="277" w:lineRule="auto"/>
        <w:tabs>
          <w:tab w:leader="none" w:pos="1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and the continuance of any such decree or order for relief or any such other decree or order unstayed and undischarged and in effect for a period of 90 days.”</w:t>
      </w:r>
    </w:p>
    <w:p>
      <w:pPr>
        <w:spacing w:after="0" w:line="170"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(7) thereof in its entirety with the following:</w:t>
      </w:r>
    </w:p>
    <w:p>
      <w:pPr>
        <w:spacing w:after="0" w:line="76"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“(7) default by the Company or any of its Significant Subsidiaries, with respect to any mortgage, agreement or other instrument under which there may be outstanding, or by which there may be secured or evidenced, any indebtedness for money borrowed in excess of $75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 or</w:t>
      </w:r>
    </w:p>
    <w:p>
      <w:pPr>
        <w:spacing w:after="0" w:line="70" w:lineRule="exact"/>
        <w:rPr>
          <w:sz w:val="20"/>
          <w:szCs w:val="20"/>
          <w:color w:val="auto"/>
        </w:rPr>
      </w:pPr>
    </w:p>
    <w:p>
      <w:pPr>
        <w:ind w:left="440" w:hanging="4"/>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pursuant to Sections 18(a)(1)(C)(ii) and 61 of the Investment Company Act, or any successor provisions, on the last business day of each of twenty-four consecutive calendar months any class of Securities shall have an asset coverage (as such term is used in the Investment Company Act) of less than 100%, giving effect to any amendments to such provisions of the Investment Company Act or to any exemptive relief granted to the Company by the Commission”.</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502 of the Base Indenture shall be amended by replacing the first paragraph thereof in its entirety with the following: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4" w:name="page15"/>
    <w:bookmarkEnd w:id="14"/>
    <w:p>
      <w:pPr>
        <w:ind w:left="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 Event of Default with respect to the Securities occurs and is continuing, then and in every such case (other than an Event of Default specified in Section 501(5) or 501(6)), the Trustee or the holders of not less than 25% in principal amount of the Outstanding Securities may declare the principal of all the Outstanding Securities to be due and payable immediately, by a notice in writing to the Company (and to the Trustee if given by the holders of the Outstanding Securities), and upon any such declaration such principal or specified portion thereof shall become immediately due and payable;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100% of the principal of, and accrued and unpaid interest on, the Outstanding Securities will automatically become due and payable in the case of an Event of Default specified in Section 501(5) or 501(6) hereof.”</w:t>
      </w:r>
    </w:p>
    <w:p>
      <w:pPr>
        <w:spacing w:after="0" w:line="164"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507 of the Base Indenture shall be amended by replacing clause (3) thereof in its entirety with the following:</w:t>
      </w:r>
    </w:p>
    <w:p>
      <w:pPr>
        <w:spacing w:after="0" w:line="76"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“(3) such Holder or Holders have offered to the Trustee security or indemnity satisfactory to the Trustee against the costs, expenses and liabilities to be incurred incompliance with such request;”</w:t>
      </w:r>
    </w:p>
    <w:p>
      <w:pPr>
        <w:spacing w:after="0" w:line="170"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512 of the Base Indenture shall be amended by replacing clause (3) thereof in its entirety with the following:</w:t>
      </w:r>
    </w:p>
    <w:p>
      <w:pPr>
        <w:spacing w:after="0" w:line="76"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“(3) the Trustee need not take any action that it determines in good faith might involve it in personal liability or be unjustly prejudicial to the Holders of Securities of such series not consenting (it being understood that the Trustee does not have an affirmative duty to ascertain whether or not any such directions are unduly prejudicial to such Holders).”</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1006 of the Base Indenture shall be amended by replacing Section 1006 thereof in its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1006. [RESERVED.]</w:t>
      </w:r>
      <w:r>
        <w:rPr>
          <w:rFonts w:ascii="Arial" w:cs="Arial" w:eastAsia="Arial" w:hAnsi="Arial"/>
          <w:sz w:val="18"/>
          <w:szCs w:val="18"/>
          <w:color w:val="auto"/>
        </w:rPr>
        <w:t>”</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u w:val="single" w:color="auto"/>
          <w:color w:val="auto"/>
        </w:rPr>
        <w:t>Section 5.02</w:t>
      </w:r>
      <w:r>
        <w:rPr>
          <w:rFonts w:ascii="Arial" w:cs="Arial" w:eastAsia="Arial" w:hAnsi="Arial"/>
          <w:sz w:val="18"/>
          <w:szCs w:val="18"/>
          <w:color w:val="auto"/>
        </w:rPr>
        <w:t>.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thereof in its entirety with the following: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1007. Waiver of Certain Covenants.</w:t>
      </w:r>
    </w:p>
    <w:p>
      <w:pPr>
        <w:spacing w:after="0" w:line="121"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The Company may omit in any particular instance to comply with any covenant or condition, as specified pursuant to Section 301(15), for Securities of any series, in any covenants of the Company added to Article Ten pursuant to Section 301(14) or Section 301(15) in</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4" w:right="559" w:bottom="1440" w:gutter="0" w:footer="0" w:header="0"/>
        </w:sectPr>
      </w:pPr>
    </w:p>
    <w:bookmarkStart w:id="15" w:name="page16"/>
    <w:bookmarkEnd w:id="1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188"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t>Section 5.03</w:t>
      </w:r>
      <w:r>
        <w:rPr>
          <w:rFonts w:ascii="Arial" w:cs="Arial" w:eastAsia="Arial" w:hAnsi="Arial"/>
          <w:sz w:val="18"/>
          <w:szCs w:val="18"/>
          <w:color w:val="auto"/>
        </w:rPr>
        <w:t>.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1008 and 1009 thereto, each as set forth below:</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1008. Section 18(a)(1)(A) of the Investment Company Act</w:t>
      </w:r>
      <w:r>
        <w:rPr>
          <w:rFonts w:ascii="Arial" w:cs="Arial" w:eastAsia="Arial" w:hAnsi="Arial"/>
          <w:sz w:val="18"/>
          <w:szCs w:val="18"/>
          <w:color w:val="auto"/>
        </w:rPr>
        <w:t>.</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The Company hereby agrees that for the period of time during which Notes are Outstanding, the Company will not violate, whether or not it is subject to, Section 18(a)(1)(A) as modified by Section 61(a) of the Investment Company Act or any successor provisions thereto of the Investment Company Act, giving effect to any exemptive relief granted to the Company by the Commission.”</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1009. Commission Reports and Reports to Holders</w:t>
      </w:r>
      <w:r>
        <w:rPr>
          <w:rFonts w:ascii="Arial" w:cs="Arial" w:eastAsia="Arial" w:hAnsi="Arial"/>
          <w:sz w:val="18"/>
          <w:szCs w:val="18"/>
          <w:color w:val="auto"/>
        </w:rPr>
        <w:t>.</w:t>
      </w:r>
    </w:p>
    <w:p>
      <w:pPr>
        <w:spacing w:after="0" w:line="121" w:lineRule="exact"/>
        <w:rPr>
          <w:sz w:val="20"/>
          <w:szCs w:val="20"/>
          <w:color w:val="auto"/>
        </w:rPr>
      </w:pPr>
    </w:p>
    <w:p>
      <w:pPr>
        <w:ind w:left="440" w:right="100"/>
        <w:spacing w:after="0" w:line="270" w:lineRule="auto"/>
        <w:rPr>
          <w:sz w:val="20"/>
          <w:szCs w:val="20"/>
          <w:color w:val="auto"/>
        </w:rPr>
      </w:pPr>
      <w:r>
        <w:rPr>
          <w:rFonts w:ascii="Arial" w:cs="Arial" w:eastAsia="Arial" w:hAnsi="Arial"/>
          <w:sz w:val="17"/>
          <w:szCs w:val="17"/>
          <w:color w:val="auto"/>
        </w:rPr>
        <w:t>If, at any time, the Company is not subject to the reporting requirements of Sections 13 or 15(d) of the Securities Exchange Act to file any periodic reports with the Commission, the Company agrees to furnish to the Holders of Notes and the Trustee for the period of time during which the Notes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DEFEASANCE AND COVENANT DEFEASANCE</w:t>
      </w:r>
    </w:p>
    <w:p>
      <w:pPr>
        <w:spacing w:after="0" w:line="21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Section 6.01. Except as may be provided in a Future Supplemental Indenture, for the benefit of the Holders of the Notes but no other series of Securities under the Indenture, whether now or hereafter issued and Outstanding, Article Fourteen of the Base Indenture shall be amended by replacing Section 1403 thereof in its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1403. Covenant Defeasance.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6" w:name="page17"/>
    <w:bookmarkEnd w:id="16"/>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Company’s exercise of the above option applicable to this Section with respect to any Securities of or within a series, the Company shall be released, if specified pursuant to Section 301, from its obligations under any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501(7) or otherwise, as the case may be, but, except as specified above, the remainder of this Indenture and such Securities and any coupons appertaining thereto shall be unaffected thereby. Following a covenant defeasance, payment of such Securities may not be accelerated because of an Event of Default solely by reference to such Sections specified above in this Section 1403.”</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Neither the Trustee nor any Paying Agent shall be responsible for determining whether any Change of Control or Below Investment Grade Rating Event has occurred and whether any Change of Control offer with respect to the Notes is required.</w:t>
      </w:r>
    </w:p>
    <w:p>
      <w:pPr>
        <w:spacing w:after="0" w:line="170"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602 of the Base Indenture shall be amended by replacing clause (5) thereof in its entirety with the following:</w:t>
      </w:r>
    </w:p>
    <w:p>
      <w:pPr>
        <w:spacing w:after="0" w:line="76"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“(5) The Trustee shall be under no obligation to exercise any of the rights or powers vested in it by this Indenture at the request or direction of any of the Holders of any series or any related coupons pursuant to this Indenture, unless such Holders shall have offered to the Trustee security or indemnity satisfactory to the Trustee against the costs, expenses and liabilities which might be incurred by it in compliance with such request or direction.”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REPURCHASE UPON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REPURCHASE EVENT</w:t>
      </w:r>
    </w:p>
    <w:p>
      <w:pPr>
        <w:spacing w:after="0" w:line="21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in their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1301. Change of Control.</w:t>
      </w:r>
    </w:p>
    <w:p>
      <w:pPr>
        <w:spacing w:after="0" w:line="12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 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Securities Exchange Act and any other securities laws and regulations thereunder to the extent those laws and regulations are applicable in connection with the repurchase of the Notes as a result of a Change of Control Repurchase Event.</w:t>
      </w:r>
    </w:p>
    <w:p>
      <w:pPr>
        <w:spacing w:after="0" w:line="71" w:lineRule="exact"/>
        <w:rPr>
          <w:sz w:val="20"/>
          <w:szCs w:val="20"/>
          <w:color w:val="auto"/>
        </w:rPr>
      </w:pPr>
    </w:p>
    <w:p>
      <w:pPr>
        <w:ind w:left="440" w:right="280" w:firstLine="423"/>
        <w:spacing w:after="0" w:line="263" w:lineRule="auto"/>
        <w:rPr>
          <w:sz w:val="20"/>
          <w:szCs w:val="20"/>
          <w:color w:val="auto"/>
        </w:rPr>
      </w:pPr>
      <w:r>
        <w:rPr>
          <w:rFonts w:ascii="Arial" w:cs="Arial" w:eastAsia="Arial" w:hAnsi="Arial"/>
          <w:sz w:val="18"/>
          <w:szCs w:val="18"/>
          <w:color w:val="auto"/>
        </w:rPr>
        <w:t>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spacing w:after="0" w:line="76"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Investment Company Act, the Company shall, to the extent lawful:</w:t>
      </w:r>
    </w:p>
    <w:p>
      <w:pPr>
        <w:spacing w:after="0" w:line="62" w:lineRule="exact"/>
        <w:rPr>
          <w:sz w:val="20"/>
          <w:szCs w:val="20"/>
          <w:color w:val="auto"/>
        </w:rPr>
      </w:pPr>
    </w:p>
    <w:p>
      <w:pPr>
        <w:ind w:left="2060" w:hanging="249"/>
        <w:spacing w:after="0"/>
        <w:tabs>
          <w:tab w:leader="none" w:pos="2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its offer;</w:t>
      </w:r>
    </w:p>
    <w:p>
      <w:pPr>
        <w:spacing w:after="0" w:line="117" w:lineRule="exact"/>
        <w:rPr>
          <w:rFonts w:ascii="Arial" w:cs="Arial" w:eastAsia="Arial" w:hAnsi="Arial"/>
          <w:sz w:val="18"/>
          <w:szCs w:val="18"/>
          <w:color w:val="auto"/>
        </w:rPr>
      </w:pPr>
    </w:p>
    <w:p>
      <w:pPr>
        <w:ind w:left="1420" w:right="20" w:firstLine="391"/>
        <w:spacing w:after="0" w:line="277" w:lineRule="auto"/>
        <w:tabs>
          <w:tab w:leader="none" w:pos="20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62" w:lineRule="exact"/>
        <w:rPr>
          <w:rFonts w:ascii="Arial" w:cs="Arial" w:eastAsia="Arial" w:hAnsi="Arial"/>
          <w:sz w:val="18"/>
          <w:szCs w:val="18"/>
          <w:color w:val="auto"/>
        </w:rPr>
      </w:pPr>
    </w:p>
    <w:p>
      <w:pPr>
        <w:ind w:left="1420" w:right="60" w:firstLine="391"/>
        <w:spacing w:after="0" w:line="277" w:lineRule="auto"/>
        <w:tabs>
          <w:tab w:leader="none" w:pos="20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left="440" w:right="22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Paying Agent will promptly remit to each Holder of Notes properly tendered the purchase price for the Notes, and the Trustee will promptly authenticate upon receipt of a Company Order and mail (or cause to be transferred by book-entry) to each Holder a new Note equal in principal amount to any unpurchased portion of any Notes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0" w:lineRule="exact"/>
        <w:rPr>
          <w:sz w:val="20"/>
          <w:szCs w:val="20"/>
          <w:color w:val="auto"/>
        </w:rPr>
      </w:pPr>
    </w:p>
    <w:p>
      <w:pPr>
        <w:ind w:left="440" w:firstLine="423"/>
        <w:spacing w:after="0" w:line="308" w:lineRule="auto"/>
        <w:rPr>
          <w:sz w:val="20"/>
          <w:szCs w:val="20"/>
          <w:color w:val="auto"/>
        </w:rPr>
      </w:pPr>
      <w:r>
        <w:rPr>
          <w:rFonts w:ascii="Arial" w:cs="Arial" w:eastAsia="Arial" w:hAnsi="Arial"/>
          <w:sz w:val="17"/>
          <w:szCs w:val="17"/>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38" w:lineRule="exact"/>
        <w:rPr>
          <w:sz w:val="20"/>
          <w:szCs w:val="20"/>
          <w:color w:val="auto"/>
        </w:rPr>
      </w:pPr>
    </w:p>
    <w:p>
      <w:pPr>
        <w:ind w:left="440" w:right="360" w:firstLine="423"/>
        <w:spacing w:after="0" w:line="286" w:lineRule="auto"/>
        <w:rPr>
          <w:sz w:val="20"/>
          <w:szCs w:val="20"/>
          <w:color w:val="auto"/>
        </w:rPr>
      </w:pPr>
      <w:r>
        <w:rPr>
          <w:rFonts w:ascii="Arial" w:cs="Arial" w:eastAsia="Arial" w:hAnsi="Arial"/>
          <w:sz w:val="17"/>
          <w:szCs w:val="17"/>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11"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801 of the Base Indenture shall be amended by replacing Section 801 in its entirety with the following:</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801. Company May Consolidate, Etc., Only on Certain Terms.</w:t>
      </w:r>
    </w:p>
    <w:p>
      <w:pPr>
        <w:spacing w:after="0" w:line="121" w:lineRule="exact"/>
        <w:rPr>
          <w:sz w:val="20"/>
          <w:szCs w:val="20"/>
          <w:color w:val="auto"/>
        </w:rPr>
      </w:pPr>
    </w:p>
    <w:p>
      <w:pPr>
        <w:ind w:left="440" w:right="20" w:firstLine="423"/>
        <w:spacing w:after="0" w:line="255" w:lineRule="auto"/>
        <w:rPr>
          <w:sz w:val="20"/>
          <w:szCs w:val="20"/>
          <w:color w:val="auto"/>
        </w:rPr>
      </w:pPr>
      <w:r>
        <w:rPr>
          <w:rFonts w:ascii="Arial" w:cs="Arial" w:eastAsia="Arial" w:hAnsi="Arial"/>
          <w:sz w:val="18"/>
          <w:szCs w:val="18"/>
          <w:color w:val="auto"/>
        </w:rPr>
        <w:t>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Subsidiaries shall not be deemed to be any such sale, transfer, lease, conveyance or disposition; and provided further that this Section 801 shall not apply to any sale, transfer, lease, conveyance, or other disposition of all or substantially all of the Company’s property to a wholly owned Subsidiary) in one transaction or series of related transactions unless:</w:t>
      </w:r>
    </w:p>
    <w:p>
      <w:pPr>
        <w:spacing w:after="0" w:line="84" w:lineRule="exact"/>
        <w:rPr>
          <w:sz w:val="20"/>
          <w:szCs w:val="20"/>
          <w:color w:val="auto"/>
        </w:rPr>
      </w:pPr>
    </w:p>
    <w:p>
      <w:pPr>
        <w:ind w:left="1420" w:right="160" w:firstLine="391"/>
        <w:spacing w:after="0" w:line="259" w:lineRule="auto"/>
        <w:tabs>
          <w:tab w:leader="none" w:pos="20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shall be the surviving Person (the “Surviving Person”) or the Surviving Person (if other than the Company) formed by such merger or consolidation or to which such sale, transfer, lease, conveyance or disposition is made shall be a corporation or limited liability company or trust organized and existing under the laws of the United States of America or any state or territory thereof or the District of Columbia;</w:t>
      </w:r>
    </w:p>
    <w:p>
      <w:pPr>
        <w:spacing w:after="0" w:line="78" w:lineRule="exact"/>
        <w:rPr>
          <w:rFonts w:ascii="Arial" w:cs="Arial" w:eastAsia="Arial" w:hAnsi="Arial"/>
          <w:sz w:val="18"/>
          <w:szCs w:val="18"/>
          <w:color w:val="auto"/>
        </w:rPr>
      </w:pPr>
    </w:p>
    <w:p>
      <w:pPr>
        <w:ind w:left="1420" w:right="340" w:firstLine="391"/>
        <w:spacing w:after="0" w:line="301" w:lineRule="auto"/>
        <w:tabs>
          <w:tab w:leader="none" w:pos="20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Outstanding Securities, and the due and punctual performance and observance of all the covenants and conditions of this Indenture to be performed by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9" w:name="page20"/>
    <w:bookmarkEnd w:id="19"/>
    <w:p>
      <w:pPr>
        <w:ind w:left="1420" w:right="200" w:firstLine="391"/>
        <w:spacing w:after="0" w:line="277"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before and immediately after giving effect to such transaction or series of related transactions, no Default or Event of Default shall have occurred and be continuing; and</w:t>
      </w:r>
    </w:p>
    <w:p>
      <w:pPr>
        <w:spacing w:after="0" w:line="62" w:lineRule="exact"/>
        <w:rPr>
          <w:rFonts w:ascii="Arial" w:cs="Arial" w:eastAsia="Arial" w:hAnsi="Arial"/>
          <w:sz w:val="18"/>
          <w:szCs w:val="18"/>
          <w:color w:val="auto"/>
        </w:rPr>
      </w:pPr>
    </w:p>
    <w:p>
      <w:pPr>
        <w:ind w:left="1420" w:firstLine="391"/>
        <w:spacing w:after="0" w:line="263"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shall deliver, or cause to be delivered, to the Trustee, an Officers’ Certificate and an Opinion of Counsel, each stating that such transaction and the supplemental indenture, if any, in respect thereto comply with this Section 801, that all conditions precedent in this Indenture relating to such transaction have been complied with.</w:t>
      </w:r>
    </w:p>
    <w:p>
      <w:pPr>
        <w:spacing w:after="0" w:line="76" w:lineRule="exact"/>
        <w:rPr>
          <w:sz w:val="20"/>
          <w:szCs w:val="20"/>
          <w:color w:val="auto"/>
        </w:rPr>
      </w:pPr>
    </w:p>
    <w:p>
      <w:pPr>
        <w:jc w:val="both"/>
        <w:ind w:left="440" w:right="40" w:firstLine="423"/>
        <w:spacing w:after="0" w:line="311" w:lineRule="auto"/>
        <w:rPr>
          <w:sz w:val="20"/>
          <w:szCs w:val="20"/>
          <w:color w:val="auto"/>
        </w:rPr>
      </w:pPr>
      <w:r>
        <w:rPr>
          <w:rFonts w:ascii="Arial" w:cs="Arial" w:eastAsia="Arial" w:hAnsi="Arial"/>
          <w:sz w:val="16"/>
          <w:szCs w:val="16"/>
          <w:color w:val="auto"/>
        </w:rPr>
        <w:t>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w:t>
      </w:r>
    </w:p>
    <w:p>
      <w:pPr>
        <w:spacing w:after="0" w:line="149"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802 of the Base Indenture shall be amended by replacing Section 802 in its entirety with the following:</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802. Successor Person Substituted.</w:t>
      </w:r>
    </w:p>
    <w:p>
      <w:pPr>
        <w:spacing w:after="0" w:line="121" w:lineRule="exact"/>
        <w:rPr>
          <w:sz w:val="20"/>
          <w:szCs w:val="20"/>
          <w:color w:val="auto"/>
        </w:rPr>
      </w:pPr>
    </w:p>
    <w:p>
      <w:pPr>
        <w:ind w:left="440" w:right="20" w:firstLine="423"/>
        <w:spacing w:after="0" w:line="255"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in accordance with Section 801, the successor Person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coupons and may be dissolved and liquidated.”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11"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In the event of any conflict between the terms relating to redemption set forth in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of this Fourth Supplemental Indenture and Article Eleven of the Base Indenture, the terms set forth in this Fourth Supplemental Indenture shall control.</w:t>
      </w:r>
    </w:p>
    <w:p>
      <w:pPr>
        <w:spacing w:after="0" w:line="146"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1103 of the Base Indenture shall be amended by replacing Section 1103 in its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1103. Selection by Trustee of Securities to be Redeemed</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0" w:name="page21"/>
    <w:bookmarkEnd w:id="20"/>
    <w:p>
      <w:pPr>
        <w:ind w:left="440"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(i) if the Securities are listed on any national securities exchange, in compliance with the requirements of the principal national securities exchange on which the Securities are listed, (ii) on a pro rata basis to the extent practicable or (iii) to the extent that selection on a pro rata basis is not practicable by lot or such other similar method the Trustee deems to be fair and appropriate from the Outstanding Securities of such series issued on such date with the same terms not previously called for redemption, not less than 30 nor more than 60 days prior to the redemption date; provided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provided, however, that no such partial redemption shall reduce the portion of the principal amount of a Security not redeemed to less than the minimum authorized denomination for Securities of such series.</w:t>
      </w:r>
    </w:p>
    <w:p>
      <w:pPr>
        <w:spacing w:after="0" w:line="71" w:lineRule="exact"/>
        <w:rPr>
          <w:sz w:val="20"/>
          <w:szCs w:val="20"/>
          <w:color w:val="auto"/>
        </w:rPr>
      </w:pPr>
    </w:p>
    <w:p>
      <w:pPr>
        <w:ind w:left="440" w:right="480" w:firstLine="423"/>
        <w:spacing w:after="0" w:line="342" w:lineRule="auto"/>
        <w:rPr>
          <w:sz w:val="20"/>
          <w:szCs w:val="20"/>
          <w:color w:val="auto"/>
        </w:rPr>
      </w:pPr>
      <w:r>
        <w:rPr>
          <w:rFonts w:ascii="Arial" w:cs="Arial" w:eastAsia="Arial" w:hAnsi="Arial"/>
          <w:sz w:val="16"/>
          <w:szCs w:val="16"/>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 AND COVENANT DEFEASANCE</w:t>
      </w:r>
    </w:p>
    <w:p>
      <w:pPr>
        <w:spacing w:after="0" w:line="211"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1404 of the Base Indenture shall be amended by replacing clause (a) thereof in its entirety with the following:</w:t>
      </w:r>
    </w:p>
    <w:p>
      <w:pPr>
        <w:spacing w:after="0" w:line="76" w:lineRule="exact"/>
        <w:rPr>
          <w:sz w:val="20"/>
          <w:szCs w:val="20"/>
          <w:color w:val="auto"/>
        </w:rPr>
      </w:pPr>
    </w:p>
    <w:p>
      <w:pPr>
        <w:ind w:left="440" w:right="160"/>
        <w:spacing w:after="0" w:line="279" w:lineRule="auto"/>
        <w:rPr>
          <w:sz w:val="20"/>
          <w:szCs w:val="20"/>
          <w:color w:val="auto"/>
        </w:rPr>
      </w:pPr>
      <w:r>
        <w:rPr>
          <w:rFonts w:ascii="Arial" w:cs="Arial" w:eastAsia="Arial" w:hAnsi="Arial"/>
          <w:sz w:val="17"/>
          <w:szCs w:val="17"/>
          <w:color w:val="auto"/>
        </w:rPr>
        <w:t>“(a) 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and any coupons appertaining thereto, (1) an amount (in such Currency in which such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1" w:name="page22"/>
    <w:bookmarkEnd w:id="21"/>
    <w:p>
      <w:pPr>
        <w:ind w:lef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coupons appertaining thereto are then specified as payable at Stated Maturity) or (2) Government Obligations applicable to such Securities and coupons appertaining thereto 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72"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1405 of the Base Indenture shall be amended by replacing the final paragraph thereof in its entirety with the following:</w:t>
      </w:r>
    </w:p>
    <w:p>
      <w:pPr>
        <w:spacing w:after="0" w:line="76" w:lineRule="exact"/>
        <w:rPr>
          <w:sz w:val="20"/>
          <w:szCs w:val="20"/>
          <w:color w:val="auto"/>
        </w:rPr>
      </w:pPr>
    </w:p>
    <w:p>
      <w:pPr>
        <w:ind w:left="440" w:right="200"/>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This Fourth Supplemental Indenture and the Notes shall be governed by and construed in accordance with the laws of the State of New York. This Fourth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8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In case any provision in this Fourth Supplemental Indenture or in the Notes shall be invalid, illegal or unenforceable, the validity, legality and enforceability of the remaining provisions shall not in any way be affected or impaired thereby.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2" w:name="page23"/>
    <w:bookmarkEnd w:id="22"/>
    <w:p>
      <w:pPr>
        <w:ind w:right="60" w:firstLine="440"/>
        <w:spacing w:after="0" w:line="275"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12.03</w:t>
      </w:r>
      <w:r>
        <w:rPr>
          <w:rFonts w:ascii="Arial" w:cs="Arial" w:eastAsia="Arial" w:hAnsi="Arial"/>
          <w:sz w:val="17"/>
          <w:szCs w:val="17"/>
          <w:color w:val="auto"/>
        </w:rPr>
        <w:t xml:space="preserve"> This Fourth Supplemental Indenture may be executed in any number of counterparts, each of which will be an original, but such counterparts will together constitute but one and the same Fourth Supplemental Indenture. The exchange of copies of this Fourth Supplemental Indenture and of signature pages by facsimile, .pdf transmission, email or other electronic means shall constitute effective execution and delivery of this Fourth Supplemental Indenture for all purposes. Signatures of the parties hereto transmitted by facsimile, .pdf transmission, email or other electronic means shall be deemed to be their original signatures for all purposes.</w:t>
      </w:r>
    </w:p>
    <w:p>
      <w:pPr>
        <w:spacing w:after="0" w:line="17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The Base Indenture, as supplemented and amended by this Fourth Supplemental Indenture, is in all respects ratified and confirmed, and the Base Indenture and this Fourth Supplemental Indenture shall be read, taken and construed as one and the same instrument with respect to the Notes. All provisions included in this Fourth Supplemental Indenture supersede any conflicting provisions included in the Base Indenture with respect to the Notes, unless not permitted by law. The Trustee accepts the trusts created by the Indenture, as supplemented by this Fourth Supplemental Indenture, and agrees to perform the same upon the terms and conditions of the Base Indenture, as supplemented by this Fourth Supplemental Indenture. All of the provisions contained in the Base Indenture in respect of the rights, privileges, immunities, powers, and duties of the Trustee shall be applicable in respect of this Fourth Supplemental Indenture as fully and with like force and effect as though fully set forth in full herein.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12.05</w:t>
      </w:r>
      <w:r>
        <w:rPr>
          <w:rFonts w:ascii="Arial" w:cs="Arial" w:eastAsia="Arial" w:hAnsi="Arial"/>
          <w:sz w:val="18"/>
          <w:szCs w:val="18"/>
          <w:color w:val="auto"/>
        </w:rPr>
        <w:t xml:space="preserve"> The provisions of this Fourth Supplemental Indenture shall become effective as of the date hereof.</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u w:val="single" w:color="auto"/>
          <w:color w:val="auto"/>
        </w:rPr>
        <w:t>Section 12.06</w:t>
      </w:r>
      <w:r>
        <w:rPr>
          <w:rFonts w:ascii="Arial" w:cs="Arial" w:eastAsia="Arial" w:hAnsi="Arial"/>
          <w:sz w:val="18"/>
          <w:szCs w:val="18"/>
          <w:color w:val="auto"/>
        </w:rPr>
        <w:t xml:space="preserve"> No past, present or future director, officer, employee, incorporator, or stockholder of the Company shall have any liability for any obligations of the Company under the Indenture or the Notes or for any claim based on, in respect of, or by reason of, such obligations or their creation. By accepting any Note, each Holder shall have been deemed to waive and release all such liability, and such waiver and release are part of the consideration for issuance of the Notes.</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u w:val="single" w:color="auto"/>
          <w:color w:val="auto"/>
        </w:rPr>
        <w:t>Section 12.07</w:t>
      </w:r>
      <w:r>
        <w:rPr>
          <w:rFonts w:ascii="Arial" w:cs="Arial" w:eastAsia="Arial" w:hAnsi="Arial"/>
          <w:sz w:val="18"/>
          <w:szCs w:val="18"/>
          <w:color w:val="auto"/>
        </w:rPr>
        <w:t xml:space="preserve"> Notwithstanding anything else to the contrary herein, the terms and provisions of this Fourth Supplemental Indenture shall apply only to the Notes and shall not apply to any other series of Securities under the Indenture and this Fourth Supplemental Indenture shall not and does not otherwise affect, modify, alter, supplement or change the terms and provisions of any other series of Securities under the Indenture, whether now or hereafter issued and Outstanding.</w:t>
      </w:r>
    </w:p>
    <w:p>
      <w:pPr>
        <w:spacing w:after="0" w:line="187"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u w:val="single" w:color="auto"/>
          <w:color w:val="auto"/>
        </w:rPr>
        <w:t>Section 12.08</w:t>
      </w:r>
      <w:r>
        <w:rPr>
          <w:rFonts w:ascii="Arial" w:cs="Arial" w:eastAsia="Arial" w:hAnsi="Arial"/>
          <w:sz w:val="16"/>
          <w:szCs w:val="16"/>
          <w:color w:val="auto"/>
        </w:rPr>
        <w:t xml:space="preserve">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Fourth Supplemental Indenture, the Notes or any Additional Notes, except that the Trustee represents that it is duly authorized to execute and deliver this Fourth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 w:name="page24"/>
    <w:bookmarkEnd w:id="2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Fourth Supplemental Indenture to be duly executed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PENNANTPARK INVESTMENT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37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[Signature Page to Fourth Supplemental Indenture]</w:t>
      </w:r>
    </w:p>
    <w:p>
      <w:pPr>
        <w:sectPr>
          <w:pgSz w:w="11900" w:h="16838" w:orient="portrait"/>
          <w:cols w:equalWidth="0" w:num="1">
            <w:col w:w="10460"/>
          </w:cols>
          <w:pgMar w:left="440" w:top="274" w:right="999" w:bottom="1440" w:gutter="0" w:footer="0" w:header="0"/>
        </w:sectPr>
      </w:pPr>
    </w:p>
    <w:bookmarkStart w:id="24" w:name="page25"/>
    <w:bookmarkEnd w:id="24"/>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Fourth Supplemental Indenture to be duly executed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 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250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Paul H. Kim</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Assistant General Counsel</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Fourth Supplemental Indenture]</w:t>
      </w:r>
    </w:p>
    <w:p>
      <w:pPr>
        <w:sectPr>
          <w:pgSz w:w="11900" w:h="16838" w:orient="portrait"/>
          <w:cols w:equalWidth="0" w:num="1">
            <w:col w:w="10920"/>
          </w:cols>
          <w:pgMar w:left="440" w:top="274" w:right="5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Global Note</w:t>
      </w:r>
    </w:p>
    <w:p>
      <w:pPr>
        <w:spacing w:after="0" w:line="22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ectPr>
          <w:pgSz w:w="11900" w:h="16838" w:orient="portrait"/>
          <w:cols w:equalWidth="0" w:num="1">
            <w:col w:w="11000"/>
          </w:cols>
          <w:pgMar w:left="440" w:top="270" w:right="4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CUSIP No. 708062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AC8 ISIN No.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US7708062AC82</w:t>
      </w:r>
    </w:p>
    <w:p>
      <w:pPr>
        <w:spacing w:after="0" w:line="200" w:lineRule="exact"/>
        <w:rPr>
          <w:sz w:val="20"/>
          <w:szCs w:val="20"/>
          <w:color w:val="auto"/>
        </w:rPr>
      </w:pPr>
    </w:p>
    <w:p>
      <w:pPr>
        <w:sectPr>
          <w:pgSz w:w="11900" w:h="16838" w:orient="portrait"/>
          <w:cols w:equalWidth="0" w:num="2">
            <w:col w:w="6900" w:space="720"/>
            <w:col w:w="3380"/>
          </w:cols>
          <w:pgMar w:left="440" w:top="270" w:right="45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4.50% Notes due 2026</w:t>
      </w:r>
    </w:p>
    <w:p>
      <w:pPr>
        <w:sectPr>
          <w:pgSz w:w="11900" w:h="16838" w:orient="portrait"/>
          <w:cols w:equalWidth="0" w:num="1">
            <w:col w:w="11000"/>
          </w:cols>
          <w:pgMar w:left="440" w:top="270" w:right="459" w:bottom="1440" w:gutter="0" w:footer="0" w:header="0"/>
          <w:type w:val="continuous"/>
        </w:sectPr>
      </w:pPr>
    </w:p>
    <w:p>
      <w:pPr>
        <w:spacing w:after="0" w:line="2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PennantPark Investment Corporation, a corporation duly organized and existing under the laws of Maryland (herein called the “Company”, which term includes any successor Person under the Indenture hereinafter referred to), for value received, hereby promises to pay to Cede &amp; Co., or registered</w:t>
      </w:r>
    </w:p>
    <w:p>
      <w:pPr>
        <w:spacing w:after="0" w:line="267" w:lineRule="auto"/>
        <w:rPr>
          <w:sz w:val="20"/>
          <w:szCs w:val="20"/>
          <w:color w:val="auto"/>
        </w:rPr>
      </w:pPr>
      <w:r>
        <w:rPr>
          <w:rFonts w:ascii="Arial" w:cs="Arial" w:eastAsia="Arial" w:hAnsi="Arial"/>
          <w:sz w:val="17"/>
          <w:szCs w:val="17"/>
          <w:color w:val="auto"/>
        </w:rPr>
        <w:t>assigns, the principal sum of dollars (U.S. $ ), or such other principal sum as shall be set forth in the Schedule of Increases or Decreases attached hereto, on May 1, 2026, and to pay interest thereon from April 21, 2021 or from the most recent Interest Payment Date to which interest has been paid or duly provided for, semi-annually on May 1 and November 1 of each year, commencing November 1, 2021 (</w:t>
      </w:r>
      <w:r>
        <w:rPr>
          <w:rFonts w:ascii="Arial" w:cs="Arial" w:eastAsia="Arial" w:hAnsi="Arial"/>
          <w:sz w:val="17"/>
          <w:szCs w:val="17"/>
          <w:i w:val="1"/>
          <w:iCs w:val="1"/>
          <w:color w:val="auto"/>
        </w:rPr>
        <w:t>provided</w:t>
      </w:r>
      <w:r>
        <w:rPr>
          <w:rFonts w:ascii="Arial" w:cs="Arial" w:eastAsia="Arial" w:hAnsi="Arial"/>
          <w:sz w:val="17"/>
          <w:szCs w:val="17"/>
          <w:color w:val="auto"/>
        </w:rPr>
        <w:t>, that if an Interest Payment Date falls on a day that is not a Business Day in The City of New York, then the applicable interest payment shall be made on the next succeeding Business Day and no additional interest shall accrue as a result of such delayed payment), at the rate of 4.50%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April 15 and October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all as more fully provided in said Indenture. This Security may be issued as part of a series.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at the option of the Company payment of interest may be made by check mailed to the address of the Person entitled thereto as such address shall appear in the Security Register;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 long as this Security is registered to Cede &amp; Co., such payment will be made by wire transfer in accordance with the procedures established by the Depository Trust Company and the Trustee.</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PENNANTPARK INVESTMENT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420"/>
          </w:cols>
          <w:pgMar w:left="440" w:top="274" w:right="103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 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20"/>
          </w:cols>
          <w:pgMar w:left="440" w:top="274" w:right="5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 Notes due 2026</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 Indenture, dated as of January 22, 2013 (herein called the “Base Indenture”, which term shall have the meaning assigned to it in such instrument), between the Company and American Stock Transfer &amp; Trust Company, LLC,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Fourth Supplemental Indenture, relating to the Securities, dated as of April 21, 2021, by and between the Company and the Trustee (herein called the “Fourth Supplemental Indenture”; and together with the Base Indenture, the “Indenture”). In the event of any conflict between the Base Indenture and the Fourth Supplemental Indenture, the Fourth Supplemental Indenture shall govern and control.</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This Security is one of the series designated on the face hereof, initially limited in aggregate principal amount to $150,000,000. Under a Board Resolution, an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Securities must be part of the same issue as the Securities for U.S. federal income tax purposes if represented by the same CUSIP number as the Notes.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of this series are subject to redemption in whole or in part at any time or from time to time, at the option of the Company, at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 equal to the greater of the following amounts, plus, in each case, accrued and unpaid interest to the Redemption Date:</w:t>
      </w:r>
    </w:p>
    <w:p>
      <w:pPr>
        <w:spacing w:after="0" w:line="116"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 or</w:t>
      </w:r>
    </w:p>
    <w:p>
      <w:pPr>
        <w:spacing w:after="0" w:line="130" w:lineRule="exact"/>
        <w:rPr>
          <w:rFonts w:ascii="Arial" w:cs="Arial" w:eastAsia="Arial" w:hAnsi="Arial"/>
          <w:sz w:val="18"/>
          <w:szCs w:val="18"/>
          <w:color w:val="auto"/>
        </w:rPr>
      </w:pPr>
    </w:p>
    <w:p>
      <w:pPr>
        <w:ind w:left="960" w:hanging="532"/>
        <w:spacing w:after="0" w:line="296"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sum of the present values of the remaining scheduled payments of principal and interest (exclusive of accrued and unpaid interest to the Redemption Date) on the Securities to be redeemed, discounted to the Redemption Date on a semi-annual basis (assuming a 360-day year consisting of twelve 30-day months) using the applicable Treasury Rate plus 50 basis points;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redeems any Securities on or after February 1, 2026, the Redemption Price for the Securities will be equal to 100% of the principal amount of the Securities to be redeemed, plus accrued and unpaid interest, if any, to, but excluding, the Redemption Date.</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Securities, on any Redemption Date, the following terms have the meanings set forth below:</w:t>
      </w:r>
    </w:p>
    <w:p>
      <w:pPr>
        <w:spacing w:after="0" w:line="17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0" w:right="459" w:bottom="1440" w:gutter="0" w:footer="0" w:header="0"/>
        </w:sectPr>
      </w:pPr>
    </w:p>
    <w:bookmarkStart w:id="30" w:name="page31"/>
    <w:bookmarkEnd w:id="30"/>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Treasury Issue (expressed as a percentage of its principal amount) equal to the Comparable Treasury Price for such Redemption Date. The Redemption Price and the Treasury Rate will be determined by the Company.</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“Comparable Treasury Issue” means the United States Treasury security selected by the Reference Treasury Dealer as having a maturity comparable to the remaining term of the Securities to be redeemed that would be utilized, at the time of selection and in accordance with customary financing practice, in pricing new issues of corporate debt securities of comparable maturity to the remaining term of the Securities being redeemed.</w:t>
      </w:r>
    </w:p>
    <w:p>
      <w:pPr>
        <w:spacing w:after="0" w:line="1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40"/>
          </w:cols>
          <w:pgMar w:left="440" w:top="274" w:right="5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“Quotation Agent” means a Reference Treasury Dealer selected by the Company.</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“Reference Treasury Dealer” means each of (1) Raymond James &amp; Associates, Inc. or its affiliates which are primary U.S. government securities dealers, (2) a primary U.S. government securities dealer selected by Keefe, Bruyette &amp; Woods, Inc., (3) a primary U.S. government securities dealer selected by Truist Securities, Inc., and their respective successors; provided, however, that if any of the foregoing or its affiliates shall cease to be a primary U.S. government securities dealer in the United States (a “Primary Treasury Dealer”), the Company shall select another Primary Treasury Dealer.</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Securities to be redeemed, not less than 30 nor more than 60 days prior to the Redemption Date, at the Holder’s address appearing in the Security Register. All notices of redemption shall contain the information set forth in Section 1104 of the Base Indenture.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Any exercise of the Company’s option to redeem the Securities will be done in compliance with the Investment Company Act, to the extent applicable.</w:t>
      </w:r>
    </w:p>
    <w:p>
      <w:pPr>
        <w:spacing w:after="0" w:line="2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If the Company elects to redeem only a portion of the Securities, the particular Securities to be redeemed will be selected by the Trustee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practicable, or, if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is not practicable for any reason, by lot or in such other manner as the Trustee shall deem fair and appropriate, and in any case in accordance with the applicable procedures of the Depositary and in accordance with the Investment Company Act as directed by the Company. In the event of a redemption of this Security in part only, a new Security or Securities of this series and of like tenor for the unredeemed portion hereof will be issued in the name of the Holder hereof upon the cancellation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partial redemption shall reduce the portion of the principal amount of a Security not redeemed to less than $2,000.</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Securities called for redemption.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Holders will have the right to require the Company to repurchase their Securities upon the occurrence of a Change of Control Repurchase Event as set forth in the Indenture.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880"/>
          </w:cols>
          <w:pgMar w:left="440" w:top="274" w:right="579" w:bottom="1440" w:gutter="0" w:footer="0" w:header="0"/>
        </w:sectPr>
      </w:pPr>
    </w:p>
    <w:bookmarkStart w:id="32" w:name="page33"/>
    <w:bookmarkEnd w:id="32"/>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4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6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security or indemnity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security or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74" w:right="459" w:bottom="1440" w:gutter="0" w:footer="0" w:header="0"/>
        </w:sectPr>
      </w:pPr>
    </w:p>
    <w:bookmarkStart w:id="33" w:name="page34"/>
    <w:bookmarkEnd w:id="33"/>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the extent any provision of this Security conflicts with the express provisions of the Indenture, the provisions of the Indenture shall govern and be controlling.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this Security shall be governed by and construed in accordance with the laws of the State of New York.</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34" w:name="page35"/>
    <w:bookmarkEnd w:id="34"/>
    <w:p>
      <w:pPr>
        <w:jc w:val="center"/>
        <w:ind w:right="-2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assign this Note, fill in the form below:</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14605</wp:posOffset>
            </wp:positionV>
            <wp:extent cx="46805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16" w:lineRule="exact"/>
        <w:rPr>
          <w:sz w:val="20"/>
          <w:szCs w:val="20"/>
          <w:color w:val="auto"/>
        </w:rPr>
      </w:pPr>
    </w:p>
    <w:p>
      <w:pPr>
        <w:ind w:left="5824"/>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151765</wp:posOffset>
            </wp:positionV>
            <wp:extent cx="46805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232"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151765</wp:posOffset>
            </wp:positionV>
            <wp:extent cx="4680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3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irrevocably appoint _________________________ to transfer this Note on the books of the Company. The agent may substitute another to act for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him.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Signature:______________________________________________________</w:t>
      </w:r>
    </w:p>
    <w:p>
      <w:pPr>
        <w:spacing w:after="0" w:line="9" w:lineRule="exact"/>
        <w:rPr>
          <w:sz w:val="20"/>
          <w:szCs w:val="20"/>
          <w:color w:val="auto"/>
        </w:rPr>
      </w:pPr>
    </w:p>
    <w:p>
      <w:pPr>
        <w:jc w:val="center"/>
        <w:ind w:left="4180"/>
        <w:spacing w:after="0"/>
        <w:rPr>
          <w:sz w:val="20"/>
          <w:szCs w:val="20"/>
          <w:color w:val="auto"/>
        </w:rPr>
      </w:pPr>
      <w:r>
        <w:rPr>
          <w:rFonts w:ascii="Arial" w:cs="Arial" w:eastAsia="Arial" w:hAnsi="Arial"/>
          <w:sz w:val="18"/>
          <w:szCs w:val="18"/>
          <w:color w:val="auto"/>
        </w:rPr>
        <w:t>(Sign exactly as your name appears on the face of this</w:t>
      </w:r>
    </w:p>
    <w:p>
      <w:pPr>
        <w:spacing w:after="0" w:line="9" w:lineRule="exact"/>
        <w:rPr>
          <w:sz w:val="20"/>
          <w:szCs w:val="20"/>
          <w:color w:val="auto"/>
        </w:rPr>
      </w:pPr>
    </w:p>
    <w:p>
      <w:pPr>
        <w:jc w:val="center"/>
        <w:ind w:left="4180"/>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52" w:lineRule="exact"/>
        <w:rPr>
          <w:sz w:val="20"/>
          <w:szCs w:val="20"/>
          <w:color w:val="auto"/>
        </w:rPr>
      </w:pPr>
    </w:p>
    <w:p>
      <w:pPr>
        <w:ind w:left="5324" w:right="1440" w:hanging="5324"/>
        <w:spacing w:after="0" w:line="449" w:lineRule="auto"/>
        <w:tabs>
          <w:tab w:leader="none" w:pos="4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ectPr>
          <w:pgSz w:w="11900" w:h="16838" w:orient="portrait"/>
          <w:cols w:equalWidth="0" w:num="1">
            <w:col w:w="10804"/>
          </w:cols>
          <w:pgMar w:left="436" w:top="270" w:right="659" w:bottom="1440" w:gutter="0" w:footer="0" w:header="0"/>
        </w:sectPr>
      </w:pPr>
    </w:p>
    <w:bookmarkStart w:id="35" w:name="page36"/>
    <w:bookmarkEnd w:id="35"/>
    <w:p>
      <w:pPr>
        <w:jc w:val="center"/>
        <w:ind w:right="-30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you want to elect to have this Note purchased by the Company pursuant to Section 1301 of the Indenture, check the box below:</w:t>
      </w:r>
    </w:p>
    <w:p>
      <w:pPr>
        <w:spacing w:after="0" w:line="225" w:lineRule="exact"/>
        <w:rPr>
          <w:sz w:val="20"/>
          <w:szCs w:val="20"/>
          <w:color w:val="auto"/>
        </w:rPr>
      </w:pPr>
    </w:p>
    <w:p>
      <w:pPr>
        <w:ind w:left="204" w:hanging="204"/>
        <w:spacing w:after="0"/>
        <w:tabs>
          <w:tab w:leader="none" w:pos="204"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Section 1301</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1301 of the Indenture, state the amount you elect to have purchased: $______________________________________</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Signature: _________________________________________________</w:t>
      </w:r>
    </w:p>
    <w:p>
      <w:pPr>
        <w:spacing w:after="0" w:line="9" w:lineRule="exact"/>
        <w:rPr>
          <w:sz w:val="20"/>
          <w:szCs w:val="20"/>
          <w:color w:val="auto"/>
        </w:rPr>
      </w:pPr>
    </w:p>
    <w:p>
      <w:pPr>
        <w:jc w:val="center"/>
        <w:ind w:left="4180"/>
        <w:spacing w:after="0"/>
        <w:rPr>
          <w:sz w:val="20"/>
          <w:szCs w:val="20"/>
          <w:color w:val="auto"/>
        </w:rPr>
      </w:pPr>
      <w:r>
        <w:rPr>
          <w:rFonts w:ascii="Arial" w:cs="Arial" w:eastAsia="Arial" w:hAnsi="Arial"/>
          <w:sz w:val="18"/>
          <w:szCs w:val="18"/>
          <w:color w:val="auto"/>
        </w:rPr>
        <w:t>(Sign exactly as your name appears on the face of this</w:t>
      </w:r>
    </w:p>
    <w:p>
      <w:pPr>
        <w:spacing w:after="0" w:line="9" w:lineRule="exact"/>
        <w:rPr>
          <w:sz w:val="20"/>
          <w:szCs w:val="20"/>
          <w:color w:val="auto"/>
        </w:rPr>
      </w:pPr>
    </w:p>
    <w:p>
      <w:pPr>
        <w:jc w:val="center"/>
        <w:ind w:left="4180"/>
        <w:spacing w:after="0"/>
        <w:rPr>
          <w:sz w:val="20"/>
          <w:szCs w:val="20"/>
          <w:color w:val="auto"/>
        </w:rPr>
      </w:pPr>
      <w:r>
        <w:rPr>
          <w:rFonts w:ascii="Arial" w:cs="Arial" w:eastAsia="Arial" w:hAnsi="Arial"/>
          <w:sz w:val="18"/>
          <w:szCs w:val="18"/>
          <w:color w:val="auto"/>
        </w:rPr>
        <w:t>Note)</w:t>
      </w:r>
    </w:p>
    <w:p>
      <w:pPr>
        <w:spacing w:after="0" w:line="211"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Tax Identification</w:t>
      </w:r>
    </w:p>
    <w:p>
      <w:pPr>
        <w:spacing w:after="0" w:line="23" w:lineRule="exact"/>
        <w:rPr>
          <w:sz w:val="20"/>
          <w:szCs w:val="20"/>
          <w:color w:val="auto"/>
        </w:rPr>
      </w:pPr>
    </w:p>
    <w:p>
      <w:pPr>
        <w:ind w:left="4204"/>
        <w:spacing w:after="0"/>
        <w:tabs>
          <w:tab w:leader="none" w:pos="4844"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___________________________________________________</w:t>
      </w: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52" w:lineRule="exact"/>
        <w:rPr>
          <w:sz w:val="20"/>
          <w:szCs w:val="20"/>
          <w:color w:val="auto"/>
        </w:rPr>
      </w:pPr>
    </w:p>
    <w:p>
      <w:pPr>
        <w:ind w:left="5324" w:right="1340" w:hanging="5324"/>
        <w:spacing w:after="0" w:line="449" w:lineRule="auto"/>
        <w:tabs>
          <w:tab w:leader="none" w:pos="4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A-11</w:t>
      </w:r>
    </w:p>
    <w:p>
      <w:pPr>
        <w:sectPr>
          <w:pgSz w:w="11900" w:h="16838" w:orient="portrait"/>
          <w:cols w:equalWidth="0" w:num="1">
            <w:col w:w="10704"/>
          </w:cols>
          <w:pgMar w:left="436" w:top="274" w:right="7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7760" w:type="dxa"/>
            <w:vAlign w:val="bottom"/>
            <w:gridSpan w:val="4"/>
          </w:tcPr>
          <w:p>
            <w:pPr>
              <w:jc w:val="center"/>
              <w:ind w:right="8"/>
              <w:spacing w:after="0"/>
              <w:rPr>
                <w:sz w:val="20"/>
                <w:szCs w:val="20"/>
                <w:color w:val="auto"/>
              </w:rPr>
            </w:pPr>
            <w:r>
              <w:rPr>
                <w:rFonts w:ascii="Arial" w:cs="Arial" w:eastAsia="Arial" w:hAnsi="Arial"/>
                <w:sz w:val="18"/>
                <w:szCs w:val="18"/>
                <w:color w:val="auto"/>
                <w:w w:val="95"/>
              </w:rPr>
              <w:t>SCHEDULE OF INCREASES AND DECREASES OF GLOBAL NOTE</w:t>
            </w:r>
          </w:p>
        </w:tc>
        <w:tc>
          <w:tcPr>
            <w:tcW w:w="1580" w:type="dxa"/>
            <w:vAlign w:val="bottom"/>
          </w:tcPr>
          <w:p>
            <w:pPr>
              <w:spacing w:after="0"/>
              <w:rPr>
                <w:sz w:val="20"/>
                <w:szCs w:val="20"/>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w w:val="95"/>
              </w:rPr>
              <w:t>The initial principal amount of this Global Note is $</w:t>
            </w:r>
          </w:p>
        </w:tc>
        <w:tc>
          <w:tcPr>
            <w:tcW w:w="7160" w:type="dxa"/>
            <w:vAlign w:val="bottom"/>
            <w:gridSpan w:val="4"/>
          </w:tcPr>
          <w:p>
            <w:pPr>
              <w:ind w:left="800"/>
              <w:spacing w:after="0"/>
              <w:rPr>
                <w:sz w:val="20"/>
                <w:szCs w:val="20"/>
                <w:color w:val="auto"/>
              </w:rPr>
            </w:pPr>
            <w:r>
              <w:rPr>
                <w:rFonts w:ascii="Arial" w:cs="Arial" w:eastAsia="Arial" w:hAnsi="Arial"/>
                <w:sz w:val="18"/>
                <w:szCs w:val="18"/>
                <w:color w:val="auto"/>
              </w:rPr>
              <w:t>. The following increases and decreases to this Global Note have been made:</w:t>
            </w:r>
          </w:p>
        </w:tc>
      </w:tr>
      <w:tr>
        <w:trPr>
          <w:trHeight w:val="373"/>
        </w:trPr>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Principal Amount at</w:t>
            </w:r>
          </w:p>
        </w:tc>
        <w:tc>
          <w:tcPr>
            <w:tcW w:w="1580" w:type="dxa"/>
            <w:vAlign w:val="bottom"/>
          </w:tcPr>
          <w:p>
            <w:pPr>
              <w:spacing w:after="0"/>
              <w:rPr>
                <w:sz w:val="24"/>
                <w:szCs w:val="24"/>
                <w:color w:val="auto"/>
              </w:rPr>
            </w:pPr>
          </w:p>
        </w:tc>
      </w:tr>
      <w:tr>
        <w:trPr>
          <w:trHeight w:val="148"/>
        </w:trPr>
        <w:tc>
          <w:tcPr>
            <w:tcW w:w="1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rPr>
              <w:t>Maturity</w:t>
            </w:r>
          </w:p>
        </w:tc>
        <w:tc>
          <w:tcPr>
            <w:tcW w:w="1580" w:type="dxa"/>
            <w:vAlign w:val="bottom"/>
          </w:tcPr>
          <w:p>
            <w:pPr>
              <w:spacing w:after="0"/>
              <w:rPr>
                <w:sz w:val="12"/>
                <w:szCs w:val="12"/>
                <w:color w:val="auto"/>
              </w:rPr>
            </w:pPr>
          </w:p>
        </w:tc>
      </w:tr>
      <w:tr>
        <w:trPr>
          <w:trHeight w:val="148"/>
        </w:trPr>
        <w:tc>
          <w:tcPr>
            <w:tcW w:w="1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2"/>
              </w:rPr>
              <w:t>Amount of Decrease in</w:t>
            </w:r>
          </w:p>
        </w:tc>
        <w:tc>
          <w:tcPr>
            <w:tcW w:w="2280" w:type="dxa"/>
            <w:vAlign w:val="bottom"/>
          </w:tcPr>
          <w:p>
            <w:pPr>
              <w:jc w:val="center"/>
              <w:ind w:left="244"/>
              <w:spacing w:after="0" w:line="149" w:lineRule="exact"/>
              <w:rPr>
                <w:sz w:val="20"/>
                <w:szCs w:val="20"/>
                <w:color w:val="auto"/>
              </w:rPr>
            </w:pPr>
            <w:r>
              <w:rPr>
                <w:rFonts w:ascii="Arial" w:cs="Arial" w:eastAsia="Arial" w:hAnsi="Arial"/>
                <w:sz w:val="14"/>
                <w:szCs w:val="14"/>
                <w:color w:val="auto"/>
                <w:w w:val="93"/>
              </w:rPr>
              <w:t>Amount of Increase in</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7"/>
              </w:rPr>
              <w:t>of this Global Note</w:t>
            </w:r>
          </w:p>
        </w:tc>
        <w:tc>
          <w:tcPr>
            <w:tcW w:w="158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2"/>
              </w:rPr>
              <w:t>Signature of</w:t>
            </w:r>
          </w:p>
        </w:tc>
      </w:tr>
      <w:tr>
        <w:trPr>
          <w:trHeight w:val="148"/>
        </w:trPr>
        <w:tc>
          <w:tcPr>
            <w:tcW w:w="1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Principal Amount at</w:t>
            </w:r>
          </w:p>
        </w:tc>
        <w:tc>
          <w:tcPr>
            <w:tcW w:w="2280" w:type="dxa"/>
            <w:vAlign w:val="bottom"/>
          </w:tcPr>
          <w:p>
            <w:pPr>
              <w:jc w:val="center"/>
              <w:ind w:left="244"/>
              <w:spacing w:after="0" w:line="149" w:lineRule="exact"/>
              <w:rPr>
                <w:sz w:val="20"/>
                <w:szCs w:val="20"/>
                <w:color w:val="auto"/>
              </w:rPr>
            </w:pPr>
            <w:r>
              <w:rPr>
                <w:rFonts w:ascii="Arial" w:cs="Arial" w:eastAsia="Arial" w:hAnsi="Arial"/>
                <w:sz w:val="14"/>
                <w:szCs w:val="14"/>
                <w:color w:val="auto"/>
                <w:w w:val="95"/>
              </w:rPr>
              <w:t>Principal Amount at</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4"/>
              </w:rPr>
              <w:t>Following such</w:t>
            </w: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5"/>
              </w:rPr>
              <w:t>Authorized Signatory</w:t>
            </w:r>
          </w:p>
        </w:tc>
      </w:tr>
      <w:tr>
        <w:trPr>
          <w:trHeight w:val="148"/>
        </w:trPr>
        <w:tc>
          <w:tcPr>
            <w:tcW w:w="1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rPr>
              <w:t>Maturity</w:t>
            </w:r>
          </w:p>
        </w:tc>
        <w:tc>
          <w:tcPr>
            <w:tcW w:w="2280" w:type="dxa"/>
            <w:vAlign w:val="bottom"/>
          </w:tcPr>
          <w:p>
            <w:pPr>
              <w:jc w:val="center"/>
              <w:ind w:left="224"/>
              <w:spacing w:after="0" w:line="149" w:lineRule="exact"/>
              <w:rPr>
                <w:sz w:val="20"/>
                <w:szCs w:val="20"/>
                <w:color w:val="auto"/>
              </w:rPr>
            </w:pPr>
            <w:r>
              <w:rPr>
                <w:rFonts w:ascii="Arial" w:cs="Arial" w:eastAsia="Arial" w:hAnsi="Arial"/>
                <w:sz w:val="14"/>
                <w:szCs w:val="14"/>
                <w:color w:val="auto"/>
              </w:rPr>
              <w:t>Maturity</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89"/>
              </w:rPr>
              <w:t>decrease (or</w:t>
            </w:r>
          </w:p>
        </w:tc>
        <w:tc>
          <w:tcPr>
            <w:tcW w:w="158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4"/>
              </w:rPr>
              <w:t>of Trustee or DTC</w:t>
            </w:r>
          </w:p>
        </w:tc>
      </w:tr>
      <w:tr>
        <w:trPr>
          <w:trHeight w:val="167"/>
        </w:trPr>
        <w:tc>
          <w:tcPr>
            <w:tcW w:w="3840" w:type="dxa"/>
            <w:vAlign w:val="bottom"/>
            <w:gridSpan w:val="2"/>
          </w:tcPr>
          <w:p>
            <w:pPr>
              <w:spacing w:after="0"/>
              <w:rPr>
                <w:sz w:val="20"/>
                <w:szCs w:val="20"/>
                <w:color w:val="auto"/>
              </w:rPr>
            </w:pPr>
            <w:r>
              <w:rPr>
                <w:rFonts w:ascii="Arial" w:cs="Arial" w:eastAsia="Arial" w:hAnsi="Arial"/>
                <w:sz w:val="14"/>
                <w:szCs w:val="14"/>
                <w:color w:val="auto"/>
              </w:rPr>
              <w:t>Date of Increase or Decrease</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of this Global Note</w:t>
            </w:r>
          </w:p>
        </w:tc>
        <w:tc>
          <w:tcPr>
            <w:tcW w:w="2280" w:type="dxa"/>
            <w:vAlign w:val="bottom"/>
          </w:tcPr>
          <w:p>
            <w:pPr>
              <w:jc w:val="center"/>
              <w:ind w:left="244"/>
              <w:spacing w:after="0"/>
              <w:rPr>
                <w:sz w:val="20"/>
                <w:szCs w:val="20"/>
                <w:color w:val="auto"/>
              </w:rPr>
            </w:pPr>
            <w:r>
              <w:rPr>
                <w:rFonts w:ascii="Arial" w:cs="Arial" w:eastAsia="Arial" w:hAnsi="Arial"/>
                <w:sz w:val="14"/>
                <w:szCs w:val="14"/>
                <w:color w:val="auto"/>
                <w:w w:val="97"/>
              </w:rPr>
              <w:t>of this Global Note</w:t>
            </w: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1580" w:type="dxa"/>
            <w:vAlign w:val="bottom"/>
          </w:tcPr>
          <w:p>
            <w:pPr>
              <w:jc w:val="center"/>
              <w:ind w:left="288"/>
              <w:spacing w:after="0"/>
              <w:rPr>
                <w:sz w:val="20"/>
                <w:szCs w:val="20"/>
                <w:color w:val="auto"/>
              </w:rPr>
            </w:pPr>
            <w:r>
              <w:rPr>
                <w:rFonts w:ascii="Arial" w:cs="Arial" w:eastAsia="Arial" w:hAnsi="Arial"/>
                <w:sz w:val="14"/>
                <w:szCs w:val="14"/>
                <w:color w:val="auto"/>
                <w:w w:val="91"/>
              </w:rPr>
              <w:t>Custodian</w:t>
            </w:r>
          </w:p>
        </w:tc>
      </w:tr>
      <w:tr>
        <w:trPr>
          <w:trHeight w:val="358"/>
        </w:trPr>
        <w:tc>
          <w:tcPr>
            <w:tcW w:w="166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80" w:type="dxa"/>
            <w:vAlign w:val="bottom"/>
          </w:tcPr>
          <w:p>
            <w:pPr>
              <w:jc w:val="center"/>
              <w:ind w:right="1804"/>
              <w:spacing w:after="0"/>
              <w:rPr>
                <w:sz w:val="20"/>
                <w:szCs w:val="20"/>
                <w:color w:val="auto"/>
              </w:rPr>
            </w:pPr>
            <w:r>
              <w:rPr>
                <w:rFonts w:ascii="Arial" w:cs="Arial" w:eastAsia="Arial" w:hAnsi="Arial"/>
                <w:sz w:val="18"/>
                <w:szCs w:val="18"/>
                <w:color w:val="auto"/>
                <w:w w:val="94"/>
              </w:rPr>
              <w:t>A-12</w:t>
            </w: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 w:name="page38"/>
    <w:bookmarkEnd w:id="37"/>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One International Place, 40th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28700"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100 Oliver Street</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Boston, MA 02110-2605</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+1 617 728 7100 Main</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+1 617 426 6567 Fax</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5715</wp:posOffset>
            </wp:positionV>
            <wp:extent cx="1954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April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We have acted as counsel to PennantPark Investment Corporation,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of a registration statement on Form N-2 (Registration No. 333-230014) as originally filed on March 1, 2019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under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and as subsequently amended on April 12, 2019, September 26, 2019, December 13, 2019 and January 30, 2020 (the registration statement at the time when it became effective on January 30, 2020, including the prospectus and the information deemed to be part thereof at the time of effectiveness, the exhibits thereto and the documents incorporated by reference therein, being hereinafter referred to collectively as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final prospectus supplement, dated April 14, 2021 (including the base prospectus filed therewith,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filed with the Commission on April 14, 2021 pursuant to Rule 424 under the Securities Act, relating to the proposed issuance by the Company of $150,000,000 aggregate principal amount of 4.50% unsecured notes due 2026 (the “</w:t>
      </w:r>
      <w:r>
        <w:rPr>
          <w:rFonts w:ascii="Arial" w:cs="Arial" w:eastAsia="Arial" w:hAnsi="Arial"/>
          <w:sz w:val="17"/>
          <w:szCs w:val="17"/>
          <w:u w:val="single" w:color="auto"/>
          <w:color w:val="auto"/>
        </w:rPr>
        <w:t>Notes</w:t>
      </w:r>
      <w:r>
        <w:rPr>
          <w:rFonts w:ascii="Arial" w:cs="Arial" w:eastAsia="Arial" w:hAnsi="Arial"/>
          <w:sz w:val="17"/>
          <w:szCs w:val="17"/>
          <w:color w:val="auto"/>
        </w:rPr>
        <w:t>”), to be sold to underwriters pursuant to an underwriting agreement substantially in the form filed as Exhibit 1.1 to the Company’s Current Report on Form 8-K filed with the Commission on April 20, 2021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This opinion letter is being furnished to the Company in accordance with the requirements of Item 25 of Form N-2 under the Investment Company Act, and we express no opinion herein as to any matter other than as to the legality of the Indenture (as defined below) and the Notes.</w:t>
      </w:r>
    </w:p>
    <w:p>
      <w:pPr>
        <w:spacing w:after="0" w:line="186"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The Notes are to be issued pursuant to the indenture dated as of January 22, 2013 (the “</w:t>
      </w:r>
      <w:r>
        <w:rPr>
          <w:rFonts w:ascii="Arial" w:cs="Arial" w:eastAsia="Arial" w:hAnsi="Arial"/>
          <w:sz w:val="16"/>
          <w:szCs w:val="16"/>
          <w:u w:val="single" w:color="auto"/>
          <w:color w:val="auto"/>
        </w:rPr>
        <w:t>Base Indenture</w:t>
      </w:r>
      <w:r>
        <w:rPr>
          <w:rFonts w:ascii="Arial" w:cs="Arial" w:eastAsia="Arial" w:hAnsi="Arial"/>
          <w:sz w:val="16"/>
          <w:szCs w:val="16"/>
          <w:color w:val="auto"/>
        </w:rPr>
        <w:t>”), between the Company and American Stock Transfer &amp; Trust Company, LLC,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by the fourth supplemental indenture, dated as of April 21, 2021 (the “</w:t>
      </w:r>
      <w:r>
        <w:rPr>
          <w:rFonts w:ascii="Arial" w:cs="Arial" w:eastAsia="Arial" w:hAnsi="Arial"/>
          <w:sz w:val="16"/>
          <w:szCs w:val="16"/>
          <w:u w:val="single" w:color="auto"/>
          <w:color w:val="auto"/>
        </w:rPr>
        <w:t>Fourth 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Company and the Trustee.</w:t>
      </w:r>
    </w:p>
    <w:p>
      <w:pPr>
        <w:sectPr>
          <w:pgSz w:w="11900" w:h="16838" w:orient="portrait"/>
          <w:cols w:equalWidth="0" w:num="1">
            <w:col w:w="11020"/>
          </w:cols>
          <w:pgMar w:left="440" w:top="121"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21,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the opinions set forth below, including the following documents:</w:t>
      </w:r>
    </w:p>
    <w:p>
      <w:pPr>
        <w:spacing w:after="0" w:line="92"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specimen copy of the form of the Notes to be issued pursuant to the Indenture;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Articles of Amendment and Restatement of the Company;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Second Amended and Restated Bylaws of the Company;</w:t>
      </w:r>
    </w:p>
    <w:p>
      <w:pPr>
        <w:spacing w:after="0" w:line="130"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State Department of Assessments and Taxation of Maryland as of a recent date; and</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resolutions approved by the pricing committee of the Board relating to, among other things, the authorization and issuance of the Notes.</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to the facts upon which this opinion is based, we have relied, to the extent we deem proper, upon certificates of public officials and certificates and written statements of agents, officers, directors, employees and representatives of the Company without having independently verified such factual matters.</w:t>
      </w:r>
    </w:p>
    <w:p>
      <w:pPr>
        <w:spacing w:after="0" w:line="18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natural persons who are signatories to the documents examined by us and (ii) the legal power and authority of all persons signing on behalf of the parties to such documents (other than the Company).</w:t>
      </w:r>
    </w:p>
    <w:p>
      <w:pPr>
        <w:sectPr>
          <w:pgSz w:w="11900" w:h="16838" w:orient="portrait"/>
          <w:cols w:equalWidth="0" w:num="1">
            <w:col w:w="11020"/>
          </w:cols>
          <w:pgMar w:left="440" w:top="274"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21,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and qualifications set forth in this letter, we are of the opinion that:</w:t>
      </w:r>
    </w:p>
    <w:p>
      <w:pPr>
        <w:spacing w:after="0" w:line="131" w:lineRule="exact"/>
        <w:rPr>
          <w:sz w:val="20"/>
          <w:szCs w:val="20"/>
          <w:color w:val="auto"/>
        </w:rPr>
      </w:pPr>
    </w:p>
    <w:p>
      <w:pPr>
        <w:ind w:left="960" w:right="22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Base Indenture constitutes the valid and legally binding obligation of the Company, enforceable against the Company in accordance with its terms.</w:t>
      </w:r>
    </w:p>
    <w:p>
      <w:pPr>
        <w:spacing w:after="0" w:line="75" w:lineRule="exact"/>
        <w:rPr>
          <w:rFonts w:ascii="Arial" w:cs="Arial" w:eastAsia="Arial" w:hAnsi="Arial"/>
          <w:sz w:val="18"/>
          <w:szCs w:val="18"/>
          <w:color w:val="auto"/>
        </w:rPr>
      </w:pPr>
    </w:p>
    <w:p>
      <w:pPr>
        <w:ind w:left="960" w:right="160" w:hanging="532"/>
        <w:spacing w:after="0" w:line="342"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When the Fourth Supplemental Indenture is duly authorized, executed and delivered by the Company, the Fourth Supplemental Indenture will constitute the valid and legally binding obligation of the Company, enforceable against the Company in accordance with its terms.</w:t>
      </w:r>
    </w:p>
    <w:p>
      <w:pPr>
        <w:spacing w:after="0" w:line="29" w:lineRule="exact"/>
        <w:rPr>
          <w:rFonts w:ascii="Arial" w:cs="Arial" w:eastAsia="Arial" w:hAnsi="Arial"/>
          <w:sz w:val="16"/>
          <w:szCs w:val="16"/>
          <w:color w:val="auto"/>
        </w:rPr>
      </w:pPr>
    </w:p>
    <w:p>
      <w:pPr>
        <w:ind w:left="960" w:right="60" w:hanging="532"/>
        <w:spacing w:after="0" w:line="286"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When duly executed by the Company and authenticated by the Trustee in accordance with the terms of the Indenture and delivered to the underwriters against payment therefor in accordance with the terms of the Underwriting Agreement, the Notes will constitute the legal and binding obligations of the Company, enforceable against the Company in accordance with their terms.</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Notes:</w:t>
      </w:r>
    </w:p>
    <w:p>
      <w:pPr>
        <w:spacing w:after="0" w:line="76" w:lineRule="exact"/>
        <w:rPr>
          <w:sz w:val="20"/>
          <w:szCs w:val="20"/>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Indenture and the Notes have been duly authorized, executed and delivered by each party thereto (other than the Company);</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final terms of the Notes have been duly established and approved by all necessary corporate action on the part of the Company;</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Notes as established comply with the requirements of the Investment Company Act; and</w:t>
      </w:r>
    </w:p>
    <w:p>
      <w:pPr>
        <w:spacing w:after="0" w:line="130"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 have been duly executed by the Company and authenticated by the Trustee in accordance with the Indenture and delivered to and paid for by the purchasers thereof.</w:t>
      </w:r>
    </w:p>
    <w:p>
      <w:pPr>
        <w:spacing w:after="0" w:line="17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w:t>
      </w:r>
    </w:p>
    <w:p>
      <w:pPr>
        <w:sectPr>
          <w:pgSz w:w="11900" w:h="16838" w:orient="portrait"/>
          <w:cols w:equalWidth="0" w:num="1">
            <w:col w:w="11020"/>
          </w:cols>
          <w:pgMar w:left="440" w:top="274"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21,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8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expressed herein are limited to the federal laws of the United States of America and the laws of the State of New York.</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date of this opinion.</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We hereby consent to the filing of this opinion as an exhibit to the Company’s Current Report on Form 8-K filed with the Commission on April 21, 2021 and to the reference to this firm under the caption “Legal Matters” in the Registration Statement and the Prospectus Supplement. In giving such consent, we do not thereby admit that we are in the category of persons whose consent is required under Section 7 of the Securities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020"/>
          </w:cols>
          <w:pgMar w:left="440" w:top="274"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248920</wp:posOffset>
            </wp:positionV>
            <wp:extent cx="5332095" cy="548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320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21,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ind w:left="1420"/>
              <w:spacing w:after="0"/>
              <w:rPr>
                <w:sz w:val="20"/>
                <w:szCs w:val="20"/>
                <w:color w:val="auto"/>
              </w:rPr>
            </w:pPr>
            <w:r>
              <w:rPr>
                <w:rFonts w:ascii="Arial" w:cs="Arial" w:eastAsia="Arial" w:hAnsi="Arial"/>
                <w:sz w:val="18"/>
                <w:szCs w:val="18"/>
                <w:color w:val="auto"/>
              </w:rPr>
              <w:t>Re:</w:t>
            </w:r>
          </w:p>
        </w:tc>
        <w:tc>
          <w:tcPr>
            <w:tcW w:w="2680" w:type="dxa"/>
            <w:vAlign w:val="bottom"/>
            <w:gridSpan w:val="2"/>
          </w:tcPr>
          <w:p>
            <w:pPr>
              <w:spacing w:after="0"/>
              <w:rPr>
                <w:sz w:val="20"/>
                <w:szCs w:val="20"/>
                <w:color w:val="auto"/>
              </w:rPr>
            </w:pPr>
            <w:r>
              <w:rPr>
                <w:rFonts w:ascii="Arial" w:cs="Arial" w:eastAsia="Arial" w:hAnsi="Arial"/>
                <w:sz w:val="18"/>
                <w:szCs w:val="18"/>
                <w:color w:val="auto"/>
                <w:w w:val="90"/>
              </w:rPr>
              <w:t>Registration Statement on Form N-2:</w:t>
            </w:r>
          </w:p>
        </w:tc>
      </w:tr>
      <w:tr>
        <w:trPr>
          <w:trHeight w:val="190"/>
        </w:trPr>
        <w:tc>
          <w:tcPr>
            <w:tcW w:w="1960" w:type="dxa"/>
            <w:vAlign w:val="bottom"/>
          </w:tcPr>
          <w:p>
            <w:pPr>
              <w:spacing w:after="0"/>
              <w:rPr>
                <w:sz w:val="16"/>
                <w:szCs w:val="16"/>
                <w:color w:val="auto"/>
              </w:rPr>
            </w:pPr>
          </w:p>
        </w:tc>
        <w:tc>
          <w:tcPr>
            <w:tcW w:w="2680" w:type="dxa"/>
            <w:vAlign w:val="bottom"/>
            <w:gridSpan w:val="2"/>
          </w:tcPr>
          <w:p>
            <w:pPr>
              <w:spacing w:after="0" w:line="190" w:lineRule="exact"/>
              <w:rPr>
                <w:sz w:val="20"/>
                <w:szCs w:val="20"/>
                <w:color w:val="auto"/>
              </w:rPr>
            </w:pPr>
            <w:r>
              <w:rPr>
                <w:rFonts w:ascii="Arial" w:cs="Arial" w:eastAsia="Arial" w:hAnsi="Arial"/>
                <w:sz w:val="18"/>
                <w:szCs w:val="18"/>
                <w:color w:val="auto"/>
              </w:rPr>
              <w:t>File No.: 333-230014</w:t>
            </w: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Ladies and Gentlemen:</w:t>
            </w:r>
          </w:p>
        </w:tc>
        <w:tc>
          <w:tcPr>
            <w:tcW w:w="2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2" w:lineRule="exact"/>
        <w:rPr>
          <w:sz w:val="20"/>
          <w:szCs w:val="20"/>
          <w:color w:val="auto"/>
        </w:rPr>
      </w:pPr>
    </w:p>
    <w:p>
      <w:pPr>
        <w:ind w:right="80" w:firstLine="1432"/>
        <w:spacing w:after="0" w:line="296" w:lineRule="auto"/>
        <w:rPr>
          <w:sz w:val="20"/>
          <w:szCs w:val="20"/>
          <w:color w:val="auto"/>
        </w:rPr>
      </w:pPr>
      <w:r>
        <w:rPr>
          <w:rFonts w:ascii="Arial" w:cs="Arial" w:eastAsia="Arial" w:hAnsi="Arial"/>
          <w:sz w:val="16"/>
          <w:szCs w:val="16"/>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by the Company of $150,000,000 aggregate principal amount of the Company’s 4.50% Notes due 2026 (the “Notes”),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61" w:lineRule="exact"/>
        <w:rPr>
          <w:sz w:val="20"/>
          <w:szCs w:val="20"/>
          <w:color w:val="auto"/>
        </w:rPr>
      </w:pPr>
    </w:p>
    <w:p>
      <w:pPr>
        <w:ind w:right="620" w:firstLine="1432"/>
        <w:spacing w:after="0" w:line="263" w:lineRule="auto"/>
        <w:rPr>
          <w:sz w:val="20"/>
          <w:szCs w:val="20"/>
          <w:color w:val="auto"/>
        </w:rPr>
      </w:pPr>
      <w:r>
        <w:rPr>
          <w:rFonts w:ascii="Arial" w:cs="Arial" w:eastAsia="Arial" w:hAnsi="Arial"/>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84" w:lineRule="exact"/>
        <w:rPr>
          <w:sz w:val="20"/>
          <w:szCs w:val="20"/>
          <w:color w:val="auto"/>
        </w:rPr>
      </w:pPr>
    </w:p>
    <w:p>
      <w:pPr>
        <w:ind w:right="620" w:firstLine="1428"/>
        <w:spacing w:after="0" w:line="277" w:lineRule="auto"/>
        <w:tabs>
          <w:tab w:leader="none" w:pos="17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substantially in the form in which it was transmitted to the Commission under the 1933 Act;</w:t>
      </w:r>
    </w:p>
    <w:p>
      <w:pPr>
        <w:spacing w:after="0" w:line="170" w:lineRule="exact"/>
        <w:rPr>
          <w:rFonts w:ascii="Arial" w:cs="Arial" w:eastAsia="Arial" w:hAnsi="Arial"/>
          <w:sz w:val="18"/>
          <w:szCs w:val="18"/>
          <w:color w:val="auto"/>
        </w:rPr>
      </w:pPr>
    </w:p>
    <w:p>
      <w:pPr>
        <w:ind w:right="380" w:firstLine="1428"/>
        <w:spacing w:after="0" w:line="277" w:lineRule="auto"/>
        <w:tabs>
          <w:tab w:leader="none" w:pos="17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Prospectus Supplement, dated April 14, 2021, in the form filed by the Company with the Commission pursuant to Rule 424(b) under the 1933 Act;</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charter of the Company, certified by the State Department of Assessments and Taxation of Maryland (the “SDAT”);</w:t>
      </w:r>
    </w:p>
    <w:p>
      <w:pPr>
        <w:spacing w:after="0" w:line="236" w:lineRule="exact"/>
        <w:rPr>
          <w:rFonts w:ascii="Arial" w:cs="Arial" w:eastAsia="Arial" w:hAnsi="Arial"/>
          <w:sz w:val="17"/>
          <w:szCs w:val="17"/>
          <w:color w:val="auto"/>
        </w:rPr>
      </w:pPr>
    </w:p>
    <w:p>
      <w:pPr>
        <w:ind w:left="1740" w:hanging="312"/>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020"/>
          </w:cols>
          <w:pgMar w:left="440" w:top="121"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9" w:lineRule="exact"/>
        <w:rPr>
          <w:sz w:val="20"/>
          <w:szCs w:val="20"/>
          <w:color w:val="auto"/>
        </w:rPr>
      </w:pPr>
    </w:p>
    <w:p>
      <w:pPr>
        <w:ind w:right="20" w:firstLine="1428"/>
        <w:spacing w:after="0" w:line="263" w:lineRule="auto"/>
        <w:tabs>
          <w:tab w:leader="none" w:pos="17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and a duly authorized committee thereof, relating to the authorization of the filing of the Registration Statement and the sale and issuance of the Notes, certified as of the date hereof by an officer of the Company;</w:t>
      </w:r>
    </w:p>
    <w:p>
      <w:pPr>
        <w:spacing w:after="0" w:line="183" w:lineRule="exact"/>
        <w:rPr>
          <w:rFonts w:ascii="Arial" w:cs="Arial" w:eastAsia="Arial" w:hAnsi="Arial"/>
          <w:sz w:val="18"/>
          <w:szCs w:val="18"/>
          <w:color w:val="auto"/>
        </w:rPr>
      </w:pPr>
    </w:p>
    <w:p>
      <w:pPr>
        <w:ind w:left="1740" w:hanging="312"/>
        <w:spacing w:after="0"/>
        <w:tabs>
          <w:tab w:leader="none" w:pos="1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225" w:lineRule="exact"/>
        <w:rPr>
          <w:rFonts w:ascii="Arial" w:cs="Arial" w:eastAsia="Arial" w:hAnsi="Arial"/>
          <w:sz w:val="18"/>
          <w:szCs w:val="18"/>
          <w:color w:val="auto"/>
        </w:rPr>
      </w:pPr>
    </w:p>
    <w:p>
      <w:pPr>
        <w:ind w:firstLine="1428"/>
        <w:spacing w:after="0" w:line="277" w:lineRule="auto"/>
        <w:tabs>
          <w:tab w:leader="none" w:pos="17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5" w:lineRule="exact"/>
        <w:rPr>
          <w:sz w:val="20"/>
          <w:szCs w:val="20"/>
          <w:color w:val="auto"/>
        </w:rPr>
      </w:pPr>
    </w:p>
    <w:p>
      <w:pPr>
        <w:ind w:left="1740" w:hanging="312"/>
        <w:spacing w:after="0"/>
        <w:tabs>
          <w:tab w:leader="none" w:pos="1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do so.</w:t>
      </w:r>
    </w:p>
    <w:p>
      <w:pPr>
        <w:spacing w:after="0" w:line="211" w:lineRule="exact"/>
        <w:rPr>
          <w:sz w:val="20"/>
          <w:szCs w:val="20"/>
          <w:color w:val="auto"/>
        </w:rPr>
      </w:pPr>
    </w:p>
    <w:p>
      <w:pPr>
        <w:ind w:left="1740" w:hanging="312"/>
        <w:spacing w:after="0"/>
        <w:tabs>
          <w:tab w:leader="none" w:pos="1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individual executing any of the Documents on behalf of a party (other than the Company) is duly authorized to do so.</w:t>
      </w:r>
    </w:p>
    <w:p>
      <w:pPr>
        <w:spacing w:after="0" w:line="236" w:lineRule="exact"/>
        <w:rPr>
          <w:rFonts w:ascii="Arial" w:cs="Arial" w:eastAsia="Arial" w:hAnsi="Arial"/>
          <w:sz w:val="17"/>
          <w:szCs w:val="17"/>
          <w:color w:val="auto"/>
        </w:rPr>
      </w:pPr>
    </w:p>
    <w:p>
      <w:pPr>
        <w:ind w:right="40" w:firstLine="1428"/>
        <w:spacing w:after="0" w:line="263" w:lineRule="auto"/>
        <w:tabs>
          <w:tab w:leader="none" w:pos="17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3" w:lineRule="exact"/>
        <w:rPr>
          <w:rFonts w:ascii="Arial" w:cs="Arial" w:eastAsia="Arial" w:hAnsi="Arial"/>
          <w:sz w:val="18"/>
          <w:szCs w:val="18"/>
          <w:color w:val="auto"/>
        </w:rPr>
      </w:pPr>
    </w:p>
    <w:p>
      <w:pPr>
        <w:ind w:right="40" w:firstLine="1428"/>
        <w:spacing w:after="0" w:line="273" w:lineRule="auto"/>
        <w:tabs>
          <w:tab w:leader="none" w:pos="173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Based upon the foregoing, and subject to the assumptions, limitations and qualifications stated herein, it is our opinion that:</w:t>
      </w:r>
    </w:p>
    <w:p>
      <w:pPr>
        <w:spacing w:after="0" w:line="237" w:lineRule="exact"/>
        <w:rPr>
          <w:sz w:val="20"/>
          <w:szCs w:val="20"/>
          <w:color w:val="auto"/>
        </w:rPr>
      </w:pPr>
    </w:p>
    <w:p>
      <w:pPr>
        <w:ind w:right="80" w:firstLine="1428"/>
        <w:spacing w:after="0" w:line="277" w:lineRule="auto"/>
        <w:tabs>
          <w:tab w:leader="none" w:pos="17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0980"/>
          </w:cols>
          <w:pgMar w:left="440" w:top="1138"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59" w:lineRule="exact"/>
        <w:rPr>
          <w:sz w:val="20"/>
          <w:szCs w:val="20"/>
          <w:color w:val="auto"/>
        </w:rPr>
      </w:pPr>
    </w:p>
    <w:p>
      <w:pPr>
        <w:ind w:right="780" w:firstLine="1428"/>
        <w:spacing w:after="0" w:line="277" w:lineRule="auto"/>
        <w:tabs>
          <w:tab w:leader="none" w:pos="17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the Notes has been duly authorized and, when and if issued and delivered against payment therefor in accordance with the Resolutions, the Notes will be validly issued.</w:t>
      </w:r>
    </w:p>
    <w:p>
      <w:pPr>
        <w:spacing w:after="0" w:line="170"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7" w:lineRule="exact"/>
        <w:rPr>
          <w:sz w:val="20"/>
          <w:szCs w:val="20"/>
          <w:color w:val="auto"/>
        </w:rPr>
      </w:pPr>
    </w:p>
    <w:p>
      <w:pPr>
        <w:jc w:val="both"/>
        <w:ind w:right="80" w:firstLine="1432"/>
        <w:spacing w:after="0" w:line="263"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4" w:lineRule="exact"/>
        <w:rPr>
          <w:sz w:val="20"/>
          <w:szCs w:val="20"/>
          <w:color w:val="auto"/>
        </w:rPr>
      </w:pPr>
    </w:p>
    <w:p>
      <w:pPr>
        <w:ind w:right="60" w:firstLine="1432"/>
        <w:spacing w:after="0" w:line="301" w:lineRule="auto"/>
        <w:rPr>
          <w:sz w:val="20"/>
          <w:szCs w:val="20"/>
          <w:color w:val="auto"/>
        </w:rPr>
      </w:pPr>
      <w:r>
        <w:rPr>
          <w:rFonts w:ascii="Arial" w:cs="Arial" w:eastAsia="Arial" w:hAnsi="Arial"/>
          <w:sz w:val="16"/>
          <w:szCs w:val="16"/>
          <w:color w:val="auto"/>
        </w:rPr>
        <w:t>This opinion is being furnished to you for submission to the Commission as an exhibit to the Company’s Current Report on Form 8-K relating to the issuance of the Notes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26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Venable LLP</w:t>
      </w:r>
    </w:p>
    <w:sectPr>
      <w:pgSz w:w="11900" w:h="16838" w:orient="portrait"/>
      <w:cols w:equalWidth="0" w:num="1">
        <w:col w:w="11000"/>
      </w:cols>
      <w:pgMar w:left="440" w:top="11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1"/>
    </w:lvl>
  </w:abstractNum>
  <w:abstractNum w:abstractNumId="2">
    <w:nsid w:val="7FDCC233"/>
    <w:multiLevelType w:val="hybridMultilevel"/>
    <w:lvl w:ilvl="0">
      <w:lvlJc w:val="left"/>
      <w:lvlText w:val="(%1)"/>
      <w:numFmt w:val="lowerLetter"/>
      <w:start w:val="5"/>
    </w:lvl>
    <w:lvl w:ilvl="1">
      <w:lvlJc w:val="left"/>
      <w:lvlText w:val="%2."/>
      <w:numFmt w:val="upperLetter"/>
      <w:start w:val="1"/>
    </w:lvl>
  </w:abstractNum>
  <w:abstractNum w:abstractNumId="3">
    <w:nsid w:val="1BEFD79F"/>
    <w:multiLevelType w:val="hybridMultilevel"/>
    <w:lvl w:ilvl="0">
      <w:lvlJc w:val="left"/>
      <w:lvlText w:val="(%1)"/>
      <w:numFmt w:val="lowerRoman"/>
      <w:start w:val="2"/>
    </w:lvl>
  </w:abstractNum>
  <w:abstractNum w:abstractNumId="4">
    <w:nsid w:val="41A7C4C9"/>
    <w:multiLevelType w:val="hybridMultilevel"/>
    <w:lvl w:ilvl="0">
      <w:lvlJc w:val="left"/>
      <w:lvlText w:val="%1"/>
      <w:numFmt w:val="lowerLetter"/>
      <w:start w:val="1"/>
    </w:lvl>
    <w:lvl w:ilvl="1">
      <w:lvlJc w:val="left"/>
      <w:lvlText w:val="(%2)"/>
      <w:numFmt w:val="lowerRoman"/>
      <w:start w:val="3"/>
    </w:lvl>
  </w:abstractNum>
  <w:abstractNum w:abstractNumId="5">
    <w:nsid w:val="6B68079A"/>
    <w:multiLevelType w:val="hybridMultilevel"/>
    <w:lvl w:ilvl="0">
      <w:lvlJc w:val="left"/>
      <w:lvlText w:val="(%1)"/>
      <w:numFmt w:val="lowerLetter"/>
      <w:start w:val="9"/>
    </w:lvl>
    <w:lvl w:ilvl="1">
      <w:lvlJc w:val="left"/>
      <w:lvlText w:val="%2"/>
      <w:numFmt w:val="lowerRoman"/>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upperLetter"/>
      <w:start w:val="1"/>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Roman"/>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6"/>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2"/>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2021-04-22T05:14:50Z</dcterms:created>
  <dcterms:modified xsi:type="dcterms:W3CDTF">2021-04-22T05:14:50Z</dcterms:modified>
</cp:coreProperties>
</file>