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3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 Supplement</w:t>
      </w:r>
    </w:p>
    <w:p>
      <w:pPr>
        <w:spacing w:after="0" w:line="223" w:lineRule="auto"/>
        <w:rPr>
          <w:sz w:val="20"/>
          <w:szCs w:val="20"/>
          <w:color w:val="auto"/>
        </w:rPr>
      </w:pPr>
      <w:r>
        <w:rPr>
          <w:rFonts w:ascii="Arial" w:cs="Arial" w:eastAsia="Arial" w:hAnsi="Arial"/>
          <w:sz w:val="14"/>
          <w:szCs w:val="14"/>
          <w:b w:val="1"/>
          <w:bCs w:val="1"/>
          <w:color w:val="auto"/>
        </w:rPr>
        <w:t>To the Prospectus dated</w:t>
      </w:r>
    </w:p>
    <w:p>
      <w:pPr>
        <w:spacing w:after="0"/>
        <w:rPr>
          <w:sz w:val="20"/>
          <w:szCs w:val="20"/>
          <w:color w:val="auto"/>
        </w:rPr>
      </w:pPr>
      <w:r>
        <w:rPr>
          <w:rFonts w:ascii="Arial" w:cs="Arial" w:eastAsia="Arial" w:hAnsi="Arial"/>
          <w:sz w:val="14"/>
          <w:szCs w:val="14"/>
          <w:b w:val="1"/>
          <w:bCs w:val="1"/>
          <w:color w:val="auto"/>
        </w:rPr>
        <w:t>September 22, 2009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4,300,000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75565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89" w:lineRule="exact"/>
        <w:rPr>
          <w:sz w:val="24"/>
          <w:szCs w:val="24"/>
          <w:color w:val="auto"/>
        </w:rPr>
      </w:pPr>
    </w:p>
    <w:p>
      <w:pPr>
        <w:ind w:left="4920"/>
        <w:spacing w:after="0"/>
        <w:rPr>
          <w:sz w:val="20"/>
          <w:szCs w:val="20"/>
          <w:color w:val="auto"/>
        </w:rPr>
      </w:pPr>
      <w:r>
        <w:rPr>
          <w:rFonts w:ascii="Arial" w:cs="Arial" w:eastAsia="Arial" w:hAnsi="Arial"/>
          <w:sz w:val="24"/>
          <w:szCs w:val="24"/>
          <w:b w:val="1"/>
          <w:bCs w:val="1"/>
          <w:color w:val="auto"/>
        </w:rPr>
        <w:t>$8.00 per share</w:t>
      </w:r>
    </w:p>
    <w:p>
      <w:pPr>
        <w:spacing w:after="0" w:line="79" w:lineRule="exact"/>
        <w:rPr>
          <w:sz w:val="24"/>
          <w:szCs w:val="24"/>
          <w:color w:val="auto"/>
        </w:rPr>
      </w:pPr>
    </w:p>
    <w:p>
      <w:pPr>
        <w:ind w:right="60" w:firstLine="342"/>
        <w:spacing w:after="0" w:line="230" w:lineRule="auto"/>
        <w:rPr>
          <w:sz w:val="20"/>
          <w:szCs w:val="20"/>
          <w:color w:val="auto"/>
        </w:rPr>
      </w:pPr>
      <w:r>
        <w:rPr>
          <w:rFonts w:ascii="Arial" w:cs="Arial" w:eastAsia="Arial" w:hAnsi="Arial"/>
          <w:sz w:val="14"/>
          <w:szCs w:val="14"/>
          <w:color w:val="auto"/>
        </w:rPr>
        <w:t>We are offering for sale 4,300,000 shares of our common stock. We are offering shares of our common stock at a discount from our most recently determined net asset value per share pursuant to authority granted by our stockholders on August 25, 2009. Sales of common stock at prices below net asset value per share dilute the interests of existing stockholders, have the effect of reducing our net asset value per share and may reduce our market price per share. See “Risk Factors” on page 9 of the accompanying prospectus and page S-9 in this prospectus supplement and “Sales of Common Stock Below Net Asset Value” on page S-18 of this prospectus supplement.</w:t>
      </w:r>
    </w:p>
    <w:p>
      <w:pPr>
        <w:spacing w:after="0" w:line="31" w:lineRule="exact"/>
        <w:rPr>
          <w:sz w:val="24"/>
          <w:szCs w:val="24"/>
          <w:color w:val="auto"/>
        </w:rPr>
      </w:pPr>
    </w:p>
    <w:p>
      <w:pPr>
        <w:ind w:right="100" w:firstLine="342"/>
        <w:spacing w:after="0" w:line="305" w:lineRule="auto"/>
        <w:rPr>
          <w:sz w:val="20"/>
          <w:szCs w:val="20"/>
          <w:color w:val="auto"/>
        </w:rPr>
      </w:pPr>
      <w:r>
        <w:rPr>
          <w:rFonts w:ascii="Arial" w:cs="Arial" w:eastAsia="Arial" w:hAnsi="Arial"/>
          <w:sz w:val="12"/>
          <w:szCs w:val="12"/>
          <w:color w:val="auto"/>
        </w:rPr>
        <w:t>Our common stock is traded on the NASDAQ Global Select Market under the symbol “PNNT”. The last reported closing price for our common stock on September 23, 2009 was $8.41 per share. The net asset value of our common stock on June 30, 2009 (the last date prior to the date of this prospectus supplement on which we determined net asset value) was $11.72 per share.</w:t>
      </w:r>
    </w:p>
    <w:p>
      <w:pPr>
        <w:ind w:right="100" w:firstLine="342"/>
        <w:spacing w:after="0" w:line="230"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(the “1940 Act”). Our investment objectives are to generate both current income and capital appreciation through debt and equity investments primarily in U.S. middle-market private companies in the form of mezzanine debt, senior secured loans and equity investments. We are externally managed by PennantPark Investment Advisers, LLC. PennantPark Investment Administration, LLC provides the administrative services necessary for us to operate.</w:t>
      </w:r>
    </w:p>
    <w:p>
      <w:pPr>
        <w:spacing w:after="0" w:line="31" w:lineRule="exact"/>
        <w:rPr>
          <w:sz w:val="24"/>
          <w:szCs w:val="24"/>
          <w:color w:val="auto"/>
        </w:rPr>
      </w:pPr>
    </w:p>
    <w:p>
      <w:pPr>
        <w:ind w:right="180" w:firstLine="342"/>
        <w:spacing w:after="0" w:line="273" w:lineRule="auto"/>
        <w:rPr>
          <w:sz w:val="20"/>
          <w:szCs w:val="20"/>
          <w:color w:val="auto"/>
        </w:rPr>
      </w:pPr>
      <w:r>
        <w:rPr>
          <w:rFonts w:ascii="Arial" w:cs="Arial" w:eastAsia="Arial" w:hAnsi="Arial"/>
          <w:sz w:val="12"/>
          <w:szCs w:val="12"/>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at 590 Madison Avenue, New York, NY 10022 or by telephone at (212) 905-1000 or on our website at </w:t>
      </w:r>
      <w:r>
        <w:rPr>
          <w:rFonts w:ascii="Arial" w:cs="Arial" w:eastAsia="Arial" w:hAnsi="Arial"/>
          <w:sz w:val="12"/>
          <w:szCs w:val="12"/>
          <w:i w:val="1"/>
          <w:iCs w:val="1"/>
          <w:color w:val="auto"/>
        </w:rPr>
        <w:t>www.pennantpark.com.</w:t>
      </w:r>
      <w:r>
        <w:rPr>
          <w:rFonts w:ascii="Arial" w:cs="Arial" w:eastAsia="Arial" w:hAnsi="Arial"/>
          <w:sz w:val="12"/>
          <w:szCs w:val="12"/>
          <w:color w:val="auto"/>
        </w:rPr>
        <w:t xml:space="preserve"> The SEC also maintains a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8" w:lineRule="exact"/>
        <w:rPr>
          <w:sz w:val="24"/>
          <w:szCs w:val="24"/>
          <w:color w:val="auto"/>
        </w:rPr>
      </w:pPr>
    </w:p>
    <w:p>
      <w:pPr>
        <w:ind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9 of the accompanying prospectus and page S-9 in this prospectus supplement.</w:t>
      </w:r>
    </w:p>
    <w:p>
      <w:pPr>
        <w:spacing w:after="0" w:line="26" w:lineRule="exact"/>
        <w:rPr>
          <w:sz w:val="24"/>
          <w:szCs w:val="24"/>
          <w:color w:val="auto"/>
        </w:rPr>
      </w:pPr>
    </w:p>
    <w:p>
      <w:pPr>
        <w:ind w:right="340" w:firstLine="342"/>
        <w:spacing w:after="0" w:line="317"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24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730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8.00</w:t>
            </w:r>
          </w:p>
        </w:tc>
        <w:tc>
          <w:tcPr>
            <w:tcW w:w="440" w:type="dxa"/>
            <w:vAlign w:val="bottom"/>
          </w:tcPr>
          <w:p>
            <w:pPr>
              <w:spacing w:after="0"/>
              <w:rPr>
                <w:sz w:val="11"/>
                <w:szCs w:val="11"/>
                <w:color w:val="auto"/>
              </w:rPr>
            </w:pPr>
          </w:p>
        </w:tc>
        <w:tc>
          <w:tcPr>
            <w:tcW w:w="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2"/>
              </w:rPr>
              <w:t>34,400,000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Arial" w:cs="Arial" w:eastAsia="Arial" w:hAnsi="Arial"/>
                <w:sz w:val="14"/>
                <w:szCs w:val="14"/>
                <w:color w:val="auto"/>
              </w:rPr>
              <w:t>Underwriting discount and commission (sales load)</w:t>
            </w:r>
          </w:p>
        </w:tc>
        <w:tc>
          <w:tcPr>
            <w:tcW w:w="2620" w:type="dxa"/>
            <w:vAlign w:val="bottom"/>
            <w:gridSpan w:val="2"/>
          </w:tcPr>
          <w:p>
            <w:pPr>
              <w:ind w:left="24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0.40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1,720,000</w:t>
            </w:r>
          </w:p>
        </w:tc>
        <w:tc>
          <w:tcPr>
            <w:tcW w:w="0" w:type="dxa"/>
            <w:vAlign w:val="bottom"/>
          </w:tcPr>
          <w:p>
            <w:pPr>
              <w:spacing w:after="0"/>
              <w:rPr>
                <w:sz w:val="1"/>
                <w:szCs w:val="1"/>
                <w:color w:val="auto"/>
              </w:rPr>
            </w:pPr>
          </w:p>
        </w:tc>
      </w:tr>
      <w:tr>
        <w:trPr>
          <w:trHeight w:val="172"/>
        </w:trPr>
        <w:tc>
          <w:tcPr>
            <w:tcW w:w="7300" w:type="dxa"/>
            <w:vAlign w:val="bottom"/>
          </w:tcPr>
          <w:p>
            <w:pPr>
              <w:spacing w:after="0"/>
              <w:rPr>
                <w:sz w:val="20"/>
                <w:szCs w:val="20"/>
                <w:color w:val="auto"/>
              </w:rPr>
            </w:pPr>
            <w:r>
              <w:rPr>
                <w:rFonts w:ascii="Arial" w:cs="Arial" w:eastAsia="Arial" w:hAnsi="Arial"/>
                <w:sz w:val="14"/>
                <w:szCs w:val="14"/>
                <w:color w:val="auto"/>
              </w:rPr>
              <w:t>Proceeds to PennantPark Investment Corporation (before estimated expenses of $200,000)</w:t>
            </w:r>
          </w:p>
        </w:tc>
        <w:tc>
          <w:tcPr>
            <w:tcW w:w="2620" w:type="dxa"/>
            <w:vAlign w:val="bottom"/>
            <w:gridSpan w:val="2"/>
          </w:tcPr>
          <w:p>
            <w:pPr>
              <w:ind w:left="24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7.60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82"/>
              </w:rPr>
              <w:t>32,680,000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ind w:right="260" w:firstLine="342"/>
        <w:spacing w:after="0" w:line="234" w:lineRule="auto"/>
        <w:rPr>
          <w:sz w:val="20"/>
          <w:szCs w:val="20"/>
          <w:color w:val="auto"/>
        </w:rPr>
      </w:pPr>
      <w:r>
        <w:rPr>
          <w:rFonts w:ascii="Arial" w:cs="Arial" w:eastAsia="Arial" w:hAnsi="Arial"/>
          <w:sz w:val="14"/>
          <w:szCs w:val="14"/>
          <w:b w:val="1"/>
          <w:bCs w:val="1"/>
          <w:color w:val="auto"/>
        </w:rPr>
        <w:t>The underwriters may also purchase up to an additional 645,000 shares from us at the public offering price, less the underwriting discount, within 30 days from the date of this prospectus supplement to cover overallotments. If the underwriters exercise this option in full, the total public offering price will be $39,560,000, the total underwriting discount and commissions (sales load) paid by us will be $1,978,000, and total proceeds, before expenses, will be $37,582,000.</w:t>
      </w:r>
    </w:p>
    <w:p>
      <w:pPr>
        <w:spacing w:after="0" w:line="29"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The underwriters expect to deliver the shares on or about September 29, 2009.</w:t>
      </w:r>
    </w:p>
    <w:p>
      <w:pPr>
        <w:sectPr>
          <w:pgSz w:w="11900" w:h="16838" w:orient="portrait"/>
          <w:cols w:equalWidth="0" w:num="1">
            <w:col w:w="11420"/>
          </w:cols>
          <w:pgMar w:left="240" w:top="230" w:right="239" w:bottom="1440" w:gutter="0" w:footer="0" w:header="0"/>
        </w:sectPr>
      </w:pPr>
    </w:p>
    <w:p>
      <w:pPr>
        <w:spacing w:after="0" w:line="54" w:lineRule="exact"/>
        <w:rPr>
          <w:sz w:val="24"/>
          <w:szCs w:val="24"/>
          <w:color w:val="auto"/>
        </w:rPr>
      </w:pPr>
    </w:p>
    <w:p>
      <w:pPr>
        <w:ind w:left="1700"/>
        <w:spacing w:after="0"/>
        <w:rPr>
          <w:sz w:val="20"/>
          <w:szCs w:val="20"/>
          <w:color w:val="auto"/>
        </w:rPr>
      </w:pPr>
      <w:r>
        <w:rPr>
          <w:rFonts w:ascii="Arial" w:cs="Arial" w:eastAsia="Arial" w:hAnsi="Arial"/>
          <w:sz w:val="15"/>
          <w:szCs w:val="15"/>
          <w:b w:val="1"/>
          <w:bCs w:val="1"/>
          <w:color w:val="auto"/>
        </w:rPr>
        <w:t>SunTrust Robinson Humphrey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BMO Capital Markets</w:t>
      </w:r>
    </w:p>
    <w:p>
      <w:pPr>
        <w:spacing w:after="0" w:line="127" w:lineRule="exact"/>
        <w:rPr>
          <w:sz w:val="24"/>
          <w:szCs w:val="24"/>
          <w:color w:val="auto"/>
        </w:rPr>
      </w:pPr>
    </w:p>
    <w:p>
      <w:pPr>
        <w:sectPr>
          <w:pgSz w:w="11900" w:h="16838" w:orient="portrait"/>
          <w:cols w:equalWidth="0" w:num="2">
            <w:col w:w="7120" w:space="720"/>
            <w:col w:w="3580"/>
          </w:cols>
          <w:pgMar w:left="240" w:top="230" w:right="239" w:bottom="1440" w:gutter="0" w:footer="0" w:header="0"/>
          <w:type w:val="continuous"/>
        </w:sectPr>
      </w:pPr>
    </w:p>
    <w:p>
      <w:pPr>
        <w:ind w:left="480"/>
        <w:spacing w:after="0"/>
        <w:rPr>
          <w:sz w:val="20"/>
          <w:szCs w:val="20"/>
          <w:color w:val="auto"/>
        </w:rPr>
      </w:pPr>
      <w:r>
        <w:rPr>
          <w:rFonts w:ascii="Arial" w:cs="Arial" w:eastAsia="Arial" w:hAnsi="Arial"/>
          <w:sz w:val="16"/>
          <w:szCs w:val="16"/>
          <w:b w:val="1"/>
          <w:bCs w:val="1"/>
          <w:color w:val="auto"/>
        </w:rPr>
        <w:t>Robert W. Baird &amp; 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FBR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Stifel Nicolaus</w:t>
      </w:r>
    </w:p>
    <w:p>
      <w:pPr>
        <w:spacing w:after="0" w:line="166" w:lineRule="exact"/>
        <w:rPr>
          <w:sz w:val="24"/>
          <w:szCs w:val="24"/>
          <w:color w:val="auto"/>
        </w:rPr>
      </w:pPr>
    </w:p>
    <w:p>
      <w:pPr>
        <w:sectPr>
          <w:pgSz w:w="11900" w:h="16838" w:orient="portrait"/>
          <w:cols w:equalWidth="0" w:num="4">
            <w:col w:w="2180" w:space="580"/>
            <w:col w:w="3300" w:space="720"/>
            <w:col w:w="2840" w:space="720"/>
            <w:col w:w="1080"/>
          </w:cols>
          <w:pgMar w:left="240" w:top="230" w:right="239" w:bottom="1440" w:gutter="0" w:footer="0" w:header="0"/>
          <w:type w:val="continuous"/>
        </w:sectPr>
      </w:pPr>
    </w:p>
    <w:p>
      <w:pPr>
        <w:ind w:left="4500"/>
        <w:spacing w:after="0"/>
        <w:rPr>
          <w:sz w:val="20"/>
          <w:szCs w:val="20"/>
          <w:color w:val="auto"/>
        </w:rPr>
      </w:pPr>
      <w:r>
        <w:rPr>
          <w:rFonts w:ascii="Arial" w:cs="Arial" w:eastAsia="Arial" w:hAnsi="Arial"/>
          <w:sz w:val="12"/>
          <w:szCs w:val="12"/>
          <w:b w:val="1"/>
          <w:bCs w:val="1"/>
          <w:color w:val="auto"/>
        </w:rPr>
        <w:t>ING Wholesale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Natixis Bleichroeder Inc.</w:t>
      </w:r>
    </w:p>
    <w:p>
      <w:pPr>
        <w:spacing w:after="0" w:line="69" w:lineRule="exact"/>
        <w:rPr>
          <w:sz w:val="24"/>
          <w:szCs w:val="24"/>
          <w:color w:val="auto"/>
        </w:rPr>
      </w:pPr>
    </w:p>
    <w:p>
      <w:pPr>
        <w:sectPr>
          <w:pgSz w:w="11900" w:h="16838" w:orient="portrait"/>
          <w:cols w:equalWidth="0" w:num="2">
            <w:col w:w="5380" w:space="120"/>
            <w:col w:w="59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The date of this prospectus supplement is September 24, 2009.</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40" w:type="dxa"/>
            <w:vAlign w:val="bottom"/>
            <w:gridSpan w:val="2"/>
          </w:tcPr>
          <w:p>
            <w:pPr>
              <w:jc w:val="center"/>
              <w:ind w:right="3240"/>
              <w:spacing w:after="0"/>
              <w:rPr>
                <w:sz w:val="20"/>
                <w:szCs w:val="20"/>
                <w:color w:val="auto"/>
              </w:rPr>
            </w:pPr>
            <w:r>
              <w:rPr>
                <w:rFonts w:ascii="Arial" w:cs="Arial" w:eastAsia="Arial" w:hAnsi="Arial"/>
                <w:sz w:val="18"/>
                <w:szCs w:val="18"/>
                <w:b w:val="1"/>
                <w:bCs w:val="1"/>
                <w:color w:val="auto"/>
                <w:w w:val="95"/>
              </w:rPr>
              <w:t>TABLE OF CONTENTS</w:t>
            </w:r>
          </w:p>
        </w:tc>
        <w:tc>
          <w:tcPr>
            <w:tcW w:w="1520" w:type="dxa"/>
            <w:vAlign w:val="bottom"/>
          </w:tcPr>
          <w:p>
            <w:pPr>
              <w:spacing w:after="0"/>
              <w:rPr>
                <w:sz w:val="19"/>
                <w:szCs w:val="19"/>
                <w:color w:val="auto"/>
              </w:rPr>
            </w:pPr>
          </w:p>
        </w:tc>
      </w:tr>
      <w:tr>
        <w:trPr>
          <w:trHeight w:val="297"/>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auto"/>
                <w:w w:val="95"/>
              </w:rPr>
              <w:t>PROSPECTUS SUPPLEMENT</w:t>
            </w:r>
          </w:p>
        </w:tc>
        <w:tc>
          <w:tcPr>
            <w:tcW w:w="1520" w:type="dxa"/>
            <w:vAlign w:val="bottom"/>
          </w:tcPr>
          <w:p>
            <w:pPr>
              <w:spacing w:after="0"/>
              <w:rPr>
                <w:sz w:val="24"/>
                <w:szCs w:val="24"/>
                <w:color w:val="auto"/>
              </w:rPr>
            </w:pPr>
          </w:p>
        </w:tc>
      </w:tr>
      <w:tr>
        <w:trPr>
          <w:trHeight w:val="245"/>
        </w:trPr>
        <w:tc>
          <w:tcPr>
            <w:tcW w:w="3620" w:type="dxa"/>
            <w:vAlign w:val="bottom"/>
            <w:tcBorders>
              <w:bottom w:val="single" w:sz="8" w:color="0000EE"/>
            </w:tcBorders>
            <w:gridSpan w:val="30"/>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SUPPLEMENTAL PROSPECTUS SUMMARY</w:t>
              </w:r>
            </w:hyperlink>
          </w:p>
        </w:tc>
        <w:tc>
          <w:tcPr>
            <w:tcW w:w="6280" w:type="dxa"/>
            <w:vAlign w:val="bottom"/>
            <w:gridSpan w:val="10"/>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S-1</w:t>
            </w: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FEES AND EXPENSES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S-7</w:t>
            </w:r>
          </w:p>
        </w:tc>
      </w:tr>
      <w:tr>
        <w:trPr>
          <w:trHeight w:val="196"/>
        </w:trPr>
        <w:tc>
          <w:tcPr>
            <w:tcW w:w="182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RISK FACTORS</w:t>
              </w:r>
            </w:hyperlink>
          </w:p>
        </w:tc>
        <w:tc>
          <w:tcPr>
            <w:tcW w:w="8080" w:type="dxa"/>
            <w:vAlign w:val="bottom"/>
            <w:gridSpan w:val="2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S-9</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FORWARD LOOKING STATEMENTS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S-12</w:t>
            </w:r>
          </w:p>
        </w:tc>
      </w:tr>
      <w:tr>
        <w:trPr>
          <w:trHeight w:val="196"/>
        </w:trPr>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93"/>
              </w:rPr>
            </w:pPr>
            <w:hyperlink w:anchor="page15">
              <w:r>
                <w:rPr>
                  <w:rFonts w:ascii="Arial" w:cs="Arial" w:eastAsia="Arial" w:hAnsi="Arial"/>
                  <w:sz w:val="18"/>
                  <w:szCs w:val="18"/>
                  <w:b w:val="1"/>
                  <w:bCs w:val="1"/>
                  <w:color w:val="0000EE"/>
                  <w:w w:val="93"/>
                </w:rPr>
                <w:t>USE OF PROCEEDS</w:t>
              </w:r>
            </w:hyperlink>
          </w:p>
        </w:tc>
        <w:tc>
          <w:tcPr>
            <w:tcW w:w="1380" w:type="dxa"/>
            <w:vAlign w:val="bottom"/>
            <w:tcBorders>
              <w:top w:val="single" w:sz="8" w:color="0000EE"/>
            </w:tcBorders>
            <w:gridSpan w:val="14"/>
          </w:tcPr>
          <w:p>
            <w:pPr>
              <w:spacing w:after="0"/>
              <w:rPr>
                <w:sz w:val="17"/>
                <w:szCs w:val="17"/>
                <w:color w:val="auto"/>
              </w:rPr>
            </w:pPr>
          </w:p>
        </w:tc>
        <w:tc>
          <w:tcPr>
            <w:tcW w:w="6880" w:type="dxa"/>
            <w:vAlign w:val="bottom"/>
            <w:gridSpan w:val="1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S-13</w:t>
            </w:r>
          </w:p>
        </w:tc>
      </w:tr>
      <w:tr>
        <w:trPr>
          <w:trHeight w:val="196"/>
        </w:trPr>
        <w:tc>
          <w:tcPr>
            <w:tcW w:w="15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CAPITALIZATION</w:t>
              </w:r>
            </w:hyperlink>
          </w:p>
        </w:tc>
        <w:tc>
          <w:tcPr>
            <w:tcW w:w="8360" w:type="dxa"/>
            <w:vAlign w:val="bottom"/>
            <w:gridSpan w:val="3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S-14</w:t>
            </w:r>
          </w:p>
        </w:tc>
      </w:tr>
      <w:tr>
        <w:trPr>
          <w:trHeight w:val="196"/>
        </w:trPr>
        <w:tc>
          <w:tcPr>
            <w:tcW w:w="25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SELECTED FINANCIAL DATA</w:t>
              </w:r>
            </w:hyperlink>
          </w:p>
        </w:tc>
        <w:tc>
          <w:tcPr>
            <w:tcW w:w="7400" w:type="dxa"/>
            <w:vAlign w:val="bottom"/>
            <w:gridSpan w:val="2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S-15</w:t>
            </w:r>
          </w:p>
        </w:tc>
      </w:tr>
      <w:tr>
        <w:trPr>
          <w:trHeight w:val="196"/>
        </w:trPr>
        <w:tc>
          <w:tcPr>
            <w:tcW w:w="3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PRICE RANGE OF COMMON STOCK</w:t>
              </w:r>
            </w:hyperlink>
          </w:p>
        </w:tc>
        <w:tc>
          <w:tcPr>
            <w:tcW w:w="6820" w:type="dxa"/>
            <w:vAlign w:val="bottom"/>
            <w:gridSpan w:val="1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S-17</w:t>
            </w:r>
          </w:p>
        </w:tc>
      </w:tr>
      <w:tr>
        <w:trPr>
          <w:trHeight w:val="196"/>
        </w:trPr>
        <w:tc>
          <w:tcPr>
            <w:tcW w:w="476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6"/>
              </w:rPr>
            </w:pPr>
            <w:hyperlink w:anchor="page20">
              <w:r>
                <w:rPr>
                  <w:rFonts w:ascii="Arial" w:cs="Arial" w:eastAsia="Arial" w:hAnsi="Arial"/>
                  <w:sz w:val="18"/>
                  <w:szCs w:val="18"/>
                  <w:b w:val="1"/>
                  <w:bCs w:val="1"/>
                  <w:color w:val="0000EE"/>
                  <w:w w:val="96"/>
                </w:rPr>
                <w:t>SALES OF COMMON STOCK BELOW NET ASSET VALUE</w:t>
              </w:r>
            </w:hyperlink>
          </w:p>
        </w:tc>
        <w:tc>
          <w:tcPr>
            <w:tcW w:w="514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S-18</w:t>
            </w:r>
          </w:p>
        </w:tc>
      </w:tr>
      <w:tr>
        <w:trPr>
          <w:trHeight w:val="196"/>
        </w:trPr>
        <w:tc>
          <w:tcPr>
            <w:tcW w:w="414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7"/>
              </w:rPr>
            </w:pPr>
            <w:hyperlink w:anchor="page24">
              <w:r>
                <w:rPr>
                  <w:rFonts w:ascii="Arial" w:cs="Arial" w:eastAsia="Arial" w:hAnsi="Arial"/>
                  <w:sz w:val="18"/>
                  <w:szCs w:val="18"/>
                  <w:b w:val="1"/>
                  <w:bCs w:val="1"/>
                  <w:color w:val="0000EE"/>
                  <w:w w:val="97"/>
                </w:rPr>
                <w:t>CERTAIN RELATIONSHIPS AND TRANSACTIONS</w:t>
              </w:r>
            </w:hyperlink>
          </w:p>
        </w:tc>
        <w:tc>
          <w:tcPr>
            <w:tcW w:w="576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S-22</w:t>
            </w: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UNDERWRITING</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S-23</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MATTERS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S-26</w:t>
            </w:r>
          </w:p>
        </w:tc>
      </w:tr>
      <w:tr>
        <w:trPr>
          <w:trHeight w:val="397"/>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2"/>
          </w:tcPr>
          <w:p>
            <w:pPr>
              <w:jc w:val="center"/>
              <w:ind w:right="3220"/>
              <w:spacing w:after="0"/>
              <w:rPr>
                <w:sz w:val="20"/>
                <w:szCs w:val="20"/>
                <w:color w:val="auto"/>
              </w:rPr>
            </w:pPr>
            <w:r>
              <w:rPr>
                <w:rFonts w:ascii="Arial" w:cs="Arial" w:eastAsia="Arial" w:hAnsi="Arial"/>
                <w:sz w:val="18"/>
                <w:szCs w:val="18"/>
                <w:b w:val="1"/>
                <w:bCs w:val="1"/>
                <w:color w:val="auto"/>
                <w:w w:val="93"/>
              </w:rPr>
              <w:t>PROSPECTUS</w:t>
            </w:r>
          </w:p>
        </w:tc>
        <w:tc>
          <w:tcPr>
            <w:tcW w:w="1520" w:type="dxa"/>
            <w:vAlign w:val="bottom"/>
          </w:tcPr>
          <w:p>
            <w:pPr>
              <w:spacing w:after="0"/>
              <w:rPr>
                <w:sz w:val="24"/>
                <w:szCs w:val="24"/>
                <w:color w:val="auto"/>
              </w:rPr>
            </w:pPr>
          </w:p>
        </w:tc>
      </w:tr>
      <w:tr>
        <w:trPr>
          <w:trHeight w:val="259"/>
        </w:trPr>
        <w:tc>
          <w:tcPr>
            <w:tcW w:w="9900" w:type="dxa"/>
            <w:vAlign w:val="bottom"/>
            <w:gridSpan w:val="4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4"/>
          </w:tcPr>
          <w:p>
            <w:pPr>
              <w:spacing w:after="0"/>
              <w:rPr>
                <w:sz w:val="17"/>
                <w:szCs w:val="17"/>
                <w:color w:val="auto"/>
              </w:rPr>
            </w:pPr>
          </w:p>
        </w:tc>
        <w:tc>
          <w:tcPr>
            <w:tcW w:w="7860" w:type="dxa"/>
            <w:vAlign w:val="bottom"/>
            <w:gridSpan w:val="2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FORWARD-LOOKING STATEMENTS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7040" w:type="dxa"/>
            <w:vAlign w:val="bottom"/>
            <w:gridSpan w:val="2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SELECTED FINANCIAL DATA</w:t>
              </w:r>
            </w:hyperlink>
          </w:p>
        </w:tc>
        <w:tc>
          <w:tcPr>
            <w:tcW w:w="7520" w:type="dxa"/>
            <w:vAlign w:val="bottom"/>
            <w:gridSpan w:val="2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7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SENIOR SECURITIES</w:t>
              </w:r>
            </w:hyperlink>
          </w:p>
        </w:tc>
        <w:tc>
          <w:tcPr>
            <w:tcW w:w="120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PRICE RANGE OF COMMON STOCK</w:t>
              </w:r>
            </w:hyperlink>
          </w:p>
        </w:tc>
        <w:tc>
          <w:tcPr>
            <w:tcW w:w="7000" w:type="dxa"/>
            <w:vAlign w:val="bottom"/>
            <w:gridSpan w:val="1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DISTRIBUTIONS</w:t>
              </w:r>
            </w:hyperlink>
          </w:p>
        </w:tc>
        <w:tc>
          <w:tcPr>
            <w:tcW w:w="8560" w:type="dxa"/>
            <w:vAlign w:val="bottom"/>
            <w:gridSpan w:val="3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BUSINESS</w:t>
              </w:r>
            </w:hyperlink>
          </w:p>
        </w:tc>
        <w:tc>
          <w:tcPr>
            <w:tcW w:w="9060" w:type="dxa"/>
            <w:vAlign w:val="bottom"/>
            <w:gridSpan w:val="3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INVESTMENT OBJECTIVES AND POLICIES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646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MANAGEMENT</w:t>
              </w:r>
            </w:hyperlink>
          </w:p>
        </w:tc>
        <w:tc>
          <w:tcPr>
            <w:tcW w:w="700" w:type="dxa"/>
            <w:vAlign w:val="bottom"/>
            <w:tcBorders>
              <w:top w:val="single" w:sz="8" w:color="0000EE"/>
            </w:tcBorders>
            <w:gridSpan w:val="10"/>
          </w:tcPr>
          <w:p>
            <w:pPr>
              <w:spacing w:after="0"/>
              <w:rPr>
                <w:sz w:val="17"/>
                <w:szCs w:val="17"/>
                <w:color w:val="auto"/>
              </w:rPr>
            </w:pPr>
          </w:p>
        </w:tc>
        <w:tc>
          <w:tcPr>
            <w:tcW w:w="7900" w:type="dxa"/>
            <w:vAlign w:val="bottom"/>
            <w:gridSpan w:val="2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44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CONTROL PERSONS AND PRINCIPAL STOCKHOLDERS</w:t>
              </w:r>
            </w:hyperlink>
          </w:p>
        </w:tc>
        <w:tc>
          <w:tcPr>
            <w:tcW w:w="546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TRANSACTIONS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3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7"/>
          </w:tcPr>
          <w:p>
            <w:pPr>
              <w:spacing w:after="0"/>
              <w:rPr>
                <w:sz w:val="17"/>
                <w:szCs w:val="17"/>
                <w:color w:val="auto"/>
              </w:rPr>
            </w:pPr>
          </w:p>
        </w:tc>
        <w:tc>
          <w:tcPr>
            <w:tcW w:w="598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DIVIDEND REINVESTMENT PLAN</w:t>
              </w:r>
            </w:hyperlink>
          </w:p>
        </w:tc>
        <w:tc>
          <w:tcPr>
            <w:tcW w:w="7140" w:type="dxa"/>
            <w:vAlign w:val="bottom"/>
            <w:gridSpan w:val="2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32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CAPITAL STOCK</w:t>
              </w:r>
            </w:hyperlink>
          </w:p>
        </w:tc>
        <w:tc>
          <w:tcPr>
            <w:tcW w:w="668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OUR PREFERRED STOCK</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4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DESCRIPTION OF OUR WARRANTS</w:t>
              </w:r>
            </w:hyperlink>
          </w:p>
        </w:tc>
        <w:tc>
          <w:tcPr>
            <w:tcW w:w="6420" w:type="dxa"/>
            <w:vAlign w:val="bottom"/>
            <w:gridSpan w:val="1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OUR SUBSCRIPTION RIGHTS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338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17"/>
                <w:szCs w:val="17"/>
                <w:color w:val="auto"/>
              </w:rPr>
            </w:pPr>
          </w:p>
        </w:tc>
        <w:tc>
          <w:tcPr>
            <w:tcW w:w="610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REGULATION</w:t>
              </w:r>
            </w:hyperlink>
          </w:p>
        </w:tc>
        <w:tc>
          <w:tcPr>
            <w:tcW w:w="8780" w:type="dxa"/>
            <w:vAlign w:val="bottom"/>
            <w:gridSpan w:val="3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438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BROKERAGE ALLOCATIONS AND OTHER PRACTICES</w:t>
              </w:r>
            </w:hyperlink>
          </w:p>
        </w:tc>
        <w:tc>
          <w:tcPr>
            <w:tcW w:w="5520" w:type="dxa"/>
            <w:vAlign w:val="bottom"/>
            <w:gridSpan w:val="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4760" w:type="dxa"/>
            <w:vAlign w:val="bottom"/>
            <w:tcBorders>
              <w:bottom w:val="single" w:sz="8" w:color="0000EE"/>
            </w:tcBorders>
            <w:gridSpan w:val="38"/>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MATERIAL U.S. FEDERAL INCOME TAX CONSIDERATIONS</w:t>
              </w:r>
            </w:hyperlink>
          </w:p>
        </w:tc>
        <w:tc>
          <w:tcPr>
            <w:tcW w:w="514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PLAN OF DISTRIBUTION</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CUSTODIAN, TRANSFER AGENT AND TRUSTEE</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38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LEGAL MATTERS</w:t>
              </w:r>
            </w:hyperlink>
          </w:p>
        </w:tc>
        <w:tc>
          <w:tcPr>
            <w:tcW w:w="6020" w:type="dxa"/>
            <w:vAlign w:val="bottom"/>
            <w:gridSpan w:val="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1700" w:type="dxa"/>
            <w:vAlign w:val="bottom"/>
            <w:gridSpan w:val="15"/>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INDEPENDENT REGISTERED PUBLIC ACCOUNTING FIRM</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46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PRIVACY PRINCIPLES</w:t>
              </w:r>
            </w:hyperlink>
          </w:p>
        </w:tc>
        <w:tc>
          <w:tcPr>
            <w:tcW w:w="5220" w:type="dxa"/>
            <w:vAlign w:val="bottom"/>
            <w:gridSpan w:val="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1780" w:type="dxa"/>
            <w:vAlign w:val="bottom"/>
            <w:gridSpan w:val="12"/>
            <w:shd w:val="clear" w:color="auto" w:fill="0000EE"/>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INDEX TO FINANCIAL STATEMENTS</w:t>
              </w:r>
            </w:hyperlink>
          </w:p>
        </w:tc>
        <w:tc>
          <w:tcPr>
            <w:tcW w:w="6920" w:type="dxa"/>
            <w:vAlign w:val="bottom"/>
            <w:gridSpan w:val="1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You should read carefully the more detailed information set forth under “Risk Factors” and the other information included in this prospectus supplement and the accompanying prospectus. In this prospectus supplement and the accompanying prospectus,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as amended, or the 1940 Act.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supplement, we use the term “middle-market” to refer to companies with annual revenues between $50 million and $1 billion.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advisory and management agreement dated April 17, 2007, as renewed in February 2009, between Pennantpark Investment and the Investment Adviser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Investment.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8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48 years of experience in the mezzanine, private equity and leveraged finance businesses. See “Management,” “Certain Relationships and Transactions—Investment Management Agreement” and “Risk Factors—Risks Relating to our Business and Structure”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our administration agreement dated April 17, 2007, as renewed in February 2009, between Pennantpark Investment and the Administrator,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Transactions—Administration Agreement” and “Risk Factors—Risks Relating to our Business and Structure” in the accompanying prospectus.</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the Administrator, has extensive experience in finance and administration of registered investment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number of middle-market companies,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446"/>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1"/>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maintain a five-year, multi-currency $300 million senior secured credit facility, or the credit facility, with a group of lenders, under which we had $202.0 million (including a $40.0 million temporary draw) and $187.3 million of indebtedness outstanding at September 30, 2008 and June 30, 2009, respectively. Pricing on borrowings under our credit facility is set at 100 basis points over LIBOR. We expect that our debt capital resources will provide us with the flexibility to take advantage of market opportunities when they arise. See note 11 to our financial statements for the quarter ended June 30, 2009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 in the accompanying prospectus.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 business development company, we are required to comply with certain regulatory requirements. Also, while we are permitted to finance investments using debt, our ability to use debt is limited in certain significant respects. See “Regulation” in the accompanying prospectus. We have elected to be treated for federal income tax purposes under the Internal Revenue Code of 1986, as amended, or the Code, as a regulated investment company, or RIC. For more information, see “Material U.S. Federal Income Tax Considerations” in the accompanying prospectus.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our outstanding obligations under our credit facility. We may also use such proceeds to invest in new or existing portfolio companies or for other general corporate purposes. See “Use of Proceeds” in this prospectus supplement for information regarding our outstanding borrowings as of June 30, 2009,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 share dilute the interests of existing stockholders, have the effect of reducing our net asset value per share and may reduce our market price per share.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16, 2009 our board of directors approved an issuance of shares of common stock at a price below our current net asset value per share and at a price per share that approximates the market value of our shares traded on the NASDAQ Global Select Market, less an underwriting discount, at the time of sale. Our board of directors unanimously believes that such issuance is in our best interest and in the best interests of our stockholders. For more information see “Sales of Common Stock Below Net Asset Value” in this prospectus supplement.</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this prospectus supplement, we describe the risks and dilutive effects of an offering of our common stock at a price below our current net asset value. See “Risk Factors—Risks relating to our Business and Structure” in the accompanying prospectus and “Risk Factors” and “Sales of Common Stock Below Net Asset Value” in this prospectus supplement.</w:t>
      </w:r>
    </w:p>
    <w:p>
      <w:pPr>
        <w:spacing w:after="0" w:line="14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We may not sell securities pursuant to this prospectus without delivering a prospectus supplement and the accompanying prospectus describing the terms of the particular securities to be offered and the method of the offering of such securities. For more information, see “Distributions” in the accompanying prospectus.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and administrative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5.00%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0.58%</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common stockholder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3.10%</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1.99%</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1.82%</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1.47%</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8.38%</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$200,000 and based on the 4,300,000 shares offered in this offering.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net assets attributable to common shares at June 30, 2009 plus the anticipated net proceeds from this offering.</w:t>
      </w:r>
    </w:p>
    <w:p>
      <w:pPr>
        <w:spacing w:after="0" w:line="9" w:lineRule="exact"/>
        <w:rPr>
          <w:rFonts w:ascii="Arial" w:cs="Arial" w:eastAsia="Arial" w:hAnsi="Arial"/>
          <w:sz w:val="18"/>
          <w:szCs w:val="18"/>
          <w:color w:val="auto"/>
        </w:rPr>
      </w:pPr>
    </w:p>
    <w:p>
      <w:pPr>
        <w:ind w:left="460" w:right="6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40" w:hanging="452"/>
        <w:spacing w:after="0" w:line="30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portion of incentive fees paid with respect to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“Certain Relationships and Transactions—Investment Management Agreement” in the accompanying prospectus.</w:t>
      </w:r>
    </w:p>
    <w:p>
      <w:pPr>
        <w:spacing w:after="0" w:line="4" w:lineRule="exact"/>
        <w:rPr>
          <w:rFonts w:ascii="Arial" w:cs="Arial" w:eastAsia="Arial" w:hAnsi="Arial"/>
          <w:sz w:val="15"/>
          <w:szCs w:val="15"/>
          <w:color w:val="auto"/>
        </w:rPr>
      </w:pPr>
    </w:p>
    <w:p>
      <w:pPr>
        <w:ind w:left="460" w:right="100" w:hanging="452"/>
        <w:spacing w:after="0" w:line="29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June 30, 2009, we had $112.7 million unused, subject to maintenance of the applicable total assets to debt ratio of 200%, and $187.3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spacing w:after="0" w:line="1" w:lineRule="exact"/>
        <w:rPr>
          <w:sz w:val="20"/>
          <w:szCs w:val="20"/>
          <w:color w:val="auto"/>
        </w:rPr>
      </w:pPr>
    </w:p>
    <w:p>
      <w:pPr>
        <w:ind w:left="460" w:right="6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our “Statement of Operations” in our financial statements in the accompanying prospectus.</w:t>
      </w:r>
    </w:p>
    <w:p>
      <w:pPr>
        <w:spacing w:after="0" w:line="2" w:lineRule="exact"/>
        <w:rPr>
          <w:rFonts w:ascii="Arial" w:cs="Arial" w:eastAsia="Arial" w:hAnsi="Arial"/>
          <w:sz w:val="16"/>
          <w:szCs w:val="16"/>
          <w:color w:val="auto"/>
        </w:rPr>
      </w:pPr>
    </w:p>
    <w:p>
      <w:pPr>
        <w:ind w:left="460" w:right="20" w:hanging="452"/>
        <w:spacing w:after="0" w:line="29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including assets that have been funded with borrowed monies. If the “total annual expenses” percentage were calculated instead as a percentage of total assets, our “total annual expenses” would be 5.41% of total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0.58%, (2) total net annual expenses of 6.39%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$ 116</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$ 233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$ 347</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619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and additional information regarding our dividend reinvestment plan in the accompanying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14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Because we intend to distribute substantially all of our income to our stockholders to maintain our status as a RIC, we will continue to need additional capital to finance our growth. If we sell shares of our common stock below our net asset value per share in order to raise capital, our common stockholders will experience immediate dilution of their interest in our common stock and our net asset value per share will be reduced. Such dilution could materially lower the value of your investment in our common stock.</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satisfy the requirements applicable to a RIC and to avoid payment of excise taxes,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are required to meet a coverage ratio of total assets to total senior securities, which includes all of our borrowings and any preferred stock we may issue in the future, of at least 200%. This requirement limits the amount that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business development company, we generally are not permitted to issue equity securities prices below net asset value without stockholder approval. At a special meeting of stockholders on August 25, 2009, our stockholders voted to allow us to issue common stock at a price below net asset value per share for a period of one year. Our stockholders did not specify a maximum discount below net asset value at which we are able to issue additional common stock; however, we do not intend to issue shares of our common stock below net asset value unless our board of directors determines that it would be in our stockholders’ best interests to do so.</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Any issuance of our common stock at a price below our net asset value per share will have an immediate dilutive effect on your interest in our shares and will lower our net asset value per share. Stockholders also may experience a reduction in the market price of our common stock. Stockholders who do not purchase additional shares at or below the discounted price in proportion to their current ownership will experience a greater dilutive effect in their voting power than those who elect to participate in the offering. Additionally, their share in our earning potential will be reduced in the future. The dilution occurs because, unless you participate in the offering, your percentage interest in our common shares outstanding will decrease after an offering of new shares of common stock. The reduction in net asset value per share occurs because the net proceeds per share from the offering are less than our net asset value per share before the offering. For an illustration on the potential dilutive effect of an offering of our common stock at a price below net asset value, please see “Sales of Common Stock Below Net Asset Value” in this prospectus supplement.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common stockholders may receive our stock as dividends.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760"/>
          </w:cols>
          <w:pgMar w:left="240" w:top="459" w:right="8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8-K.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net proceeds we will receive from the sale of 4,300,000 shares of our common stock in this offering will be approximately $32.5 million (or approximately $37.4 million if the underwriters fully exercise their overallotment option), in each case based on a public offering price of $8.00 per share, after deducting the underwriting discounts and commissions of $1.7 million (or approximately $2.0 million if the underwriters fully exercise their overallotment option) payable by us and estimated offering expenses of approximately $200,000 payable by us.</w:t>
      </w:r>
    </w:p>
    <w:p>
      <w:pPr>
        <w:spacing w:after="0" w:line="113"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We may use the net proceeds from selling securities pursuant to this prospectus to reduce outstanding obligations under our credit facility and any such use may dilute our net asset value per share. We may also use such proceeds to invest in new or existing portfolio companies, or for other general corporate purposes.</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 million credit facility. Borrowings under our credit facility bear interest at an annual rate equal to LIBOR + 100 basis points per annum. At June 30, 2009, this corresponded to an interest rate of 1.31%.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in the accompanying prospectus, for additional information about temporary investments we may make prior to investing in core assets.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sets forth our cash and capitalization on June 30, 2009 (1) on an actual basis and (2) as adjusted to reflect the effects of the sale of 4,300,000 shares of our common stock in this offering at an offering price of $8.00 per share ($7.55 per share net). You should read this table together with “Use of Proceeds” set forth in this prospectus supplement and in the accompanying prospectus. You should also read this table with our financial statements and notes thereto, in conjunction with “Management’s Discussion and Analysis of Financial Condition and Results of Operations” included in the accompanying prospectus.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As of June 30, 2009</w:t>
            </w:r>
          </w:p>
        </w:tc>
      </w:tr>
      <w:tr>
        <w:trPr>
          <w:trHeight w:val="161"/>
        </w:trPr>
        <w:tc>
          <w:tcPr>
            <w:tcW w:w="7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6"/>
              </w:rPr>
              <w:t>(unaudited)</w:t>
            </w:r>
          </w:p>
        </w:tc>
      </w:tr>
      <w:tr>
        <w:trPr>
          <w:trHeight w:val="115"/>
        </w:trPr>
        <w:tc>
          <w:tcPr>
            <w:tcW w:w="7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As adjusted for</w:t>
            </w:r>
          </w:p>
        </w:tc>
        <w:tc>
          <w:tcPr>
            <w:tcW w:w="100" w:type="dxa"/>
            <w:vAlign w:val="bottom"/>
          </w:tcPr>
          <w:p>
            <w:pPr>
              <w:spacing w:after="0"/>
              <w:rPr>
                <w:sz w:val="10"/>
                <w:szCs w:val="10"/>
                <w:color w:val="auto"/>
              </w:rPr>
            </w:pPr>
          </w:p>
        </w:tc>
      </w:tr>
      <w:tr>
        <w:trPr>
          <w:trHeight w:val="176"/>
        </w:trPr>
        <w:tc>
          <w:tcPr>
            <w:tcW w:w="7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Borders>
              <w:bottom w:val="single" w:sz="8" w:color="auto"/>
            </w:tcBorders>
          </w:tcPr>
          <w:p>
            <w:pPr>
              <w:jc w:val="right"/>
              <w:ind w:right="38"/>
              <w:spacing w:after="0" w:line="176" w:lineRule="exact"/>
              <w:rPr>
                <w:sz w:val="20"/>
                <w:szCs w:val="20"/>
                <w:color w:val="auto"/>
              </w:rPr>
            </w:pPr>
            <w:r>
              <w:rPr>
                <w:rFonts w:ascii="Arial" w:cs="Arial" w:eastAsia="Arial" w:hAnsi="Arial"/>
                <w:sz w:val="13"/>
                <w:szCs w:val="13"/>
                <w:b w:val="1"/>
                <w:bCs w:val="1"/>
                <w:color w:val="auto"/>
                <w:w w:val="97"/>
              </w:rPr>
              <w:t>the offering</w:t>
            </w:r>
            <w:r>
              <w:rPr>
                <w:rFonts w:ascii="Arial" w:cs="Arial" w:eastAsia="Arial" w:hAnsi="Arial"/>
                <w:sz w:val="20"/>
                <w:szCs w:val="20"/>
                <w:b w:val="1"/>
                <w:bCs w:val="1"/>
                <w:color w:val="auto"/>
                <w:w w:val="97"/>
                <w:vertAlign w:val="superscript"/>
              </w:rPr>
              <w:t>(1)</w:t>
            </w:r>
          </w:p>
        </w:tc>
        <w:tc>
          <w:tcPr>
            <w:tcW w:w="100" w:type="dxa"/>
            <w:vAlign w:val="bottom"/>
          </w:tcPr>
          <w:p>
            <w:pPr>
              <w:spacing w:after="0"/>
              <w:rPr>
                <w:sz w:val="15"/>
                <w:szCs w:val="15"/>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$ 33,021,136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401,103,013</w:t>
            </w:r>
          </w:p>
        </w:tc>
        <w:tc>
          <w:tcPr>
            <w:tcW w:w="6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433,583,013</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credit facility (cost $187,300,000)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134,057,558</w:t>
            </w:r>
          </w:p>
        </w:tc>
        <w:tc>
          <w:tcPr>
            <w:tcW w:w="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134,057,558</w:t>
            </w: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par value $0.001 per share; 100,000,000 shares authorized, 21,068,772 shares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issued and outstanding, 25,368,772 shares issued and outstanding, as adjusted, respectively</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6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25,369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Paid in capital in excess of par</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294,586,604</w:t>
            </w:r>
          </w:p>
        </w:tc>
        <w:tc>
          <w:tcPr>
            <w:tcW w:w="6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327,062,304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928,718</w:t>
            </w:r>
          </w:p>
        </w:tc>
        <w:tc>
          <w:tcPr>
            <w:tcW w:w="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928,718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41,796,000</w:t>
            </w:r>
          </w:p>
        </w:tc>
        <w:tc>
          <w:tcPr>
            <w:tcW w:w="6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41,796,000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(42,097,607)</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(42,097,607)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(59,703,986)</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(59,703,986)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11,446,442</w:t>
            </w:r>
          </w:p>
        </w:tc>
        <w:tc>
          <w:tcPr>
            <w:tcW w:w="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11,446,442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246,977,240</w:t>
            </w:r>
          </w:p>
        </w:tc>
        <w:tc>
          <w:tcPr>
            <w:tcW w:w="6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279,457,240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381,034,798</w:t>
            </w:r>
          </w:p>
        </w:tc>
        <w:tc>
          <w:tcPr>
            <w:tcW w:w="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413,514,798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have derived the quarterly financial information below from our unaudited financial data set forth in the accompanying prospectus, and, in the opinion of management, such information reflects all adjustments (consisting of normal recurring adjustments) that are necessary to present fairly the results of such interim periods. Interim results as of and for the nine months ended June 30, 2009 are not necessarily indicative of the results that may be expected for the year ending September 30, 2009. The Statements of operations data, Per share data and Balance sheet data for the year ended September 30, 2008 and for the period from January 11, 2007 (Inception) through September 30, 2007 are derived from our financial statements set forth in the accompanying prospectus,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 the accompanying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Nine months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2"/>
              </w:rPr>
              <w:t>Year ended</w:t>
            </w:r>
          </w:p>
        </w:tc>
        <w:tc>
          <w:tcPr>
            <w:tcW w:w="40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2009</w:t>
            </w:r>
          </w:p>
        </w:tc>
        <w:tc>
          <w:tcPr>
            <w:tcW w:w="4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4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(Audited)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(Audited)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33,271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39,811</w:t>
            </w:r>
          </w:p>
        </w:tc>
        <w:tc>
          <w:tcPr>
            <w:tcW w:w="680" w:type="dxa"/>
            <w:vAlign w:val="bottom"/>
          </w:tcPr>
          <w:p>
            <w:pPr>
              <w:spacing w:after="0"/>
              <w:rPr>
                <w:sz w:val="18"/>
                <w:szCs w:val="18"/>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16,570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16,570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21,255</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16,701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realized and unrealized loss</w:t>
            </w: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(7,078)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(59,259)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(40,703)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8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0.79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0.88</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401,103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393,138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372,148</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134,058</w:t>
            </w:r>
            <w:r>
              <w:rPr>
                <w:rFonts w:ascii="Arial" w:cs="Arial" w:eastAsia="Arial" w:hAnsi="Arial"/>
                <w:sz w:val="11"/>
                <w:szCs w:val="11"/>
                <w:color w:val="auto"/>
                <w:w w:val="94"/>
              </w:rPr>
              <w:t>(4)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10,515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net asset value</w:t>
            </w:r>
          </w:p>
        </w:tc>
        <w:tc>
          <w:tcPr>
            <w:tcW w:w="1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246,977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210,728</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270,393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(38.58)%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Yield on debt portfolio (at period end)</w:t>
            </w: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10.40%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11.10%</w:t>
            </w:r>
            <w:r>
              <w:rPr>
                <w:rFonts w:ascii="Arial" w:cs="Arial" w:eastAsia="Arial" w:hAnsi="Arial"/>
                <w:sz w:val="11"/>
                <w:szCs w:val="11"/>
                <w:color w:val="auto"/>
              </w:rPr>
              <w:t>(3)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Transactions—Investment Advisory Fees” in the accompanying prospectus.</w:t>
      </w:r>
    </w:p>
    <w:p>
      <w:pPr>
        <w:ind w:left="460" w:right="2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and takes into account dividends and distributions, if any, reinvested in accordance with our dividend reinvestment plan. Total return is not annualized.</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2"/>
              </w:rPr>
              <w:t>$10,770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60"/>
              <w:spacing w:after="0"/>
              <w:rPr>
                <w:sz w:val="20"/>
                <w:szCs w:val="20"/>
                <w:color w:val="auto"/>
              </w:rPr>
            </w:pPr>
            <w:r>
              <w:rPr>
                <w:rFonts w:ascii="Arial" w:cs="Arial" w:eastAsia="Arial" w:hAnsi="Arial"/>
                <w:sz w:val="18"/>
                <w:szCs w:val="18"/>
                <w:color w:val="auto"/>
              </w:rPr>
              <w:t>$10,425</w:t>
            </w:r>
          </w:p>
        </w:tc>
        <w:tc>
          <w:tcPr>
            <w:tcW w:w="9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$ 12,077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5,666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5,267</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5,768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1"/>
              </w:rPr>
              <w:t>$ (6,486)</w:t>
            </w:r>
          </w:p>
        </w:tc>
        <w:tc>
          <w:tcPr>
            <w:tcW w:w="2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60"/>
              <w:spacing w:after="0"/>
              <w:rPr>
                <w:sz w:val="20"/>
                <w:szCs w:val="20"/>
                <w:color w:val="auto"/>
              </w:rPr>
            </w:pPr>
            <w:r>
              <w:rPr>
                <w:rFonts w:ascii="Arial" w:cs="Arial" w:eastAsia="Arial" w:hAnsi="Arial"/>
                <w:sz w:val="18"/>
                <w:szCs w:val="18"/>
                <w:color w:val="auto"/>
              </w:rPr>
              <w:t>$36,932</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(820)</w:t>
            </w:r>
          </w:p>
        </w:tc>
        <w:tc>
          <w:tcPr>
            <w:tcW w:w="20" w:type="dxa"/>
            <w:vAlign w:val="bottom"/>
          </w:tcPr>
          <w:p>
            <w:pPr>
              <w:spacing w:after="0"/>
              <w:rPr>
                <w:sz w:val="18"/>
                <w:szCs w:val="18"/>
                <w:color w:val="auto"/>
              </w:rPr>
            </w:pPr>
          </w:p>
        </w:tc>
        <w:tc>
          <w:tcPr>
            <w:tcW w:w="1220" w:type="dxa"/>
            <w:vAlign w:val="bottom"/>
            <w:gridSpan w:val="7"/>
          </w:tcPr>
          <w:p>
            <w:pPr>
              <w:jc w:val="right"/>
              <w:ind w:right="260"/>
              <w:spacing w:after="0"/>
              <w:rPr>
                <w:sz w:val="20"/>
                <w:szCs w:val="20"/>
                <w:color w:val="auto"/>
              </w:rPr>
            </w:pPr>
            <w:r>
              <w:rPr>
                <w:rFonts w:ascii="Arial" w:cs="Arial" w:eastAsia="Arial" w:hAnsi="Arial"/>
                <w:sz w:val="18"/>
                <w:szCs w:val="18"/>
                <w:color w:val="auto"/>
              </w:rPr>
              <w:t>$42,199</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(0.04)</w:t>
            </w: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12.00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10.24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11,431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9,662</w:t>
            </w: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9,714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9,004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3,941</w:t>
            </w:r>
          </w:p>
        </w:tc>
        <w:tc>
          <w:tcPr>
            <w:tcW w:w="5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4,449</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4,732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(16,475)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11,263</w:t>
            </w:r>
          </w:p>
        </w:tc>
        <w:tc>
          <w:tcPr>
            <w:tcW w:w="122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 (37,778)</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15,204</w:t>
            </w:r>
          </w:p>
        </w:tc>
        <w:tc>
          <w:tcPr>
            <w:tcW w:w="1220" w:type="dxa"/>
            <w:vAlign w:val="bottom"/>
            <w:gridSpan w:val="7"/>
          </w:tcPr>
          <w:p>
            <w:pPr>
              <w:jc w:val="right"/>
              <w:ind w:right="200"/>
              <w:spacing w:after="0"/>
              <w:rPr>
                <w:sz w:val="20"/>
                <w:szCs w:val="20"/>
                <w:color w:val="auto"/>
              </w:rPr>
            </w:pPr>
            <w:r>
              <w:rPr>
                <w:rFonts w:ascii="Arial" w:cs="Arial" w:eastAsia="Arial" w:hAnsi="Arial"/>
                <w:sz w:val="18"/>
                <w:szCs w:val="18"/>
                <w:color w:val="auto"/>
              </w:rPr>
              <w:t>$ (33,329)</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0.72</w:t>
            </w: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10.77</w:t>
            </w:r>
          </w:p>
        </w:tc>
        <w:tc>
          <w:tcPr>
            <w:tcW w:w="5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10.26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12.07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10.02</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138"/>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6"/>
              </w:rPr>
              <w:t>Q3</w:t>
            </w:r>
          </w:p>
        </w:tc>
        <w:tc>
          <w:tcPr>
            <w:tcW w:w="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2"/>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$ 5,425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$ 3,208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82"/>
              </w:rPr>
              <w:t>$ (18,870)</w:t>
            </w:r>
          </w:p>
        </w:tc>
        <w:tc>
          <w:tcPr>
            <w:tcW w:w="2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$(5,152)</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Arial" w:cs="Arial" w:eastAsia="Arial" w:hAnsi="Arial"/>
                <w:sz w:val="18"/>
                <w:szCs w:val="18"/>
                <w:color w:val="auto"/>
                <w:w w:val="82"/>
              </w:rPr>
              <w:t>$ (14,522)</w:t>
            </w:r>
          </w:p>
        </w:tc>
        <w:tc>
          <w:tcPr>
            <w:tcW w:w="20" w:type="dxa"/>
            <w:vAlign w:val="bottom"/>
          </w:tcPr>
          <w:p>
            <w:pPr>
              <w:spacing w:after="0"/>
              <w:rPr>
                <w:sz w:val="18"/>
                <w:szCs w:val="18"/>
                <w:color w:val="auto"/>
              </w:rPr>
            </w:pPr>
          </w:p>
        </w:tc>
        <w:tc>
          <w:tcPr>
            <w:tcW w:w="1220" w:type="dxa"/>
            <w:vAlign w:val="bottom"/>
            <w:gridSpan w:val="7"/>
          </w:tcPr>
          <w:p>
            <w:pPr>
              <w:jc w:val="right"/>
              <w:ind w:right="220"/>
              <w:spacing w:after="0"/>
              <w:rPr>
                <w:sz w:val="20"/>
                <w:szCs w:val="20"/>
                <w:color w:val="auto"/>
              </w:rPr>
            </w:pPr>
            <w:r>
              <w:rPr>
                <w:rFonts w:ascii="Arial" w:cs="Arial" w:eastAsia="Arial" w:hAnsi="Arial"/>
                <w:sz w:val="18"/>
                <w:szCs w:val="18"/>
                <w:color w:val="auto"/>
              </w:rPr>
              <w:t>$(1,944)</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(0.70)</w:t>
            </w: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$ 13.74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offering was on April 24,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September 23, 2009, the last reported closing price of our common stock was $8.41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High</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Closing Sales Price</w:t>
            </w: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Sales</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Sales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5"/>
              </w:rPr>
              <w:t>Price to</w:t>
            </w: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Price to</w:t>
            </w: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49"/>
        </w:trPr>
        <w:tc>
          <w:tcPr>
            <w:tcW w:w="6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w:t>
            </w:r>
          </w:p>
        </w:tc>
        <w:tc>
          <w:tcPr>
            <w:tcW w:w="660" w:type="dxa"/>
            <w:vAlign w:val="bottom"/>
            <w:gridSpan w:val="2"/>
          </w:tcPr>
          <w:p>
            <w:pPr>
              <w:ind w:left="40"/>
              <w:spacing w:after="0" w:line="149"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(1)</w:t>
            </w:r>
          </w:p>
        </w:tc>
        <w:tc>
          <w:tcPr>
            <w:tcW w:w="1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9"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Low</w:t>
            </w:r>
          </w:p>
        </w:tc>
        <w:tc>
          <w:tcPr>
            <w:tcW w:w="3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(2)</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(2)</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Fourth quarter (through September 23, 2009)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 N/A</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$ 9.06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$ 6.28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0.24</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4.05</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2.64</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5.92</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8.60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7.05</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11.31</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8.38</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14.49</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9.08</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120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14.76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12.61</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115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15.03</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14.04</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Payable on October 1, 2009 to stockholders of record as of September 8, 2009.</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$7.10 and $7.41 as of June 30, 2009 and September 30, 2008, respectively. Our NAV was $11.72 and $10.00, as of June 30, 2009 and September 30,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our meeting of stockholders held on August 25, 2009,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August 25, 2009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the terms thereof.</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offering of common stock being made pursuant to this prospectus supplement is at a price below our most recently reported NAV on June 30, 2009 of $11.72 per share.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also considered the fact that sales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existing stockholders who do not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chart illustrates the level of NAV dilution that would be experienced by a stockholder who does not participate in the offering. It is not possible to predict the level of market price decline that may occur. The table below is shown based upon financial information as of June 30, 2009. NAV has not been finally determined for any day after June 30, 2009. The following example assumes a sale of 4,300,000 shares at a sales price to the public of $8.00 per share with a 5.00% underwriting discount and commissions and $200,000 of expenses ($7.55 per share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Prior to Sale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4"/>
              </w:rPr>
              <w:t>Following</w:t>
            </w: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660" w:type="dxa"/>
            <w:vAlign w:val="bottom"/>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21,068,772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25,368,772</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11.02</w:t>
            </w:r>
          </w:p>
        </w:tc>
        <w:tc>
          <w:tcPr>
            <w:tcW w:w="66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Non participating Stockholder 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21,069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21,069</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232,089</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Total investment by stockholder (assumed to be $11.72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246,977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246,977</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 to stockholder (total NAV less total investment)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(14,888)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w w:val="92"/>
              </w:rPr>
              <w:t>Investment per share held by stockholder (assumed to be $11.72 per share on shares held prior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1060"/>
              <w:spacing w:after="0"/>
              <w:rPr>
                <w:sz w:val="20"/>
                <w:szCs w:val="20"/>
                <w:color w:val="auto"/>
              </w:rPr>
            </w:pPr>
            <w:r>
              <w:rPr>
                <w:rFonts w:ascii="Arial" w:cs="Arial" w:eastAsia="Arial" w:hAnsi="Arial"/>
                <w:sz w:val="18"/>
                <w:szCs w:val="18"/>
                <w:color w:val="auto"/>
              </w:rPr>
              <w:t>to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11.72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(NAV per share less investment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Percentage dilution to stockholder (dilution per share divided by investment per share)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chart illustrates the level of dilution and accretion in the offering for a stockholder that acquires shares equal to (1) 50% of its proportionate share of the offering (i.e., 2,150 shares, which is 0.05% of the offering rather than its 0.10% proportionate share) and (2) 150% of such percentage (i.e., 6,450 shares, which is 0.15% of the offering rather than its 0.10% proportionate share). The table below is shown based upon financial information as of June 30, 2009. NAV has not been finally determined for any day after June 30, 2009. The following example assumes a sale of 4,300,000 shares at a sales price to the public of $8.00 per share with a 5.00% underwriting discount and commissions and $200,000 of expenses ($7.55 per share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Prior to Sale</w:t>
            </w: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50% Participation</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4"/>
              </w:rPr>
              <w:t>Following</w:t>
            </w:r>
          </w:p>
        </w:tc>
        <w:tc>
          <w:tcPr>
            <w:tcW w:w="58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4"/>
              </w:rPr>
              <w:t>Following</w:t>
            </w:r>
          </w:p>
        </w:tc>
        <w:tc>
          <w:tcPr>
            <w:tcW w:w="920" w:type="dxa"/>
            <w:vAlign w:val="bottom"/>
            <w:gridSpan w:val="2"/>
          </w:tcPr>
          <w:p>
            <w:pPr>
              <w:jc w:val="right"/>
              <w:ind w:right="13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Sale</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8.00</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7.55</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21,068,772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25,368,772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25,368,772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NAV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11.02</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(6.03)%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Stockholder A</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23,219</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246,977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255,773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w w:val="93"/>
              </w:rPr>
              <w:t>Total investment by stockholder (assumed to be $11.72 per share 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1060"/>
              <w:spacing w:after="0"/>
              <w:rPr>
                <w:sz w:val="20"/>
                <w:szCs w:val="20"/>
                <w:color w:val="auto"/>
              </w:rPr>
            </w:pPr>
            <w:r>
              <w:rPr>
                <w:rFonts w:ascii="Arial" w:cs="Arial" w:eastAsia="Arial" w:hAnsi="Arial"/>
                <w:sz w:val="18"/>
                <w:szCs w:val="18"/>
                <w:color w:val="auto"/>
              </w:rPr>
              <w:t>shares held prior to sale)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246,977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264,177</w:t>
            </w:r>
          </w:p>
        </w:tc>
        <w:tc>
          <w:tcPr>
            <w:tcW w:w="580" w:type="dxa"/>
            <w:vAlign w:val="bottom"/>
          </w:tcPr>
          <w:p>
            <w:pPr>
              <w:jc w:val="right"/>
              <w:spacing w:after="0"/>
              <w:rPr>
                <w:sz w:val="20"/>
                <w:szCs w:val="20"/>
                <w:color w:val="auto"/>
              </w:rPr>
            </w:pPr>
            <w:r>
              <w:rPr>
                <w:rFonts w:ascii="Arial" w:cs="Arial" w:eastAsia="Arial" w:hAnsi="Arial"/>
                <w:sz w:val="18"/>
                <w:szCs w:val="18"/>
                <w:color w:val="auto"/>
              </w:rPr>
              <w:t>6.96%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298,577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(dilution)/accretion to stockholder (total NAV less total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(8,404)</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98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11.02</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w w:val="92"/>
              </w:rPr>
              <w:t>Investment per share held by stockholder (assumed to be $11.72 per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1060"/>
              <w:spacing w:after="0"/>
              <w:rPr>
                <w:sz w:val="20"/>
                <w:szCs w:val="20"/>
                <w:color w:val="auto"/>
              </w:rPr>
            </w:pPr>
            <w:r>
              <w:rPr>
                <w:rFonts w:ascii="Arial" w:cs="Arial" w:eastAsia="Arial" w:hAnsi="Arial"/>
                <w:sz w:val="18"/>
                <w:szCs w:val="18"/>
                <w:color w:val="auto"/>
              </w:rPr>
              <w:t>share on shares held prior to sale)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11.38</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(2.94)%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(Dilution)/accretion per share held by stockholder (NAV per share less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(0.36)</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w w:val="94"/>
              </w:rPr>
              <w:t>Percentage (dilution)/accretion to stockholder (dilution/accretion per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divided by investment per share)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(3.18)%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80" w:type="dxa"/>
            <w:vAlign w:val="bottom"/>
          </w:tcPr>
          <w:p>
            <w:pPr>
              <w:ind w:left="5520"/>
              <w:spacing w:after="0"/>
              <w:rPr>
                <w:sz w:val="20"/>
                <w:szCs w:val="20"/>
                <w:color w:val="auto"/>
              </w:rPr>
            </w:pPr>
            <w:r>
              <w:rPr>
                <w:rFonts w:ascii="Arial" w:cs="Arial" w:eastAsia="Arial" w:hAnsi="Arial"/>
                <w:sz w:val="18"/>
                <w:szCs w:val="18"/>
                <w:color w:val="auto"/>
              </w:rPr>
              <w:t>S-20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following chart illustrates the level of dilution or accretion for new investors that will be experienced by a new investor who purchases the same percentage (0.10%) of the shares in the offering as the stockholder in the prior examples held immediately prior to the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discounts increases. It is not possible to predict the level of market price decline that may occur. The table below is shown based upon financial information as of June 30, 2009. NAV has not been finally determined for any day after June 30, 2009. The following example assumes a sale of 4,300,000 shares at a sales price to the public of $8.00 per share with a 5.00% underwriting discount and commissions and $200,000 of expenses ($7.55 per share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Prior to Sale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Following</w:t>
            </w:r>
          </w:p>
        </w:tc>
        <w:tc>
          <w:tcPr>
            <w:tcW w:w="11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Below NAV</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Sale</w:t>
            </w:r>
          </w:p>
        </w:tc>
        <w:tc>
          <w:tcPr>
            <w:tcW w:w="5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21,068,772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25,368,772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Accretion to New Stockholder 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Total investment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34,400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accretion to stockholder (total NAV less total investment)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per share held by stockholder (NAV per share less investment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Percentage accretion to stockholder (accretion per share divided by investment per share)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960" w:type="dxa"/>
            <w:vAlign w:val="bottom"/>
          </w:tcPr>
          <w:p>
            <w:pPr>
              <w:ind w:left="5520"/>
              <w:spacing w:after="0"/>
              <w:rPr>
                <w:sz w:val="20"/>
                <w:szCs w:val="20"/>
                <w:color w:val="auto"/>
              </w:rPr>
            </w:pPr>
            <w:r>
              <w:rPr>
                <w:rFonts w:ascii="Arial" w:cs="Arial" w:eastAsia="Arial" w:hAnsi="Arial"/>
                <w:sz w:val="18"/>
                <w:szCs w:val="18"/>
                <w:color w:val="auto"/>
              </w:rPr>
              <w:t>S-21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16,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intend to offer the shares through the underwriters named in the table below. SunTrust Robinson Humphrey, Inc. and BMO Capital Markets Corp.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4,300,000 shares of our common stock.</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Number 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220" w:type="dxa"/>
            <w:vAlign w:val="bottom"/>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r>
      <w:tr>
        <w:trPr>
          <w:trHeight w:val="223"/>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1,935,000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980" w:type="dxa"/>
            <w:vAlign w:val="bottom"/>
          </w:tcPr>
          <w:p>
            <w:pPr>
              <w:jc w:val="right"/>
              <w:spacing w:after="0"/>
              <w:rPr>
                <w:sz w:val="20"/>
                <w:szCs w:val="20"/>
                <w:color w:val="auto"/>
              </w:rPr>
            </w:pPr>
            <w:r>
              <w:rPr>
                <w:rFonts w:ascii="Arial" w:cs="Arial" w:eastAsia="Arial" w:hAnsi="Arial"/>
                <w:sz w:val="18"/>
                <w:szCs w:val="18"/>
                <w:color w:val="auto"/>
              </w:rPr>
              <w:t>860,000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FBR Capital Markets &amp; Co</w:t>
            </w:r>
          </w:p>
        </w:tc>
        <w:tc>
          <w:tcPr>
            <w:tcW w:w="980" w:type="dxa"/>
            <w:vAlign w:val="bottom"/>
          </w:tcPr>
          <w:p>
            <w:pPr>
              <w:jc w:val="right"/>
              <w:spacing w:after="0"/>
              <w:rPr>
                <w:sz w:val="20"/>
                <w:szCs w:val="20"/>
                <w:color w:val="auto"/>
              </w:rPr>
            </w:pPr>
            <w:r>
              <w:rPr>
                <w:rFonts w:ascii="Arial" w:cs="Arial" w:eastAsia="Arial" w:hAnsi="Arial"/>
                <w:sz w:val="18"/>
                <w:szCs w:val="18"/>
                <w:color w:val="auto"/>
              </w:rPr>
              <w:t>344,000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980" w:type="dxa"/>
            <w:vAlign w:val="bottom"/>
          </w:tcPr>
          <w:p>
            <w:pPr>
              <w:jc w:val="right"/>
              <w:spacing w:after="0"/>
              <w:rPr>
                <w:sz w:val="20"/>
                <w:szCs w:val="20"/>
                <w:color w:val="auto"/>
              </w:rPr>
            </w:pPr>
            <w:r>
              <w:rPr>
                <w:rFonts w:ascii="Arial" w:cs="Arial" w:eastAsia="Arial" w:hAnsi="Arial"/>
                <w:sz w:val="18"/>
                <w:szCs w:val="18"/>
                <w:color w:val="auto"/>
              </w:rPr>
              <w:t>344,000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Natixis Bleichroeder Inc.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4,300,000</w:t>
            </w:r>
          </w:p>
        </w:tc>
      </w:tr>
      <w:tr>
        <w:trPr>
          <w:trHeight w:val="20"/>
        </w:trPr>
        <w:tc>
          <w:tcPr>
            <w:tcW w:w="3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underwriters have agreed that they must purchase all of the shares sold under the purchase agreement if they purchase any of them. However, the underwriters are not required to take or pay for the shares covered by the underwriters’ overallotment option described below.</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 supplement and to dealers at that price less a concession not in excess of $0.22 per share. The underwriters may allow, and the dealers may reallow, a discount not in excess of $0.00 per share to other dealers. After the public offering, the public offering price, concession and discount may be changed.</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645,000 shares.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Without Option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8"/>
              </w:rPr>
              <w:t>With Option</w:t>
            </w:r>
          </w:p>
        </w:tc>
        <w:tc>
          <w:tcPr>
            <w:tcW w:w="2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34,400,000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39,560,000</w:t>
            </w:r>
          </w:p>
        </w:tc>
        <w:tc>
          <w:tcPr>
            <w:tcW w:w="2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Underwriting discount</w:t>
            </w:r>
          </w:p>
        </w:tc>
        <w:tc>
          <w:tcPr>
            <w:tcW w:w="314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1,720,000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1,978,000</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3"/>
              </w:rPr>
              <w:t>Proceeds, before expenses, to PennantPark Investment Corporation</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32,680,000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37,582,000</w:t>
            </w:r>
          </w:p>
        </w:tc>
        <w:tc>
          <w:tcPr>
            <w:tcW w:w="20" w:type="dxa"/>
            <w:vAlign w:val="bottom"/>
          </w:tcPr>
          <w:p>
            <w:pPr>
              <w:spacing w:after="0"/>
              <w:rPr>
                <w:sz w:val="18"/>
                <w:szCs w:val="18"/>
                <w:color w:val="auto"/>
              </w:rPr>
            </w:pPr>
          </w:p>
        </w:tc>
      </w:tr>
      <w:tr>
        <w:trPr>
          <w:trHeight w:val="363"/>
        </w:trPr>
        <w:tc>
          <w:tcPr>
            <w:tcW w:w="5140" w:type="dxa"/>
            <w:vAlign w:val="bottom"/>
          </w:tcPr>
          <w:p>
            <w:pPr>
              <w:spacing w:after="0"/>
              <w:rPr>
                <w:sz w:val="24"/>
                <w:szCs w:val="24"/>
                <w:color w:val="auto"/>
              </w:rPr>
            </w:pPr>
          </w:p>
        </w:tc>
        <w:tc>
          <w:tcPr>
            <w:tcW w:w="3140" w:type="dxa"/>
            <w:vAlign w:val="bottom"/>
            <w:gridSpan w:val="2"/>
          </w:tcPr>
          <w:p>
            <w:pPr>
              <w:ind w:left="400"/>
              <w:spacing w:after="0"/>
              <w:rPr>
                <w:sz w:val="20"/>
                <w:szCs w:val="20"/>
                <w:color w:val="auto"/>
              </w:rPr>
            </w:pPr>
            <w:r>
              <w:rPr>
                <w:rFonts w:ascii="Arial" w:cs="Arial" w:eastAsia="Arial" w:hAnsi="Arial"/>
                <w:sz w:val="18"/>
                <w:szCs w:val="18"/>
                <w:color w:val="auto"/>
              </w:rPr>
              <w:t>S-23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payable by us, not including underwriting discounts and commissions, will be approximately $200,000.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granted an option to the underwriters to purchase up to 645,000 additional shares at the public offering price less the underwriting discount. The underwriters may exercise this option for 30 days from the date of this prospectus solely to cover any overallotments. If the underwriters exercise this option, they will be obligated, subject to conditions contained in the purchase agreement, to purchase the additional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30 days after the date of this prospectus without first obtaining the written consent of SunTrust Robinson Humphrey, Inc. and BMO Capital Markets Corp.</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executive officers and directors and PennantPark Investment Corporation and certain of its affiliates have agreed, with exceptions, not to sell or transfer any common stock for 90 days after the date of this prospectus supplement without first obtaining the written consent of the representatives. Specifically, we and these other individuals and entities have agreed not to directly or indirectly:</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 allotment option. Purchases of the common stock to stabilize its price or to reduce a short position may cause the price of the common stock to be higher than it might be in the absence of such purchases.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Some of the underwriters and their affiliates were underwriters in connection with our initial public offering for which they received customary fees. Affiliates of the underwriters will receive part of the proceeds of the offering by reason of the repayment of amounts outstanding under our credit facility.</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principal business address of SunTrust Robinson Humphrey, Inc. is 3333 Peachtree Rd., NE, Atlanta, GA 30326. The principal business address of BMO Capital Markets Corp. is 3 Times Square, New York, NY 10036.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Sutherland Asbill &amp; Brennan LLP, Washington, D.C.</w:t>
      </w:r>
    </w:p>
    <w:p>
      <w:pPr>
        <w:spacing w:after="0" w:line="13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0880"/>
          </w:cols>
          <w:pgMar w:left="240" w:top="459" w:right="7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has been approved for quotation on NASDAQ Global Select Market under the symbol “PNNT”. The last reported closing price for our common stock on August 31, 2009 was $8.35 per share and our net asset value on June 30, 2009 was $11.72 per share.</w:t>
      </w:r>
    </w:p>
    <w:p>
      <w:pPr>
        <w:spacing w:after="0" w:line="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dated September 22, 2009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2"/>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SELECTED FINANCIAL DATA</w:t>
              </w:r>
            </w:hyperlink>
          </w:p>
        </w:tc>
        <w:tc>
          <w:tcPr>
            <w:tcW w:w="86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PRICE RANGE OF COMMON STOCK</w:t>
              </w:r>
            </w:hyperlink>
          </w:p>
        </w:tc>
        <w:tc>
          <w:tcPr>
            <w:tcW w:w="81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DISTRIBUTIONS</w:t>
              </w:r>
            </w:hyperlink>
          </w:p>
        </w:tc>
        <w:tc>
          <w:tcPr>
            <w:tcW w:w="9720" w:type="dxa"/>
            <w:vAlign w:val="bottom"/>
            <w:gridSpan w:val="2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BUSINESS</w:t>
              </w:r>
            </w:hyperlink>
          </w:p>
        </w:tc>
        <w:tc>
          <w:tcPr>
            <w:tcW w:w="1022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REGULATION</w:t>
              </w:r>
            </w:hyperlink>
          </w:p>
        </w:tc>
        <w:tc>
          <w:tcPr>
            <w:tcW w:w="9940" w:type="dxa"/>
            <w:vAlign w:val="bottom"/>
            <w:gridSpan w:val="3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780" w:type="dxa"/>
            <w:vAlign w:val="bottom"/>
            <w:gridSpan w:val="10"/>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we use the term “middle-market” to refer to companies with annual revenues between $50 million and $1 billion.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provided for borrowings up to $2.0 billion. During Mr. Penn’s tenure with Apollo Investment, it invested approximately $2.8 billion in 73 companies in partnership with 54 different financial sponsors.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48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60" w:hanging="325"/>
        <w:spacing w:after="0" w:line="25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Pricing on borrowings under our credit facility is set at 100 basis points over LIBOR. We believe that our substantial debt capital resources provide us with the flexibility to take advantage of market opportunities when they arise.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 See “Use of Proceeds” for information regarding our outstanding borrowings as of June 30, 2009, the corresponding interest rate charged on such borrowings as of that date and the length of time that it may take us to invest any proceeds in new or existing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the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tcPr>
          <w:p>
            <w:pPr>
              <w:spacing w:after="0" w:line="176" w:lineRule="exact"/>
              <w:rPr>
                <w:sz w:val="20"/>
                <w:szCs w:val="20"/>
                <w:color w:val="auto"/>
              </w:rPr>
            </w:pPr>
            <w:r>
              <w:rPr>
                <w:rFonts w:ascii="Arial" w:cs="Arial" w:eastAsia="Arial" w:hAnsi="Arial"/>
                <w:sz w:val="18"/>
                <w:szCs w:val="18"/>
                <w:color w:val="auto"/>
              </w:rPr>
              <w:t>Sales load (as a percentage of offering price)</w:t>
            </w:r>
          </w:p>
        </w:tc>
        <w:tc>
          <w:tcPr>
            <w:tcW w:w="6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40" w:type="dxa"/>
            <w:vAlign w:val="bottom"/>
            <w:gridSpan w:val="2"/>
            <w:vMerge w:val="continue"/>
          </w:tcPr>
          <w:p>
            <w:pPr>
              <w:spacing w:after="0"/>
              <w:rPr>
                <w:sz w:val="15"/>
                <w:szCs w:val="15"/>
                <w:color w:val="auto"/>
              </w:rPr>
            </w:pPr>
          </w:p>
        </w:tc>
        <w:tc>
          <w:tcPr>
            <w:tcW w:w="6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7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Management fees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3.25%</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2.26%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2.06%</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1.66%</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40" w:type="dxa"/>
            <w:vAlign w:val="bottom"/>
            <w:gridSpan w:val="2"/>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9.23%</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June 30,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6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780"/>
        <w:spacing w:after="0" w:line="259" w:lineRule="auto"/>
        <w:rPr>
          <w:sz w:val="20"/>
          <w:szCs w:val="20"/>
          <w:color w:val="auto"/>
        </w:rPr>
      </w:pPr>
      <w:r>
        <w:rPr>
          <w:rFonts w:ascii="Arial" w:cs="Arial" w:eastAsia="Arial" w:hAnsi="Arial"/>
          <w:sz w:val="18"/>
          <w:szCs w:val="18"/>
          <w:color w:val="auto"/>
        </w:rPr>
        <w:t>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59" w:lineRule="exact"/>
        <w:rPr>
          <w:sz w:val="20"/>
          <w:szCs w:val="20"/>
          <w:color w:val="auto"/>
        </w:rPr>
      </w:pPr>
    </w:p>
    <w:p>
      <w:pPr>
        <w:ind w:left="460" w:right="100" w:hanging="452"/>
        <w:spacing w:after="0" w:line="29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the “Consolidated Statement of Operations” in our financial statements.</w:t>
      </w:r>
    </w:p>
    <w:p>
      <w:pPr>
        <w:spacing w:after="0" w:line="18"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5.68% of total assets. For a presentation and calculation of total annual expenses based on total assets, see page 37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6.97%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$ 110</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$ 239</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$ 362</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649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to circumstances that we may be unable to control, such as a protracted disruption in the credit markets, a severe decline in the value of the United States dollar, a sharp economic downturn or an operational problem that affects third parties or us, and could materially damage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For example, during the fiscal year ended September 30, 2008, net unrealized depreciation in our portfolio increased and, given the further deterioration in public debt and equity markets and pricing levels subsequent to this period, net unrealized depreciation in our portfolio may continue to increase in the future. Further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current market developments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determination of our board of directors, then, at fair value as determined in good faith by or under the direction of our board of directors. Decreases in the market values or fair values of our investments will be recorded as unrealized depreciation. The fair value of our portfolio companies on the whole has decreased substantially over the past two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our credit facility in accordance with our investment objectives.</w:t>
      </w:r>
    </w:p>
    <w:p>
      <w:pPr>
        <w:spacing w:after="0" w:line="182"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make long-term, subordinated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Mr. Penn, our Chief Executive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Officer and the Managing Member of our Investment Adviser, has had more than two years of experience managing the investments of PennantPark Investment and approximately three years of experience managing another business development company. However, current market conditions and 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 of income,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and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40" w:hanging="325"/>
        <w:spacing w:after="0" w:line="28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right="24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312" w:lineRule="auto"/>
        <w:rPr>
          <w:sz w:val="20"/>
          <w:szCs w:val="20"/>
          <w:color w:val="auto"/>
        </w:rPr>
      </w:pPr>
      <w:r>
        <w:rPr>
          <w:rFonts w:ascii="Arial" w:cs="Arial" w:eastAsia="Arial" w:hAnsi="Arial"/>
          <w:sz w:val="15"/>
          <w:szCs w:val="15"/>
          <w:color w:val="auto"/>
        </w:rPr>
        <w:t>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utilize a revolving five-year, $300 million credit facility to make investments in our portfolio companies. Our credit facility expires in June</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preferred stock. Our ability to service any debt that we incur depends largely on our financial performance and is subject to prevailing economic conditions and competitive pressures.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June 30, 2009 we had outstanding borrowings of $187.3 million under our credit facility with an annual interest rate at that time of 1.31%. Accordingly, to cover the annual interest on our borrowings outstanding at June 30, 2009 at the then current rate we would have to receive an annual return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June 30, 2009 of 33% of our total assets (including such borrowed funds), at the weighted average annual interest rate of 1.31%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June 30, 2009, the applicable LIBOR rate has decreased from 5.32% to 0.31%.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8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is also a risk that, in the event of a sharp decline in the value of our net assets, we would be in danger of failing to maintain required asset coverage ratios which may be required by the preferred stock and/or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6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We have obtained, and in the future we may again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5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August 25, 2009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exposed to risks associated with changes in interest rates.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the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partners of our Investment Adviser may serve as officers, directors or principals of entities that operate in the same or a related line of business as we do or of investment funds managed by affiliates of PennantPark Investment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Level 3 under Statement of Financial Accounting Standards, or SFAS, 157, </w:t>
      </w:r>
      <w:r>
        <w:rPr>
          <w:rFonts w:ascii="Arial" w:cs="Arial" w:eastAsia="Arial" w:hAnsi="Arial"/>
          <w:sz w:val="16"/>
          <w:szCs w:val="16"/>
          <w:i w:val="1"/>
          <w:iCs w:val="1"/>
          <w:color w:val="auto"/>
        </w:rPr>
        <w:t>Fair Value Measurement</w:t>
      </w:r>
      <w:r>
        <w:rPr>
          <w:rFonts w:ascii="Arial" w:cs="Arial" w:eastAsia="Arial" w:hAnsi="Arial"/>
          <w:sz w:val="16"/>
          <w:szCs w:val="16"/>
          <w:color w:val="auto"/>
        </w:rPr>
        <w:t>, or collectively SFAS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June 30,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We have made and expect to continue to make selected equity investments. In addition, when we invest in senior secured loans or</w:t>
      </w:r>
      <w:r>
        <w:rPr>
          <w:rFonts w:ascii="Arial" w:cs="Arial" w:eastAsia="Arial" w:hAnsi="Arial"/>
          <w:sz w:val="15"/>
          <w:szCs w:val="15"/>
          <w:i w:val="1"/>
          <w:iCs w:val="1"/>
          <w:color w:val="auto"/>
        </w:rPr>
        <w:t xml:space="preserve"> </w:t>
      </w:r>
      <w:r>
        <w:rPr>
          <w:rFonts w:ascii="Arial" w:cs="Arial" w:eastAsia="Arial" w:hAnsi="Arial"/>
          <w:sz w:val="15"/>
          <w:szCs w:val="15"/>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370"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60"/>
        <w:spacing w:after="0" w:line="332" w:lineRule="auto"/>
        <w:rPr>
          <w:sz w:val="20"/>
          <w:szCs w:val="20"/>
          <w:color w:val="auto"/>
        </w:rPr>
      </w:pPr>
      <w:r>
        <w:rPr>
          <w:rFonts w:ascii="Arial" w:cs="Arial" w:eastAsia="Arial" w:hAnsi="Arial"/>
          <w:sz w:val="16"/>
          <w:szCs w:val="16"/>
          <w:color w:val="auto"/>
        </w:rPr>
        <w:t>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8" w:lineRule="exact"/>
        <w:rPr>
          <w:sz w:val="20"/>
          <w:szCs w:val="20"/>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120"/>
        <w:spacing w:after="0" w:line="361" w:lineRule="auto"/>
        <w:rPr>
          <w:sz w:val="20"/>
          <w:szCs w:val="20"/>
          <w:color w:val="auto"/>
        </w:rPr>
      </w:pPr>
      <w:r>
        <w:rPr>
          <w:rFonts w:ascii="Arial" w:cs="Arial" w:eastAsia="Arial" w:hAnsi="Arial"/>
          <w:sz w:val="15"/>
          <w:szCs w:val="15"/>
          <w:b w:val="1"/>
          <w:bCs w:val="1"/>
          <w:color w:val="auto"/>
        </w:rPr>
        <w:t>We are a non-diversified investment company within the meaning of the 1940 Act. The 1940 Act does not limit the proportion of our assets that may be invested in securities of a single issuer, although we are required to diversify our assets in order to meet the requirements for a RIC under the Code.</w:t>
      </w:r>
    </w:p>
    <w:p>
      <w:pPr>
        <w:ind w:right="10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As a RIC, we are required to diversify our assets, but we do not have any fixed guidelines for diversification under the 1940 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1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common stockholders may receive our stock as dividends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before December 31, 2009 and (3) each shareholder may elect to receive his or her entire distribution in either cash or stock of the regulated investment company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$7.10 and $7.41 as of June 30, 2009 and September 30, 2008, respectively. Our NAV was $11.72 and $10.00, as of June 30, 2009 and September 30,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 million credit facility. Borrowings under our credit facility bear an annual interest rate equal to LIBOR + 100 basis points, per annum. At June 30, 2009, this corresponded to an interest rate of 1.31%. The credit facility is a five-year revolving facility with a stated maturity date of June 25, 2012 and is secured by substantially all of the assets in our investment portfolio.</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intend to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would expect to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 Temporary Investments” for additional information about temporary investments we may make prior to investing in core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derived the quarterly financial information below from our unaudited financial data and, in the opinion of management, such information reflects all adjustments (consisting of normal recurring adjustments) that are necessary to present fairly the results of such interim periods. Interim results as of and for the nine months ended June 30, 2009 are not necessarily indicative of the results that may be expected for the year ending September 30, 2009. The Statement of operations data, Per share data and Balance sheet data for the year ended September 30, 2008 and for the period from January 11, 2007 (Inception)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5"/>
              </w:rPr>
              <w:t>Year ended</w:t>
            </w:r>
          </w:p>
        </w:tc>
        <w:tc>
          <w:tcPr>
            <w:tcW w:w="46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 w:type="dxa"/>
            <w:vAlign w:val="bottom"/>
          </w:tcPr>
          <w:p>
            <w:pPr>
              <w:spacing w:after="0"/>
              <w:rPr>
                <w:sz w:val="14"/>
                <w:szCs w:val="14"/>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7"/>
              </w:rPr>
              <w:t>June 30, 2009</w:t>
            </w:r>
          </w:p>
        </w:tc>
        <w:tc>
          <w:tcPr>
            <w:tcW w:w="4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4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7"/>
              </w:rPr>
              <w:t>(Unaudited)</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(Audited)</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(Audited)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33,271</w:t>
            </w:r>
          </w:p>
        </w:tc>
        <w:tc>
          <w:tcPr>
            <w:tcW w:w="620" w:type="dxa"/>
            <w:vAlign w:val="bottom"/>
          </w:tcPr>
          <w:p>
            <w:pPr>
              <w:spacing w:after="0"/>
              <w:rPr>
                <w:sz w:val="18"/>
                <w:szCs w:val="18"/>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39,811</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21,676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16,570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21,255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18,556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(7,078)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(59,259)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(40,703)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0.79</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0.88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(1.93)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401,103</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419,811</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393,138</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372,148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134,058</w:t>
            </w:r>
            <w:r>
              <w:rPr>
                <w:rFonts w:ascii="Arial" w:cs="Arial" w:eastAsia="Arial" w:hAnsi="Arial"/>
                <w:sz w:val="11"/>
                <w:szCs w:val="11"/>
                <w:color w:val="auto"/>
              </w:rPr>
              <w:t>(4)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202,000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7,082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246,977</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210,728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270,393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10.88%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(38.58)%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Yield on debt portfolio (at period end)</w:t>
            </w:r>
          </w:p>
        </w:tc>
        <w:tc>
          <w:tcPr>
            <w:tcW w:w="12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10.40%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11.10%</w:t>
            </w:r>
            <w:r>
              <w:rPr>
                <w:rFonts w:ascii="Arial" w:cs="Arial" w:eastAsia="Arial" w:hAnsi="Arial"/>
                <w:sz w:val="11"/>
                <w:szCs w:val="11"/>
                <w:color w:val="auto"/>
              </w:rPr>
              <w:t>(3)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Transactions-Investment Advisory Fees.”</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and takes into account dividends and distributions, if any, reinvested in accordance with our dividend reinvestment plan. Total return is not annualized.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Unaudited.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Q3</w:t>
            </w: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$10,770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$ 12,077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5,768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w w:val="94"/>
              </w:rPr>
              <w:t>$ (6,486)</w:t>
            </w: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10.24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Q3</w:t>
            </w:r>
          </w:p>
        </w:tc>
        <w:tc>
          <w:tcPr>
            <w:tcW w:w="320" w:type="dxa"/>
            <w:vAlign w:val="bottom"/>
            <w:gridSpan w:val="3"/>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58"/>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11,431</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9,662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9,714</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9,004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5,434</w:t>
            </w: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4,449</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4,732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(16,475)</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6"/>
              </w:rPr>
              <w:t>$11,263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(37,778)</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(11,041)</w:t>
            </w: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w w:val="86"/>
              </w:rPr>
              <w:t>$15,204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w w:val="85"/>
              </w:rPr>
              <w:t>$ (33,329)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(0.53)</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(1.58)</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12.07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7.41</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10.02</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2"/>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4,348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w w:val="85"/>
              </w:rPr>
              <w:t>$ (18,870)</w:t>
            </w: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2"/>
              </w:rPr>
              <w:t>$(5,152)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7"/>
          </w:tcPr>
          <w:p>
            <w:pPr>
              <w:jc w:val="right"/>
              <w:ind w:right="180"/>
              <w:spacing w:after="0"/>
              <w:rPr>
                <w:sz w:val="20"/>
                <w:szCs w:val="20"/>
                <w:color w:val="auto"/>
              </w:rPr>
            </w:pPr>
            <w:r>
              <w:rPr>
                <w:rFonts w:ascii="Arial" w:cs="Arial" w:eastAsia="Arial" w:hAnsi="Arial"/>
                <w:sz w:val="18"/>
                <w:szCs w:val="18"/>
                <w:color w:val="auto"/>
                <w:w w:val="85"/>
              </w:rPr>
              <w:t>$ (14,522)</w:t>
            </w:r>
          </w:p>
        </w:tc>
        <w:tc>
          <w:tcPr>
            <w:tcW w:w="18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w w:val="92"/>
              </w:rPr>
              <w:t>$(1,944)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Although the base management fee is 2.00% of average adjusted gross total assets, the Investment Adviser agreed to waive a portion of the base management fee. As a result, the base management fee equaled 1.50% from the consummation of the initial public offering through September 30, 2007 and 1.75% from October 1, 2007 through March 31, 2008. The base management fee has been 2.00% since March 31,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includes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9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960" w:type="dxa"/>
            <w:vAlign w:val="bottom"/>
            <w:gridSpan w:val="3"/>
          </w:tcPr>
          <w:p>
            <w:pPr>
              <w:ind w:left="3320"/>
              <w:spacing w:after="0"/>
              <w:rPr>
                <w:sz w:val="20"/>
                <w:szCs w:val="20"/>
                <w:color w:val="auto"/>
              </w:rPr>
            </w:pPr>
            <w:r>
              <w:rPr>
                <w:rFonts w:ascii="Arial" w:cs="Arial" w:eastAsia="Arial" w:hAnsi="Arial"/>
                <w:sz w:val="18"/>
                <w:szCs w:val="18"/>
                <w:color w:val="auto"/>
                <w:w w:val="96"/>
              </w:rPr>
              <w:t>1.39%</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9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w w:val="96"/>
              </w:rPr>
              <w:t>1.27%</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3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1.02%</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3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23"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our “Consolidated Statement of Operations” in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our investments (other than cash and cash equivalents) and long-term credit facility are classified as Level 3.</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115</w:t>
      </w:r>
      <w:r>
        <w:rPr>
          <w:rFonts w:ascii="Arial" w:cs="Arial" w:eastAsia="Arial" w:hAnsi="Arial"/>
          <w:sz w:val="16"/>
          <w:szCs w:val="16"/>
          <w:color w:val="auto"/>
        </w:rPr>
        <w:t>. This statement permits an entity to choose to measure many financial instruments and certain other items at fair value. This statement applies to all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30, 2009, our portfolio totaled $393.1 million and consisted of $98.8 million of senior secured loans, $111.2 million of second lien secured debt, $156.0 million of subordinated debt, $10.3 million of preferred equity and $16.8 million of common equity investments. Our core assets totaled $346.3 million and consisted of investments in twenty-five different companies with an average investment size of $13.9 million per company and a weighted average yield of 11.6% on debt investments. Our non-core senior secured loan portfolio totaled $46.8 million and consisted of thirteen different companies (including one company also in our core portfolio) with an average investment size of $3.6 million and a weighted average yield of 3.3% on debt investments. Of our debt portfolio, 51% were invested in fixed-rate investments (or contained a LIBOR floor) and 49% in variable-rate investments. Overall, the portfolio had an unrealized depreciation of $59.7 million as of June 30, 2009. Our overall portfolio consisted of thirty-seven companies with an average investment size of $10.6 million and a weighted average yield on debt investments of 10.4%, and was invested 25% in senior secured loans, 28% in second lien secured debt, 40% in subordinated debt, 3% in preferred equity and 4% in common equity investments.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September 30, 2008, our portfolio totaled $372.1 million and consisted of $78.8 million of senior secured loans, $104.2 million of second lien secured debt, $166.2 million of subordinated debt, $9.3 million of preferred equity and $13.6 million of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on debt investments. Of our debt portfolio, 45% were invested in fixed-rate investments and 55% in variable-rate investments. Overall, our portfolio had an unrealized depreciation of $72.0 million as of September 30, 2008. Our overall portfolio consisted of thirty-seven companies with an average investment size of $10.1 million and a weighted average yield on debt investments of 11.1%, and was invested 21% in senior secured loans, 28% in second lien secured debt, 45% in subordinated debt, 2% in preferred equity and 4% in common equity investments.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September 30, 2007 our portfolio totaled $291.0 million and consisted of $57.3 million of subordinated debt, $67.8 million of second lien secured debt, $7.0 million of equity investments and $158.9 million of senior secured loans. On September 30, 2007, our core assets totaled $132.1 million and consisted of investments in eight different companies with an average investment size of $16.5 million per company and a weighted average yield of 13.0%. Our senior secured loan portfolio at September 30, 2007 totaled $158.9 million and consisted of 30 different companies with an average investment size of $5.3 million, and a weighted average yield of 7.5%. The overall portfolio had unrealized depreciation of $23.9 million due to recent erosion in the market prices of leveraged finance instruments. On September 30, 2007 our portfolio consisted of 38 companies and was invested 20% in subordinated debt, 23% in second lien secured debt, 2% in equity investments and 55% in senior secured loans.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Set forth below are our results of operations for the nine months ended June 30, 2009 and 2008; and for the year ended September 30, 2008 and for the period January 11, 2007 (inception) to September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Total investment income for the nine months ended June 30, 2009, was $33.3 million of which $13.6 million was attributable to senior secured loan investments, $10.6 million was attributable to second lien secured debt investments, and $7.4 million was attributable to subordinated debt investments. The remaining investment income was primarily attributable to interest income from short-term investments and to net accretion of discount and amortization of premium. The increase in investment income compared with the same period in the prior year is due to the growth of our portfolio, the transition of the portfolio from temporary to long-term core investments, offset by lower interest rates.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nine months ended June 30, 2008 was $28.4 million. Investment income for the nine months ended June 30, 2008 was primarily attributed to $11.6 million of interest income from senior secured loan investments; $10.5 million from our second lien secured debt investments; and $5.1 million from our subordinated debt investments. The remaining investment income was primarily attributed to interest income from short-term investments and to accretion of discount and amortization of premium.</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Interest income from senior secured loan investments totaled $16.2 million; $14.7 million from second lien secured debt investments; and $7.2 million from subordinated debt investments for the same period. The remaining investment income was primarily attributable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expenses for the nine months ended June 30, 2009 totaled $16.6 million, which consisted of a base management fee which totaled $5.5 million, performance-based incentive fees which totaled $4.2 million, credit facility related expenses which totaled $3.8 million and general and administrative expenses, which totaled $3.1 million.</w:t>
      </w:r>
    </w:p>
    <w:p>
      <w:pPr>
        <w:spacing w:after="0" w:line="140"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Net expenses for the nine months ended June 30, 2008 totaled $15.2 million. Of these totals, $4.4 million were attributable to credit facility related expenses and $3.6 million to general and administrative expenses, respectively. Net base management fee for the same period totaled $4.8 million and performance-based incentive fee totaled $2.4 million, respectively.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 in expenses from fiscal year 2007 to 2008 was due, primarily, to the growth of our portfolio and the incurrence of additional borrowing costs under our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expenses totaled $5.8 million for the period January 11, 2007 (inception) through September 30, 2007. Of these totals, approximately $1.8 million were for interest and other credit facility related expenses for the period January 11, 2007 (inception) through September 30, 2007. In addition, of these totals, approximately $313,000 was for non-recurring, primarily, legal and corporate tax expenses for the period January 11, 2007 (inception) through September 30, 2007. General and Administrative expenses totaled $1.7 million for the period January 11, 2007 (inception) through September 30, 2007. Net investment management fee totaled $1.9 million for the period January 11, 2007 (inception) through September 30, 2007. PennantPark Investment Advisers did not receive a management or incentive fee for its services performed on our behalf prior to the completion of our initial public offering on April 24,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investment income totaled $16.7 million or $0.79 per share for the nine months ended June 30, 2009. Net investment income totaled $13.1 million or $0.62 per share for the nine months ended June 30, 2008.</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investment income totaled $18.6 million or $0.88 per share, for the fiscal year ended September 30, 2008, and $7.3 million or $0.35 per share for the period from January 11, 2007 (inception) through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Sales and repayments of long-term investments for the nine months ended June 30, 2009 totaled $12.9 million and realized losses totaled $30.8 million.</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Sales and repayments of long-term investments for the nine months ended June 30, 2008 totaled $14.4 million and net realized losses totaled approximately $621,000, respectively.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Sales and repayments of long-term investments for the fiscal year ended September 30, 2008 totaled $70.1 million and net realized losses totaled $11.2 million due to sale of senior secured loans.</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had investment sales of senior secured loans totaling $99.6 million for the period January 11, 2007 (inception) through September 30, 2007. Net realized losses totaled approximately $82,000 for the period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Appreciation/Depreciation on Investments, Cash Equivalents and Credit Facility</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nine months ended June 30, 2009, our investments had a net change in unrealized appreciation of $12.3 million. For the nine months ended June 30, 2009, our credit facility had a net change in unrealized depreciation of $11.4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and cash equivalents had a net (decrease) in unrealized appreciation of ($42.2) million for the nine months ended June 30, 2008.</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unrealized depreciation on investments totaled $48.1 million for the fiscal year ended September 30,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unrealized depreciation on investments totaled $23.9 million for the period January 11, 2007 (inception) through September 30,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For the nine months ended June 30, 2009 there was a net increase of $9.6 million or $0.45 per share, respectively, primarily due to an increase in investment values offset by a net decline in market value of our credit facility over the past nine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(decrease) in net assets resulting from operations totaled ($29.7) million or ($1.40) per share, for the nine months ended June 30, 2008, respectively.</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$40.7 million, or $1.93 per share, for the fiscal year ended September 30, 2008, primarily due to the overall decline in market values for investments held in our portfolio.</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net decrease in net assets resulting from operations totaled $16.7 million for the period January 11, 2007 (inception) through September 30, 2007 or $0.80 cents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June 25, 2007, we entered into a senior secured revolving credit agreement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June 30, 2009, we had outstanding borrowings of $187.3 million under our credit facility with an annual interest rate of 1.31%.</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right="120" w:firstLine="8"/>
        <w:spacing w:after="0" w:line="288" w:lineRule="auto"/>
        <w:tabs>
          <w:tab w:leader="none" w:pos="2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PennantPark Investment’s liquidity and capital resources are also generated and available from cash flows from operations, including investment sales and repayments of senior and subordinated loans, and net investment income.</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June 30, 2009, PennantPark Investment had $187.3 million borrowings under our senior secured revolving credit facility, and $112.7 million remained available subject to maintenance of at least a 200% ratio of our total assets less liabilities other than indebtedness to our indebtedness, maintenance of a blended percentage of the values of our portfolio companies, and restrictions on certain payments and issuance of debt. In the future, PennantPark Investment may raise additional equity or debt capital through a registered offering off a shelf registration or may securitize a portion of its investments among other considerations. Equity capital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difficult to raise because, subject to some limited exceptions, we are not generally able to issue and sell our common stock at a price below net asset value per share, unless we obtain shareholder approval. In addition, debt capital, to the extent it is available under stressed credit market conditions, may be issued at a higher cost and on less favorable terms and conditions. Furthermore, if the valuations of our portfolio companies continue to fall significantly from their present values, we may suffer reduced availability under our credit facility because such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Subsequent to June 30, 2009 and through the date of this report, economic conditions in the United States have continued to be weak. As a result our net asset value may decline.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June 30, 2009, we had $0.5 million in cash equivalents. During the nine months ended June 30,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$9.8 million for the nine months ended June 30, 2009. Our financing activities resulted in a net cash outflow of cash of $29.9 million for the same periods, primarily from repayments under our credit facility.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30, 2008, we had $40.2 million in cash equivalents. During the twelve months ended September 30,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use of cash of $390.7 million for the fiscal year ended September 30, 2008, and our financing activities resulted in a net inflow of cash of $173.0 million for the same period, primarily from borrowings under our credit facility.</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September 30, 2007, we had $258.0 million in cash equivalents. Our operating activities resulted in a net outflow of cash equal to $37.9 million for the period from January 11, 2007 (inception) through September 30, 2007 and our financing activities resulted in a net inflow of cash of $295.8 million for the same period, primarily from the issuance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June 30, 2009 a summary of our significant contractual payment obligations for the repayment of outstanding borrowing under our credit facility maturing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w:t>
            </w: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6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1080" w:hanging="5612"/>
        <w:spacing w:after="0" w:line="440" w:lineRule="auto"/>
        <w:tabs>
          <w:tab w:leader="none" w:pos="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30, 2009, $112.7 million unused under our credit facility, subject to maintenance of the applicable total assets to debt ratio of 200%. 45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On April 17, 2007 we entered an Investment Management Agreement which was renewed in February 2009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Administration Agreement dated April 17, 2007, which was renewed in February, 2009,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(“SFAS 159”). This statement permits an entity to elect to measure many financial instruments and certain other items at fair value. This statement applies to</w:t>
      </w:r>
      <w:r>
        <w:rPr>
          <w:rFonts w:ascii="Arial" w:cs="Arial" w:eastAsia="Arial" w:hAnsi="Arial"/>
          <w:sz w:val="16"/>
          <w:szCs w:val="16"/>
          <w:i w:val="1"/>
          <w:iCs w:val="1"/>
          <w:color w:val="auto"/>
        </w:rPr>
        <w:t xml:space="preserve"> </w:t>
      </w:r>
      <w:r>
        <w:rPr>
          <w:rFonts w:ascii="Arial" w:cs="Arial" w:eastAsia="Arial" w:hAnsi="Arial"/>
          <w:sz w:val="16"/>
          <w:szCs w:val="16"/>
          <w:color w:val="auto"/>
        </w:rPr>
        <w:t>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our statement of operations. We have not elected to apply SFAS 159 to any other financial assets or liabilities.</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157-4”), which provides further clarification for the application of SFAS</w:t>
      </w:r>
      <w:r>
        <w:rPr>
          <w:rFonts w:ascii="Arial" w:cs="Arial" w:eastAsia="Arial" w:hAnsi="Arial"/>
          <w:sz w:val="16"/>
          <w:szCs w:val="16"/>
          <w:i w:val="1"/>
          <w:iCs w:val="1"/>
          <w:color w:val="auto"/>
        </w:rPr>
        <w:t xml:space="preserve"> </w:t>
      </w:r>
      <w:r>
        <w:rPr>
          <w:rFonts w:ascii="Arial" w:cs="Arial" w:eastAsia="Arial" w:hAnsi="Arial"/>
          <w:sz w:val="16"/>
          <w:szCs w:val="16"/>
          <w:color w:val="auto"/>
        </w:rPr>
        <w:t>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order to qualify as a RIC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nine months ended June 30, 2009 and June 30, 2008 we paid to stockholders distributions of $0.72 and $0.66 per share, respectively, for a total distribution of $15.2 million and $13.9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each of the nine months ended June 30, 2009 and June 30, 2008, $1.2 million in dividend payments were reinvested in our common stock through open market purchases under our dividend reinvestment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June 30, 2009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September 30, 2007, September 30, 2008 and June 30, 2009. The information for September 30, 2007 and September 30, 2008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2"/>
                <w:szCs w:val="12"/>
                <w:color w:val="auto"/>
              </w:rPr>
            </w:pPr>
          </w:p>
        </w:tc>
        <w:tc>
          <w:tcPr>
            <w:tcW w:w="13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Liquidating</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Total Amount</w:t>
            </w:r>
          </w:p>
        </w:tc>
        <w:tc>
          <w:tcPr>
            <w:tcW w:w="3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682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18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Outstanding</w:t>
            </w:r>
            <w:r>
              <w:rPr>
                <w:rFonts w:ascii="Arial" w:cs="Arial" w:eastAsia="Arial" w:hAnsi="Arial"/>
                <w:sz w:val="20"/>
                <w:szCs w:val="20"/>
                <w:b w:val="1"/>
                <w:bCs w:val="1"/>
                <w:color w:val="auto"/>
                <w:vertAlign w:val="superscript"/>
              </w:rPr>
              <w:t>(1)</w:t>
            </w:r>
          </w:p>
        </w:tc>
        <w:tc>
          <w:tcPr>
            <w:tcW w:w="300" w:type="dxa"/>
            <w:vAlign w:val="bottom"/>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1"/>
              </w:rPr>
              <w:t>per Unit</w:t>
            </w:r>
            <w:r>
              <w:rPr>
                <w:rFonts w:ascii="Arial" w:cs="Arial" w:eastAsia="Arial" w:hAnsi="Arial"/>
                <w:sz w:val="20"/>
                <w:szCs w:val="20"/>
                <w:b w:val="1"/>
                <w:bCs w:val="1"/>
                <w:color w:val="auto"/>
                <w:w w:val="91"/>
                <w:vertAlign w:val="superscript"/>
              </w:rPr>
              <w:t>(2)</w:t>
            </w:r>
          </w:p>
        </w:tc>
        <w:tc>
          <w:tcPr>
            <w:tcW w:w="600" w:type="dxa"/>
            <w:vAlign w:val="bottom"/>
          </w:tcPr>
          <w:p>
            <w:pPr>
              <w:spacing w:after="0"/>
              <w:rPr>
                <w:sz w:val="15"/>
                <w:szCs w:val="15"/>
                <w:color w:val="auto"/>
              </w:rPr>
            </w:pPr>
          </w:p>
        </w:tc>
        <w:tc>
          <w:tcPr>
            <w:tcW w:w="134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Per Unit</w:t>
            </w:r>
            <w:r>
              <w:rPr>
                <w:rFonts w:ascii="Arial" w:cs="Arial" w:eastAsia="Arial" w:hAnsi="Arial"/>
                <w:sz w:val="20"/>
                <w:szCs w:val="20"/>
                <w:b w:val="1"/>
                <w:bCs w:val="1"/>
                <w:color w:val="auto"/>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Unit</w:t>
            </w:r>
            <w:r>
              <w:rPr>
                <w:rFonts w:ascii="Arial" w:cs="Arial" w:eastAsia="Arial" w:hAnsi="Arial"/>
                <w:sz w:val="20"/>
                <w:szCs w:val="20"/>
                <w:b w:val="1"/>
                <w:bCs w:val="1"/>
                <w:color w:val="auto"/>
                <w:w w:val="91"/>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2009</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June 30, 2009, unaudited)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187,300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2,034</w:t>
            </w:r>
          </w:p>
        </w:tc>
        <w:tc>
          <w:tcPr>
            <w:tcW w:w="6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2008</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2007</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September 30, 2007)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28,039</w:t>
            </w:r>
          </w:p>
        </w:tc>
        <w:tc>
          <w:tcPr>
            <w:tcW w:w="6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7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August 31, 2009, the last reported closing price of our common stock was $8.35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restart"/>
          </w:tcPr>
          <w:p>
            <w:pPr>
              <w:jc w:val="right"/>
              <w:ind w:right="54"/>
              <w:spacing w:after="0"/>
              <w:rPr>
                <w:sz w:val="20"/>
                <w:szCs w:val="20"/>
                <w:color w:val="auto"/>
              </w:rPr>
            </w:pPr>
            <w:r>
              <w:rPr>
                <w:rFonts w:ascii="Arial" w:cs="Arial" w:eastAsia="Arial" w:hAnsi="Arial"/>
                <w:sz w:val="14"/>
                <w:szCs w:val="14"/>
                <w:b w:val="1"/>
                <w:bCs w:val="1"/>
                <w:color w:val="auto"/>
                <w:w w:val="93"/>
              </w:rPr>
              <w:t>Closing Sales Price</w:t>
            </w:r>
          </w:p>
        </w:tc>
        <w:tc>
          <w:tcPr>
            <w:tcW w:w="4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High Sales</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Borders>
              <w:bottom w:val="single" w:sz="8" w:color="auto"/>
            </w:tcBorders>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gridSpan w:val="2"/>
            <w:vMerge w:val="restart"/>
          </w:tcPr>
          <w:p>
            <w:pPr>
              <w:jc w:val="center"/>
              <w:ind w:right="62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6"/>
                <w:szCs w:val="6"/>
                <w:color w:val="auto"/>
              </w:rPr>
            </w:pPr>
          </w:p>
        </w:tc>
        <w:tc>
          <w:tcPr>
            <w:tcW w:w="5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gridSpan w:val="2"/>
            <w:vMerge w:val="restart"/>
          </w:tcPr>
          <w:p>
            <w:pPr>
              <w:jc w:val="right"/>
              <w:ind w:right="240"/>
              <w:spacing w:after="0" w:line="209"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5"/>
                <w:szCs w:val="15"/>
                <w:color w:val="auto"/>
              </w:rPr>
            </w:pPr>
          </w:p>
        </w:tc>
        <w:tc>
          <w:tcPr>
            <w:tcW w:w="1220" w:type="dxa"/>
            <w:vAlign w:val="bottom"/>
            <w:gridSpan w:val="2"/>
          </w:tcPr>
          <w:p>
            <w:pPr>
              <w:jc w:val="center"/>
              <w:ind w:right="62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96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 (through August 31, 2009)</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 N/A</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$ 8.99</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$ 6.28</w:t>
            </w:r>
          </w:p>
        </w:tc>
        <w:tc>
          <w:tcPr>
            <w:tcW w:w="4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12.00</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34</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10.77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80</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12.07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120</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12.83</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115</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 $0.00107 per share is a tax return of capital</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may in the future decide to retain such capital gains for investment. In such event, the consequences of our retention of net capital gains are as described under “Material U.S. Federal Income Tax Considerations.”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1940 Act.</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Mr. Penn was the Chief Operating Officer, Apollo Investment Corporation raised approximately $930 million of gross proceeds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negotiation and execution of a senior secured credit facility with a syndicate of banks which, as amended, provided for borrowings up to $2.0 billion.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Penn’s tenure with Apollo Investment Corporation, it invested approximately $2.8 billion in 73 companies in partnership with 54 different financial sponsors.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his more than 20-year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48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diligence is designed to ensure that each prospective portfolio company will be able to meet its debt service obligations. See “Business-Investment Process-Investment Selection Criteria” and “Business-Investment Process-Due Diligence.”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We believe that our substantial debt capital resources will provide us with the flexibility to take advantage of market opportunities when they arise.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460" w:right="240" w:firstLine="443"/>
        <w:spacing w:after="0" w:line="268" w:lineRule="auto"/>
        <w:tabs>
          <w:tab w:leader="none" w:pos="10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100" w:hanging="197"/>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120" w:firstLine="443"/>
        <w:spacing w:after="0" w:line="332" w:lineRule="auto"/>
        <w:tabs>
          <w:tab w:leader="none" w:pos="10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160" w:firstLine="443"/>
        <w:spacing w:after="0" w:line="268"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ind w:left="240" w:right="60" w:firstLine="2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240" w:right="20" w:firstLine="223"/>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our investments (other than cash and cash equivalents) and long-term credit facility are classified as Level 3.</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115</w:t>
      </w:r>
      <w:r>
        <w:rPr>
          <w:rFonts w:ascii="Arial" w:cs="Arial" w:eastAsia="Arial" w:hAnsi="Arial"/>
          <w:sz w:val="16"/>
          <w:szCs w:val="16"/>
          <w:color w:val="auto"/>
        </w:rPr>
        <w:t>. This statement permits an entity to choose to measure many financial instruments and certain other items at fair value. This statement applies to all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if requested. We have not received any fees for such services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20"/>
              <w:spacing w:after="0"/>
              <w:rPr>
                <w:sz w:val="20"/>
                <w:szCs w:val="20"/>
                <w:color w:val="auto"/>
              </w:rPr>
            </w:pPr>
            <w:r>
              <w:rPr>
                <w:rFonts w:ascii="Arial" w:cs="Arial" w:eastAsia="Arial" w:hAnsi="Arial"/>
                <w:sz w:val="18"/>
                <w:szCs w:val="18"/>
                <w:color w:val="auto"/>
              </w:rPr>
              <w:t>Aerospace &amp; Defense</w:t>
            </w:r>
          </w:p>
        </w:tc>
        <w:tc>
          <w:tcPr>
            <w:tcW w:w="1820" w:type="dxa"/>
            <w:vAlign w:val="bottom"/>
          </w:tcPr>
          <w:p>
            <w:pPr>
              <w:ind w:left="1640"/>
              <w:spacing w:after="0"/>
              <w:rPr>
                <w:sz w:val="20"/>
                <w:szCs w:val="20"/>
                <w:color w:val="auto"/>
              </w:rPr>
            </w:pPr>
            <w:r>
              <w:rPr>
                <w:rFonts w:ascii="Arial" w:cs="Arial" w:eastAsia="Arial" w:hAnsi="Arial"/>
                <w:sz w:val="18"/>
                <w:szCs w:val="18"/>
                <w:color w:val="auto"/>
              </w:rPr>
              <w:t>•</w:t>
            </w:r>
          </w:p>
        </w:tc>
        <w:tc>
          <w:tcPr>
            <w:tcW w:w="4640" w:type="dxa"/>
            <w:vAlign w:val="bottom"/>
          </w:tcPr>
          <w:p>
            <w:pPr>
              <w:ind w:left="120"/>
              <w:spacing w:after="0"/>
              <w:rPr>
                <w:sz w:val="20"/>
                <w:szCs w:val="20"/>
                <w:color w:val="auto"/>
              </w:rPr>
            </w:pPr>
            <w:r>
              <w:rPr>
                <w:rFonts w:ascii="Arial" w:cs="Arial" w:eastAsia="Arial" w:hAnsi="Arial"/>
                <w:sz w:val="18"/>
                <w:szCs w:val="18"/>
                <w:color w:val="auto"/>
                <w:w w:val="89"/>
              </w:rPr>
              <w:t>Home &amp; Office Furnishings, Housewares, &amp; Durable Consumer</w:t>
            </w:r>
          </w:p>
        </w:tc>
        <w:tc>
          <w:tcPr>
            <w:tcW w:w="0" w:type="dxa"/>
            <w:vAlign w:val="bottom"/>
          </w:tcPr>
          <w:p>
            <w:pPr>
              <w:spacing w:after="0"/>
              <w:rPr>
                <w:sz w:val="1"/>
                <w:szCs w:val="1"/>
                <w:color w:val="auto"/>
              </w:rPr>
            </w:pPr>
          </w:p>
        </w:tc>
      </w:tr>
      <w:tr>
        <w:trPr>
          <w:trHeight w:val="222"/>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Auto Sector</w:t>
            </w:r>
          </w:p>
        </w:tc>
        <w:tc>
          <w:tcPr>
            <w:tcW w:w="18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   Buildings &amp; Real Estate</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6460" w:type="dxa"/>
            <w:vAlign w:val="bottom"/>
            <w:gridSpan w:val="2"/>
            <w:vMerge w:val="restart"/>
          </w:tcPr>
          <w:p>
            <w:pPr>
              <w:ind w:left="1640"/>
              <w:spacing w:after="0"/>
              <w:rPr>
                <w:sz w:val="20"/>
                <w:szCs w:val="20"/>
                <w:color w:val="auto"/>
              </w:rPr>
            </w:pPr>
            <w:r>
              <w:rPr>
                <w:rFonts w:ascii="Arial" w:cs="Arial" w:eastAsia="Arial" w:hAnsi="Arial"/>
                <w:sz w:val="18"/>
                <w:szCs w:val="18"/>
                <w:color w:val="auto"/>
              </w:rPr>
              <w:t>•   Leisure, Amusement, Motion Pictures, Entertainment</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Business Services</w:t>
            </w:r>
          </w:p>
        </w:tc>
        <w:tc>
          <w:tcPr>
            <w:tcW w:w="6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Manufacturing/Basic Industry</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Cargo Transport</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Oil &amp; Gas</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   Chemicals, Plastics and Rubber</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Other Media</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Consumer Products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Printing</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Distribution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Retail</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Education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Retail Store</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Energy/Utilities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Environmental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Financial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293"/>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Healthcare, Education &amp; Childcare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Listed below are our top ten portfolio companies and industries represented as a percentage of net assets as of:</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6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3"/>
            <w:vMerge w:val="restart"/>
          </w:tcPr>
          <w:p>
            <w:pPr>
              <w:jc w:val="center"/>
              <w:ind w:left="534"/>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21"/>
        </w:trPr>
        <w:tc>
          <w:tcPr>
            <w:tcW w:w="4780" w:type="dxa"/>
            <w:vAlign w:val="bottom"/>
            <w:gridSpan w:val="3"/>
            <w:vMerge w:val="restart"/>
            <w:shd w:val="clear" w:color="auto" w:fill="CCEEFF"/>
          </w:tcPr>
          <w:p>
            <w:pPr>
              <w:ind w:left="20"/>
              <w:spacing w:after="0" w:line="182" w:lineRule="exact"/>
              <w:rPr>
                <w:sz w:val="20"/>
                <w:szCs w:val="20"/>
                <w:color w:val="auto"/>
              </w:rPr>
            </w:pPr>
            <w:r>
              <w:rPr>
                <w:rFonts w:ascii="Arial" w:cs="Arial" w:eastAsia="Arial" w:hAnsi="Arial"/>
                <w:sz w:val="18"/>
                <w:szCs w:val="18"/>
                <w:color w:val="auto"/>
              </w:rPr>
              <w:t>i2 Holdings Ltd.</w:t>
            </w:r>
          </w:p>
        </w:tc>
        <w:tc>
          <w:tcPr>
            <w:tcW w:w="700" w:type="dxa"/>
            <w:vAlign w:val="bottom"/>
            <w:gridSpan w:val="2"/>
            <w:vMerge w:val="restart"/>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12%</w:t>
            </w: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80" w:type="dxa"/>
            <w:vAlign w:val="bottom"/>
            <w:tcBorders>
              <w:top w:val="single" w:sz="8" w:color="CCEEFF"/>
            </w:tcBorders>
            <w:gridSpan w:val="3"/>
          </w:tcPr>
          <w:p>
            <w:pPr>
              <w:ind w:left="20"/>
              <w:spacing w:after="0" w:line="189" w:lineRule="exact"/>
              <w:rPr>
                <w:sz w:val="20"/>
                <w:szCs w:val="20"/>
                <w:color w:val="auto"/>
              </w:rPr>
            </w:pPr>
            <w:r>
              <w:rPr>
                <w:rFonts w:ascii="Arial" w:cs="Arial" w:eastAsia="Arial" w:hAnsi="Arial"/>
                <w:sz w:val="18"/>
                <w:szCs w:val="18"/>
                <w:color w:val="auto"/>
              </w:rPr>
              <w:t>CT Technologies Intermediate Holdings, Inc.</w:t>
            </w:r>
          </w:p>
        </w:tc>
        <w:tc>
          <w:tcPr>
            <w:tcW w:w="70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36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i2 Holdings Ltd.</w:t>
            </w:r>
          </w:p>
        </w:tc>
        <w:tc>
          <w:tcPr>
            <w:tcW w:w="1860" w:type="dxa"/>
            <w:vAlign w:val="bottom"/>
            <w:tcBorders>
              <w:top w:val="single" w:sz="8" w:color="CCEEFF"/>
            </w:tcBorders>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UP Acquisition Sub Inc.</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UP Acquisitions Sub Inc.</w:t>
            </w:r>
          </w:p>
        </w:tc>
        <w:tc>
          <w:tcPr>
            <w:tcW w:w="1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8"/>
        </w:trPr>
        <w:tc>
          <w:tcPr>
            <w:tcW w:w="478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Brand Energy and Infrastucture Services, Inc.</w:t>
            </w:r>
          </w:p>
        </w:tc>
        <w:tc>
          <w:tcPr>
            <w:tcW w:w="700" w:type="dxa"/>
            <w:vAlign w:val="bottom"/>
            <w:gridSpan w:val="2"/>
          </w:tcPr>
          <w:p>
            <w:pPr>
              <w:jc w:val="right"/>
              <w:ind w:right="60"/>
              <w:spacing w:after="0" w:line="188"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6"/>
                <w:szCs w:val="16"/>
                <w:color w:val="auto"/>
              </w:rPr>
            </w:pPr>
          </w:p>
        </w:tc>
        <w:tc>
          <w:tcPr>
            <w:tcW w:w="362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rPr>
              <w:t>Brand Energy and Infrastructure</w:t>
            </w: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2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rPr>
              <w:t>Services, Inc.</w:t>
            </w:r>
          </w:p>
        </w:tc>
        <w:tc>
          <w:tcPr>
            <w:tcW w:w="1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TZ Merger Sub,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340" w:type="dxa"/>
            <w:vAlign w:val="bottom"/>
            <w:vMerge w:val="continue"/>
          </w:tcPr>
          <w:p>
            <w:pPr>
              <w:spacing w:after="0"/>
              <w:rPr>
                <w:sz w:val="17"/>
                <w:szCs w:val="17"/>
                <w:color w:val="auto"/>
              </w:rPr>
            </w:pPr>
          </w:p>
        </w:tc>
        <w:tc>
          <w:tcPr>
            <w:tcW w:w="3620" w:type="dxa"/>
            <w:vAlign w:val="bottom"/>
            <w:gridSpan w:val="3"/>
            <w:vMerge w:val="continue"/>
            <w:shd w:val="clear" w:color="auto" w:fill="CCEEFF"/>
          </w:tcPr>
          <w:p>
            <w:pPr>
              <w:spacing w:after="0"/>
              <w:rPr>
                <w:sz w:val="17"/>
                <w:szCs w:val="17"/>
                <w:color w:val="auto"/>
              </w:rPr>
            </w:pPr>
          </w:p>
        </w:tc>
        <w:tc>
          <w:tcPr>
            <w:tcW w:w="18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8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Specialized Technology Resources, Inc.</w:t>
            </w:r>
          </w:p>
        </w:tc>
        <w:tc>
          <w:tcPr>
            <w:tcW w:w="700" w:type="dxa"/>
            <w:vAlign w:val="bottom"/>
            <w:gridSpan w:val="2"/>
          </w:tcPr>
          <w:p>
            <w:pPr>
              <w:jc w:val="right"/>
              <w:ind w:right="60"/>
              <w:spacing w:after="0" w:line="188"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6"/>
                <w:szCs w:val="16"/>
                <w:color w:val="auto"/>
              </w:rPr>
            </w:pPr>
          </w:p>
        </w:tc>
        <w:tc>
          <w:tcPr>
            <w:tcW w:w="3620" w:type="dxa"/>
            <w:vAlign w:val="bottom"/>
            <w:gridSpan w:val="3"/>
          </w:tcPr>
          <w:p>
            <w:pPr>
              <w:spacing w:after="0" w:line="188" w:lineRule="exact"/>
              <w:rPr>
                <w:sz w:val="20"/>
                <w:szCs w:val="20"/>
                <w:color w:val="auto"/>
              </w:rPr>
            </w:pPr>
            <w:r>
              <w:rPr>
                <w:rFonts w:ascii="Arial" w:cs="Arial" w:eastAsia="Arial" w:hAnsi="Arial"/>
                <w:sz w:val="18"/>
                <w:szCs w:val="18"/>
                <w:color w:val="auto"/>
              </w:rPr>
              <w:t>CT Technologies Intermediate</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20" w:type="dxa"/>
            <w:vAlign w:val="bottom"/>
            <w:gridSpan w:val="3"/>
            <w:vMerge w:val="restart"/>
          </w:tcPr>
          <w:p>
            <w:pPr>
              <w:ind w:left="220"/>
              <w:spacing w:after="0"/>
              <w:rPr>
                <w:sz w:val="20"/>
                <w:szCs w:val="20"/>
                <w:color w:val="auto"/>
              </w:rPr>
            </w:pPr>
            <w:r>
              <w:rPr>
                <w:rFonts w:ascii="Arial" w:cs="Arial" w:eastAsia="Arial" w:hAnsi="Arial"/>
                <w:sz w:val="18"/>
                <w:szCs w:val="18"/>
                <w:color w:val="auto"/>
              </w:rPr>
              <w:t>Holdings, Inc.</w:t>
            </w:r>
          </w:p>
        </w:tc>
        <w:tc>
          <w:tcPr>
            <w:tcW w:w="18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IDQ Holdings,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340" w:type="dxa"/>
            <w:vAlign w:val="bottom"/>
            <w:vMerge w:val="continue"/>
          </w:tcPr>
          <w:p>
            <w:pPr>
              <w:spacing w:after="0"/>
              <w:rPr>
                <w:sz w:val="17"/>
                <w:szCs w:val="17"/>
                <w:color w:val="auto"/>
              </w:rPr>
            </w:pPr>
          </w:p>
        </w:tc>
        <w:tc>
          <w:tcPr>
            <w:tcW w:w="3620" w:type="dxa"/>
            <w:vAlign w:val="bottom"/>
            <w:tcBorders>
              <w:bottom w:val="single" w:sz="8" w:color="CCEEFF"/>
            </w:tcBorders>
            <w:gridSpan w:val="3"/>
            <w:vMerge w:val="continue"/>
          </w:tcPr>
          <w:p>
            <w:pPr>
              <w:spacing w:after="0"/>
              <w:rPr>
                <w:sz w:val="17"/>
                <w:szCs w:val="17"/>
                <w:color w:val="auto"/>
              </w:rPr>
            </w:pPr>
          </w:p>
        </w:tc>
        <w:tc>
          <w:tcPr>
            <w:tcW w:w="1860" w:type="dxa"/>
            <w:vAlign w:val="bottom"/>
            <w:tcBorders>
              <w:bottom w:val="single" w:sz="8" w:color="CCEEFF"/>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Affinion Group Holdings, Inc.</w:t>
            </w: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TZ Merger Sub,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Lyondell Chemical Co.</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IDQ Holdings, Inc.</w:t>
            </w:r>
          </w:p>
        </w:tc>
        <w:tc>
          <w:tcPr>
            <w:tcW w:w="1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Sheridan Holdings, Inc.</w:t>
            </w: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Specialized Technology Resources,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Affinion Group Holdings, Inc.</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TransFirst Holdings, Inc.</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6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4240" w:type="dxa"/>
            <w:vAlign w:val="bottom"/>
            <w:gridSpan w:val="2"/>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Chemicals, Plastics and Rubber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Media</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Aerospace &amp; Defense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Aerospace &amp; Defense</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Healthcare, Education &amp; Childcare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Oil &amp; Gas</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Insurance</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 Sector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 Sector</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Other Media</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June 30,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June 30, 2009 financial statements included elsewhere in this prospectus.</w:t>
      </w:r>
    </w:p>
    <w:p>
      <w:pPr>
        <w:spacing w:after="0" w:line="14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June 30,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80" w:type="dxa"/>
            <w:vAlign w:val="bottom"/>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3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01"/>
        </w:trPr>
        <w:tc>
          <w:tcPr>
            <w:tcW w:w="44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None</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 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3080" w:type="dxa"/>
            <w:vAlign w:val="bottom"/>
          </w:tcPr>
          <w:p>
            <w:pPr>
              <w:jc w:val="cente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ICTURES</w:t>
            </w:r>
            <w:r>
              <w:rPr>
                <w:rFonts w:ascii="Arial" w:cs="Arial" w:eastAsia="Arial" w:hAnsi="Arial"/>
                <w:sz w:val="18"/>
                <w:szCs w:val="18"/>
                <w:color w:val="auto"/>
                <w:w w:val="99"/>
              </w:rPr>
              <w:t>, E</w:t>
            </w:r>
            <w:r>
              <w:rPr>
                <w:rFonts w:ascii="Arial" w:cs="Arial" w:eastAsia="Arial" w:hAnsi="Arial"/>
                <w:sz w:val="14"/>
                <w:szCs w:val="14"/>
                <w:color w:val="auto"/>
                <w:w w:val="99"/>
              </w:rPr>
              <w:t>NTERTAINMENT</w:t>
            </w:r>
          </w:p>
        </w:tc>
        <w:tc>
          <w:tcPr>
            <w:tcW w:w="3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80" w:type="dxa"/>
            <w:vAlign w:val="bottom"/>
          </w:tcPr>
          <w:p>
            <w:pPr>
              <w:jc w:val="right"/>
              <w:ind w:right="1615"/>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7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4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c>
          <w:tcPr>
            <w:tcW w:w="140" w:type="dxa"/>
            <w:vAlign w:val="bottom"/>
          </w:tcPr>
          <w:p>
            <w:pPr>
              <w:spacing w:after="0"/>
              <w:rPr>
                <w:sz w:val="15"/>
                <w:szCs w:val="15"/>
                <w:color w:val="auto"/>
              </w:rPr>
            </w:pPr>
          </w:p>
        </w:tc>
      </w:tr>
      <w:tr>
        <w:trPr>
          <w:trHeight w:val="201"/>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w:t>
            </w:r>
            <w:r>
              <w:rPr>
                <w:rFonts w:ascii="Arial" w:cs="Arial" w:eastAsia="Arial" w:hAnsi="Arial"/>
                <w:sz w:val="14"/>
                <w:szCs w:val="14"/>
                <w:color w:val="auto"/>
              </w:rPr>
              <w:t>TD</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w:t>
            </w:r>
            <w:r>
              <w:rPr>
                <w:rFonts w:ascii="Arial" w:cs="Arial" w:eastAsia="Arial" w:hAnsi="Arial"/>
                <w:sz w:val="18"/>
                <w:szCs w:val="18"/>
                <w:color w:val="auto"/>
              </w:rPr>
              <w:t>S</w:t>
            </w:r>
            <w:r>
              <w:rPr>
                <w:rFonts w:ascii="Arial" w:cs="Arial" w:eastAsia="Arial" w:hAnsi="Arial"/>
                <w:sz w:val="14"/>
                <w:szCs w:val="14"/>
                <w:color w:val="auto"/>
              </w:rPr>
              <w:t>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NVIRONMENTAL</w:t>
            </w:r>
            <w:r>
              <w:rPr>
                <w:rFonts w:ascii="Arial" w:cs="Arial" w:eastAsia="Arial" w:hAnsi="Arial"/>
                <w:sz w:val="18"/>
                <w:szCs w:val="18"/>
                <w:color w:val="auto"/>
              </w:rPr>
              <w:t xml:space="preserve"> S</w:t>
            </w:r>
            <w:r>
              <w:rPr>
                <w:rFonts w:ascii="Arial" w:cs="Arial" w:eastAsia="Arial" w:hAnsi="Arial"/>
                <w:sz w:val="14"/>
                <w:szCs w:val="14"/>
                <w:color w:val="auto"/>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L.L.C</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w:t>
            </w:r>
            <w:r>
              <w:rPr>
                <w:rFonts w:ascii="Arial" w:cs="Arial" w:eastAsia="Arial" w:hAnsi="Arial"/>
                <w:sz w:val="18"/>
                <w:szCs w:val="18"/>
                <w:color w:val="auto"/>
              </w:rPr>
              <w:t>. 300S</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D</w:t>
            </w:r>
            <w:r>
              <w:rPr>
                <w:rFonts w:ascii="Arial" w:cs="Arial" w:eastAsia="Arial" w:hAnsi="Arial"/>
                <w:sz w:val="14"/>
                <w:szCs w:val="14"/>
                <w:color w:val="auto"/>
              </w:rPr>
              <w:t>ALLAS</w:t>
            </w:r>
            <w:r>
              <w:rPr>
                <w:rFonts w:ascii="Arial" w:cs="Arial" w:eastAsia="Arial" w:hAnsi="Arial"/>
                <w:sz w:val="18"/>
                <w:szCs w:val="18"/>
                <w:color w:val="auto"/>
              </w:rPr>
              <w:t>, TX 75251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30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600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0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jc w:val="right"/>
              <w:ind w:right="894"/>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42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4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1980" w:type="dxa"/>
            <w:vAlign w:val="bottom"/>
          </w:tcPr>
          <w:p>
            <w:pPr>
              <w:spacing w:after="0"/>
              <w:rPr>
                <w:sz w:val="17"/>
                <w:szCs w:val="17"/>
                <w:color w:val="auto"/>
              </w:rPr>
            </w:pPr>
          </w:p>
        </w:tc>
        <w:tc>
          <w:tcPr>
            <w:tcW w:w="3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w:t>
            </w:r>
            <w:r>
              <w:rPr>
                <w:rFonts w:ascii="Arial" w:cs="Arial" w:eastAsia="Arial" w:hAnsi="Arial"/>
                <w:sz w:val="14"/>
                <w:szCs w:val="14"/>
                <w:color w:val="auto"/>
                <w:w w:val="97"/>
              </w:rPr>
              <w:t>DEFENSE</w:t>
            </w:r>
          </w:p>
        </w:tc>
        <w:tc>
          <w:tcPr>
            <w:tcW w:w="420" w:type="dxa"/>
            <w:vAlign w:val="bottom"/>
          </w:tcPr>
          <w:p>
            <w:pPr>
              <w:spacing w:after="0"/>
              <w:rPr>
                <w:sz w:val="17"/>
                <w:szCs w:val="17"/>
                <w:color w:val="auto"/>
              </w:rPr>
            </w:pPr>
          </w:p>
        </w:tc>
        <w:tc>
          <w:tcPr>
            <w:tcW w:w="3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3.9%</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AMBRIDGESHIRE</w:t>
            </w:r>
            <w:r>
              <w:rPr>
                <w:rFonts w:ascii="Arial" w:cs="Arial" w:eastAsia="Arial" w:hAnsi="Arial"/>
                <w:sz w:val="18"/>
                <w:szCs w:val="18"/>
                <w:color w:val="auto"/>
              </w:rPr>
              <w:t>, CB215XH</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w:t>
            </w:r>
            <w:r>
              <w:rPr>
                <w:rFonts w:ascii="Arial" w:cs="Arial" w:eastAsia="Arial" w:hAnsi="Arial"/>
                <w:sz w:val="14"/>
                <w:szCs w:val="14"/>
                <w:color w:val="auto"/>
              </w:rPr>
              <w:t>EST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HEMICALS</w:t>
            </w:r>
            <w:r>
              <w:rPr>
                <w:rFonts w:ascii="Arial" w:cs="Arial" w:eastAsia="Arial" w:hAnsi="Arial"/>
                <w:sz w:val="18"/>
                <w:szCs w:val="18"/>
                <w:color w:val="auto"/>
                <w:w w:val="98"/>
              </w:rPr>
              <w:t>, P</w:t>
            </w:r>
            <w:r>
              <w:rPr>
                <w:rFonts w:ascii="Arial" w:cs="Arial" w:eastAsia="Arial" w:hAnsi="Arial"/>
                <w:sz w:val="14"/>
                <w:szCs w:val="14"/>
                <w:color w:val="auto"/>
                <w:w w:val="98"/>
              </w:rPr>
              <w:t>LASTICS</w:t>
            </w:r>
            <w:r>
              <w:rPr>
                <w:rFonts w:ascii="Arial" w:cs="Arial" w:eastAsia="Arial" w:hAnsi="Arial"/>
                <w:sz w:val="18"/>
                <w:szCs w:val="18"/>
                <w:color w:val="auto"/>
                <w:w w:val="98"/>
              </w:rPr>
              <w:t>, &amp; R</w:t>
            </w:r>
            <w:r>
              <w:rPr>
                <w:rFonts w:ascii="Arial" w:cs="Arial" w:eastAsia="Arial" w:hAnsi="Arial"/>
                <w:sz w:val="14"/>
                <w:szCs w:val="14"/>
                <w:color w:val="auto"/>
                <w:w w:val="98"/>
              </w:rPr>
              <w:t>UBBER</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B</w:t>
            </w:r>
            <w:r>
              <w:rPr>
                <w:rFonts w:ascii="Arial" w:cs="Arial" w:eastAsia="Arial" w:hAnsi="Arial"/>
                <w:sz w:val="14"/>
                <w:szCs w:val="14"/>
                <w:color w:val="auto"/>
              </w:rPr>
              <w:t>ASELL</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1221</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K</w:t>
            </w:r>
            <w:r>
              <w:rPr>
                <w:rFonts w:ascii="Arial" w:cs="Arial" w:eastAsia="Arial" w:hAnsi="Arial"/>
                <w:sz w:val="14"/>
                <w:szCs w:val="14"/>
                <w:color w:val="auto"/>
              </w:rPr>
              <w:t>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w:t>
            </w:r>
            <w:r>
              <w:rPr>
                <w:rFonts w:ascii="Arial" w:cs="Arial" w:eastAsia="Arial" w:hAnsi="Arial"/>
                <w:sz w:val="14"/>
                <w:szCs w:val="14"/>
                <w:color w:val="auto"/>
              </w:rPr>
              <w:t>STREET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UEBECOR</w:t>
            </w:r>
            <w:r>
              <w:rPr>
                <w:rFonts w:ascii="Arial" w:cs="Arial" w:eastAsia="Arial" w:hAnsi="Arial"/>
                <w:sz w:val="18"/>
                <w:szCs w:val="18"/>
                <w:color w:val="auto"/>
              </w:rPr>
              <w:t xml:space="preserve"> W</w:t>
            </w:r>
            <w:r>
              <w:rPr>
                <w:rFonts w:ascii="Arial" w:cs="Arial" w:eastAsia="Arial" w:hAnsi="Arial"/>
                <w:sz w:val="14"/>
                <w:szCs w:val="14"/>
                <w:color w:val="auto"/>
              </w:rPr>
              <w:t>ORLD</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 xml:space="preserve">999 </w:t>
            </w:r>
            <w:r>
              <w:rPr>
                <w:rFonts w:ascii="Arial" w:cs="Arial" w:eastAsia="Arial" w:hAnsi="Arial"/>
                <w:sz w:val="14"/>
                <w:szCs w:val="14"/>
                <w:color w:val="auto"/>
              </w:rPr>
              <w:t>DE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ANADA</w:t>
            </w:r>
            <w:r>
              <w:rPr>
                <w:rFonts w:ascii="Arial" w:cs="Arial" w:eastAsia="Arial" w:hAnsi="Arial"/>
                <w:sz w:val="18"/>
                <w:szCs w:val="18"/>
                <w:color w:val="auto"/>
              </w:rPr>
              <w:t xml:space="preserve"> H3A 3L4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EWTON</w:t>
            </w:r>
            <w:r>
              <w:rPr>
                <w:rFonts w:ascii="Arial" w:cs="Arial" w:eastAsia="Arial" w:hAnsi="Arial"/>
                <w:sz w:val="18"/>
                <w:szCs w:val="18"/>
                <w:color w:val="auto"/>
              </w:rPr>
              <w:t>, MA 02466</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20" w:type="dxa"/>
            <w:vAlign w:val="bottom"/>
          </w:tcPr>
          <w:p>
            <w:pPr>
              <w:jc w:val="right"/>
              <w:ind w:right="1013"/>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00" w:type="dxa"/>
            <w:vAlign w:val="bottom"/>
          </w:tcPr>
          <w:p>
            <w:pPr>
              <w:spacing w:after="0"/>
              <w:rPr>
                <w:sz w:val="15"/>
                <w:szCs w:val="15"/>
                <w:color w:val="auto"/>
              </w:rPr>
            </w:pPr>
          </w:p>
        </w:tc>
        <w:tc>
          <w:tcPr>
            <w:tcW w:w="80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60" w:type="dxa"/>
            <w:vAlign w:val="bottom"/>
          </w:tcPr>
          <w:p>
            <w:pPr>
              <w:spacing w:after="0"/>
              <w:rPr>
                <w:sz w:val="17"/>
                <w:szCs w:val="17"/>
                <w:color w:val="auto"/>
              </w:rPr>
            </w:pPr>
          </w:p>
        </w:tc>
        <w:tc>
          <w:tcPr>
            <w:tcW w:w="3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4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EXAIR</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50 W</w:t>
            </w:r>
            <w:r>
              <w:rPr>
                <w:rFonts w:ascii="Arial" w:cs="Arial" w:eastAsia="Arial" w:hAnsi="Arial"/>
                <w:sz w:val="14"/>
                <w:szCs w:val="14"/>
                <w:color w:val="auto"/>
              </w:rPr>
              <w:t>EST</w:t>
            </w:r>
            <w:r>
              <w:rPr>
                <w:rFonts w:ascii="Arial" w:cs="Arial" w:eastAsia="Arial" w:hAnsi="Arial"/>
                <w:sz w:val="18"/>
                <w:szCs w:val="18"/>
                <w:color w:val="auto"/>
              </w:rPr>
              <w:t xml:space="preserve"> B</w:t>
            </w:r>
            <w:r>
              <w:rPr>
                <w:rFonts w:ascii="Arial" w:cs="Arial" w:eastAsia="Arial" w:hAnsi="Arial"/>
                <w:sz w:val="14"/>
                <w:szCs w:val="14"/>
                <w:color w:val="auto"/>
              </w:rPr>
              <w:t>IG</w:t>
            </w:r>
            <w:r>
              <w:rPr>
                <w:rFonts w:ascii="Arial" w:cs="Arial" w:eastAsia="Arial" w:hAnsi="Arial"/>
                <w:sz w:val="18"/>
                <w:szCs w:val="18"/>
                <w:color w:val="auto"/>
              </w:rPr>
              <w:t xml:space="preserve"> B</w:t>
            </w:r>
            <w:r>
              <w:rPr>
                <w:rFonts w:ascii="Arial" w:cs="Arial" w:eastAsia="Arial" w:hAnsi="Arial"/>
                <w:sz w:val="14"/>
                <w:szCs w:val="14"/>
                <w:color w:val="auto"/>
              </w:rPr>
              <w:t>EAVER</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350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ROY</w:t>
            </w:r>
            <w:r>
              <w:rPr>
                <w:rFonts w:ascii="Arial" w:cs="Arial" w:eastAsia="Arial" w:hAnsi="Arial"/>
                <w:sz w:val="18"/>
                <w:szCs w:val="18"/>
                <w:color w:val="auto"/>
              </w:rPr>
              <w:t>, MI 48084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9"/>
                <w:szCs w:val="9"/>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TZ M</w:t>
            </w:r>
            <w:r>
              <w:rPr>
                <w:rFonts w:ascii="Arial" w:cs="Arial" w:eastAsia="Arial" w:hAnsi="Arial"/>
                <w:sz w:val="14"/>
                <w:szCs w:val="14"/>
                <w:color w:val="auto"/>
              </w:rPr>
              <w:t>ERGER</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p>
        </w:tc>
        <w:tc>
          <w:tcPr>
            <w:tcW w:w="30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6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1.3%</w:t>
            </w:r>
          </w:p>
        </w:tc>
        <w:tc>
          <w:tcPr>
            <w:tcW w:w="140" w:type="dxa"/>
            <w:vAlign w:val="bottom"/>
          </w:tcPr>
          <w:p>
            <w:pPr>
              <w:spacing w:after="0"/>
              <w:rPr>
                <w:sz w:val="24"/>
                <w:szCs w:val="24"/>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w:t>
            </w:r>
            <w:r>
              <w:rPr>
                <w:rFonts w:ascii="Arial" w:cs="Arial" w:eastAsia="Arial" w:hAnsi="Arial"/>
                <w:sz w:val="14"/>
                <w:szCs w:val="14"/>
                <w:color w:val="auto"/>
              </w:rPr>
              <w:t>O</w:t>
            </w:r>
            <w:r>
              <w:rPr>
                <w:rFonts w:ascii="Arial" w:cs="Arial" w:eastAsia="Arial" w:hAnsi="Arial"/>
                <w:sz w:val="18"/>
                <w:szCs w:val="18"/>
                <w:color w:val="auto"/>
              </w:rPr>
              <w:t>. 80202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5620" w:right="4080" w:hanging="5612"/>
        <w:spacing w:after="0" w:line="440" w:lineRule="auto"/>
        <w:tabs>
          <w:tab w:leader="none" w:pos="4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 70</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June 30,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 Acquisition Sub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UP Acquisition is a leading independent pipeline engineering services firm in the United States, providing engineering, project management and survey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Trizetto Group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Trizetto Group is a leading healthcare information technology, software and consulting services provider.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Energy &amp; Infrastructure Services, Inc.</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company is a diversified provider of specialty services, including scaffolding, industrial coatings, insulation, refractory, and forming and shoring solutions, to North America’s energy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Specialized Technology Resources,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 is a leader in the consumer testing and inspection market, as well as the leading global provider of solar encapsulants.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IDQ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company is the leading provider of value-added products for the Do-It-Yourself light vehicle air conditioning repair aftermarket.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industry composition of the portfolio at fair value on September 30, 2008 and June 30, 2009 was as follows, excluding unearned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5"/>
              </w:rPr>
              <w:t>June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vMerge w:val="restart"/>
          </w:tcPr>
          <w:p>
            <w:pPr>
              <w:jc w:val="right"/>
              <w:ind w:right="2933"/>
              <w:spacing w:after="0"/>
              <w:rPr>
                <w:sz w:val="20"/>
                <w:szCs w:val="20"/>
                <w:color w:val="auto"/>
              </w:rPr>
            </w:pPr>
            <w:r>
              <w:rPr>
                <w:rFonts w:ascii="Arial" w:cs="Arial" w:eastAsia="Arial" w:hAnsi="Arial"/>
                <w:sz w:val="18"/>
                <w:szCs w:val="18"/>
                <w:color w:val="auto"/>
              </w:rPr>
              <w:t>72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8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for each director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w:t>
            </w:r>
          </w:p>
        </w:tc>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Efrat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45</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Financial Officer</w:t>
            </w: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w w:val="89"/>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address for each executive officer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or by telephone at (212) 905-1000.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Jeffrey Flug (46),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Samuel L. Katz (43),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Guy Talarico (52)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2008, we held six board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http://www.pennantpark.com.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http://www.pennantpark.com.</w:t>
      </w:r>
    </w:p>
    <w:p>
      <w:pPr>
        <w:spacing w:after="0" w:line="14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2008.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Pension or</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benefits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accrued as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r>
      <w:tr>
        <w:trPr>
          <w:trHeight w:val="134"/>
        </w:trPr>
        <w:tc>
          <w:tcPr>
            <w:tcW w:w="38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from the</w:t>
            </w:r>
          </w:p>
        </w:tc>
        <w:tc>
          <w:tcPr>
            <w:tcW w:w="4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part of our</w:t>
            </w:r>
          </w:p>
        </w:tc>
        <w:tc>
          <w:tcPr>
            <w:tcW w:w="4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0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4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officer</w:t>
            </w:r>
          </w:p>
        </w:tc>
      </w:tr>
      <w:tr>
        <w:trPr>
          <w:trHeight w:val="201"/>
        </w:trPr>
        <w:tc>
          <w:tcPr>
            <w:tcW w:w="84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  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Marshall Brozost</w:t>
            </w:r>
          </w:p>
        </w:tc>
        <w:tc>
          <w:tcPr>
            <w:tcW w:w="800" w:type="dxa"/>
            <w:vAlign w:val="bottom"/>
          </w:tcPr>
          <w:p>
            <w:pPr>
              <w:jc w:val="right"/>
              <w:spacing w:after="0"/>
              <w:rPr>
                <w:sz w:val="20"/>
                <w:szCs w:val="20"/>
                <w:color w:val="auto"/>
              </w:rPr>
            </w:pPr>
            <w:r>
              <w:rPr>
                <w:rFonts w:ascii="Arial" w:cs="Arial" w:eastAsia="Arial" w:hAnsi="Arial"/>
                <w:sz w:val="18"/>
                <w:szCs w:val="18"/>
                <w:color w:val="auto"/>
              </w:rPr>
              <w:t>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800" w:type="dxa"/>
            <w:vAlign w:val="bottom"/>
          </w:tcPr>
          <w:p>
            <w:pPr>
              <w:jc w:val="right"/>
              <w:spacing w:after="0"/>
              <w:rPr>
                <w:sz w:val="20"/>
                <w:szCs w:val="20"/>
                <w:color w:val="auto"/>
              </w:rPr>
            </w:pPr>
            <w:r>
              <w:rPr>
                <w:rFonts w:ascii="Arial" w:cs="Arial" w:eastAsia="Arial" w:hAnsi="Arial"/>
                <w:sz w:val="18"/>
                <w:szCs w:val="18"/>
                <w:color w:val="auto"/>
              </w:rPr>
              <w:t>138,750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138,750</w:t>
            </w:r>
          </w:p>
        </w:tc>
      </w:tr>
      <w:tr>
        <w:trPr>
          <w:trHeight w:val="210"/>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Samuel L. Katz</w:t>
            </w:r>
          </w:p>
        </w:tc>
        <w:tc>
          <w:tcPr>
            <w:tcW w:w="800" w:type="dxa"/>
            <w:vAlign w:val="bottom"/>
          </w:tcPr>
          <w:p>
            <w:pPr>
              <w:jc w:val="right"/>
              <w:spacing w:after="0"/>
              <w:rPr>
                <w:sz w:val="20"/>
                <w:szCs w:val="20"/>
                <w:color w:val="auto"/>
              </w:rPr>
            </w:pPr>
            <w:r>
              <w:rPr>
                <w:rFonts w:ascii="Arial" w:cs="Arial" w:eastAsia="Arial" w:hAnsi="Arial"/>
                <w:sz w:val="18"/>
                <w:szCs w:val="18"/>
                <w:color w:val="auto"/>
              </w:rPr>
              <w:t>127,500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127,500</w:t>
            </w: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Arthur H. Penn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6"/>
        </w:trPr>
        <w:tc>
          <w:tcPr>
            <w:tcW w:w="38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Guy Talarico</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31, 2009,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following table sets forth, as of August 31, 2009,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2500 Westchester Suite, Suite 215</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40" w:type="dxa"/>
            <w:vAlign w:val="bottom"/>
            <w:gridSpan w:val="3"/>
          </w:tcPr>
          <w:p>
            <w:pPr>
              <w:spacing w:after="0"/>
              <w:rPr>
                <w:sz w:val="20"/>
                <w:szCs w:val="20"/>
                <w:color w:val="auto"/>
              </w:rPr>
            </w:pPr>
            <w:r>
              <w:rPr>
                <w:rFonts w:ascii="Arial" w:cs="Arial" w:eastAsia="Arial" w:hAnsi="Arial"/>
                <w:sz w:val="18"/>
                <w:szCs w:val="18"/>
                <w:color w:val="auto"/>
              </w:rPr>
              <w:t>Clough Capital Partners L.P.</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1,457,185</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2,613,491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75 State Street</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8,797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71,323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413,474</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28,646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695,235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99"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268,073 shares held by PennantPark Investment Advisers, LLC.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7" w:lineRule="exact"/>
        <w:rPr>
          <w:sz w:val="20"/>
          <w:szCs w:val="20"/>
          <w:color w:val="auto"/>
        </w:rPr>
      </w:pPr>
    </w:p>
    <w:p>
      <w:pPr>
        <w:ind w:left="460" w:hanging="408"/>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 Officers and Portfolio Managers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August 31, 2009.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w:t>
            </w:r>
            <w:r>
              <w:rPr>
                <w:rFonts w:ascii="Arial" w:cs="Arial" w:eastAsia="Arial" w:hAnsi="Arial"/>
                <w:sz w:val="22"/>
                <w:szCs w:val="22"/>
                <w:b w:val="1"/>
                <w:bCs w:val="1"/>
                <w:color w:val="auto"/>
                <w:w w:val="87"/>
                <w:vertAlign w:val="superscript"/>
              </w:rPr>
              <w:t>(1)</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2"/>
              </w:rPr>
              <w:t>Independent directors</w:t>
            </w:r>
          </w:p>
        </w:tc>
        <w:tc>
          <w:tcPr>
            <w:tcW w:w="448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Geoffrey S. Chang</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was 1.75% from October 1, 2007 through March 31, 2008. Our base management fee has been 2.00% after March 31, 2008. For services rendered under our Investment Management Agreement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nine months ended June 30, 2009 and June 30, 2008, the Investment Adviser earned base management fees, after fee waiver, of $5.5 million and $4.8 million, respectively.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4"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300" w:hanging="325"/>
        <w:spacing w:after="0" w:line="255"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4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109855</wp:posOffset>
            </wp:positionV>
            <wp:extent cx="3833495" cy="6261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334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nine months ended June 30, 2009 and June 30, 2008, the Investment Adviser earned $4.2 million and $2.4 million, respectively, in incentive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240" w:top="459" w:right="7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60" w:hanging="452"/>
        <w:spacing w:after="0" w:line="306"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2009. Unless terminated earlier as described below, our Investment Management Agreement will continue in effect for a period of one year through February 2010.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 —We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pay the fees associated with such functions on a direct basis without profit to the Administrator. For the nine months ended June 30, 2009 and June 30, 2008, the Investment Adviser was reimbursed $1.4 million and $1.6 million, respectively, by PennantPark Investment, including expenses it incurred on behalf of the Administrator for the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9"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August 25, 2009 for a 12-month period), and our board of directors may decide that such an offering is in the best interest of our common stockholders and we may undertake such an offering. For more information, see “Sales of common stock below NAV.”</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In addition, there may be de minimis transaction charges incurred in connection with plan participation.</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June 30,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August 31, 2009 was $8.35 per share. As of August 31, 2009, we had 16 stockholders of record.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August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2010,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57" w:lineRule="auto"/>
        <w:rPr>
          <w:sz w:val="20"/>
          <w:szCs w:val="20"/>
          <w:color w:val="auto"/>
        </w:rPr>
      </w:pPr>
      <w:r>
        <w:rPr>
          <w:rFonts w:ascii="Arial" w:cs="Arial" w:eastAsia="Arial" w:hAnsi="Arial"/>
          <w:sz w:val="15"/>
          <w:szCs w:val="15"/>
          <w:color w:val="auto"/>
        </w:rPr>
        <w:t>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00"/>
          </w:cols>
          <w:pgMar w:left="24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84"/>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jc w:val="both"/>
        <w:ind w:left="920" w:right="440" w:firstLine="421"/>
        <w:spacing w:after="0" w:line="259" w:lineRule="auto"/>
        <w:tabs>
          <w:tab w:leader="none" w:pos="15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or is controlled by the Company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306"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2008, the definition of eligible portfolio company was expanded to include any domestic operating company that has a class of securities listed on a national securities exchange, so long as it has a market capitalization of less than $250 million. For this purpose, market capitalization is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and PennantPark Investment Advisers are each be required to adopt and implement written policies and procedures reasonably designed to prevent violation of the federal securities laws, review these policies and procedures annually for their adequacy and the effectiveness of their implementation, and to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4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80"/>
          </w:cols>
          <w:pgMar w:left="240" w:top="459" w:right="3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PNC Global Investment Servicing,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interim financial information as of June 30, 2009, and for the nine-month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20" w:type="dxa"/>
            <w:vAlign w:val="bottom"/>
            <w:gridSpan w:val="9"/>
          </w:tcPr>
          <w:p>
            <w:pPr>
              <w:jc w:val="center"/>
              <w:ind w:right="820"/>
              <w:spacing w:after="0"/>
              <w:rPr>
                <w:sz w:val="20"/>
                <w:szCs w:val="20"/>
                <w:color w:val="auto"/>
              </w:rPr>
            </w:pPr>
            <w:r>
              <w:rPr>
                <w:rFonts w:ascii="Arial" w:cs="Arial" w:eastAsia="Arial" w:hAnsi="Arial"/>
                <w:sz w:val="18"/>
                <w:szCs w:val="18"/>
                <w:b w:val="1"/>
                <w:bCs w:val="1"/>
                <w:color w:val="auto"/>
                <w:w w:val="99"/>
              </w:rPr>
              <w:t>INDEX TO FINANCIAL STATEMENTS</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Annual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Management’s Report on Internal Control over Financial Reporting</w:t>
              </w:r>
            </w:hyperlink>
          </w:p>
        </w:tc>
        <w:tc>
          <w:tcPr>
            <w:tcW w:w="3380" w:type="dxa"/>
            <w:vAlign w:val="bottom"/>
            <w:gridSpan w:val="7"/>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42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Reports of Independent Registered Public Accounting Firm</w:t>
              </w:r>
            </w:hyperlink>
          </w:p>
        </w:tc>
        <w:tc>
          <w:tcPr>
            <w:tcW w:w="3940" w:type="dxa"/>
            <w:vAlign w:val="bottom"/>
            <w:gridSpan w:val="8"/>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Consolidated Statements of Assets and Liabilities at September 30, 2008 and 2007</w:t>
              </w:r>
            </w:hyperlink>
          </w:p>
        </w:tc>
        <w:tc>
          <w:tcPr>
            <w:tcW w:w="2320" w:type="dxa"/>
            <w:vAlign w:val="bottom"/>
            <w:gridSpan w:val="5"/>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1420" w:type="dxa"/>
            <w:vAlign w:val="bottom"/>
            <w:gridSpan w:val="19"/>
          </w:tcPr>
          <w:p>
            <w:pPr>
              <w:spacing w:after="0"/>
              <w:rPr>
                <w:rFonts w:ascii="Arial" w:cs="Arial" w:eastAsia="Arial" w:hAnsi="Arial"/>
                <w:sz w:val="18"/>
                <w:szCs w:val="18"/>
                <w:color w:val="0000EE"/>
                <w:w w:val="93"/>
              </w:rPr>
            </w:pPr>
            <w:hyperlink w:anchor="page162">
              <w:r>
                <w:rPr>
                  <w:rFonts w:ascii="Arial" w:cs="Arial" w:eastAsia="Arial" w:hAnsi="Arial"/>
                  <w:sz w:val="18"/>
                  <w:szCs w:val="18"/>
                  <w:color w:val="0000EE"/>
                  <w:w w:val="93"/>
                </w:rPr>
                <w:t>Consolidated Statements of Operations for the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162">
              <w:r>
                <w:rPr>
                  <w:rFonts w:ascii="Arial" w:cs="Arial" w:eastAsia="Arial" w:hAnsi="Arial"/>
                  <w:sz w:val="18"/>
                  <w:szCs w:val="18"/>
                  <w:color w:val="0000EE"/>
                  <w:w w:val="8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Arial" w:cs="Arial" w:eastAsia="Arial" w:hAnsi="Arial"/>
                <w:sz w:val="18"/>
                <w:szCs w:val="18"/>
                <w:color w:val="0000EE"/>
                <w:w w:val="87"/>
              </w:rPr>
            </w:pPr>
            <w:hyperlink w:anchor="page163">
              <w:r>
                <w:rPr>
                  <w:rFonts w:ascii="Arial" w:cs="Arial" w:eastAsia="Arial" w:hAnsi="Arial"/>
                  <w:sz w:val="18"/>
                  <w:szCs w:val="18"/>
                  <w:color w:val="0000EE"/>
                  <w:w w:val="87"/>
                </w:rPr>
                <w:t>Consolidated Statements of Changes in Net Assets for year ended September 30, 2008 and the period from January</w:t>
              </w:r>
            </w:hyperlink>
          </w:p>
        </w:tc>
        <w:tc>
          <w:tcPr>
            <w:tcW w:w="3280" w:type="dxa"/>
            <w:vAlign w:val="bottom"/>
            <w:gridSpan w:val="4"/>
          </w:tcPr>
          <w:p>
            <w:pPr>
              <w:jc w:val="right"/>
              <w:ind w:right="1132"/>
              <w:spacing w:after="0"/>
              <w:rPr>
                <w:rFonts w:ascii="Arial" w:cs="Arial" w:eastAsia="Arial" w:hAnsi="Arial"/>
                <w:sz w:val="18"/>
                <w:szCs w:val="18"/>
                <w:color w:val="0000EE"/>
                <w:w w:val="90"/>
              </w:rPr>
            </w:pPr>
            <w:hyperlink w:anchor="page163">
              <w:r>
                <w:rPr>
                  <w:rFonts w:ascii="Arial" w:cs="Arial" w:eastAsia="Arial" w:hAnsi="Arial"/>
                  <w:sz w:val="18"/>
                  <w:szCs w:val="18"/>
                  <w:color w:val="0000EE"/>
                  <w:w w:val="90"/>
                </w:rPr>
                <w:t>11, 2007 (inception) through</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9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September 30, 2007</w:t>
              </w:r>
            </w:hyperlink>
          </w:p>
        </w:tc>
        <w:tc>
          <w:tcPr>
            <w:tcW w:w="2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Borders>
              <w:top w:val="single" w:sz="8" w:color="0000EE"/>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1420" w:type="dxa"/>
            <w:vAlign w:val="bottom"/>
            <w:gridSpan w:val="19"/>
          </w:tcPr>
          <w:p>
            <w:pPr>
              <w:spacing w:after="0"/>
              <w:rPr>
                <w:rFonts w:ascii="Arial" w:cs="Arial" w:eastAsia="Arial" w:hAnsi="Arial"/>
                <w:sz w:val="18"/>
                <w:szCs w:val="18"/>
                <w:color w:val="0000EE"/>
                <w:w w:val="95"/>
              </w:rPr>
            </w:pPr>
            <w:hyperlink w:anchor="page164">
              <w:r>
                <w:rPr>
                  <w:rFonts w:ascii="Arial" w:cs="Arial" w:eastAsia="Arial" w:hAnsi="Arial"/>
                  <w:sz w:val="18"/>
                  <w:szCs w:val="18"/>
                  <w:color w:val="0000EE"/>
                  <w:w w:val="95"/>
                </w:rPr>
                <w:t>Consolidated Statements of Cash Flows for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164">
              <w:r>
                <w:rPr>
                  <w:rFonts w:ascii="Arial" w:cs="Arial" w:eastAsia="Arial" w:hAnsi="Arial"/>
                  <w:sz w:val="18"/>
                  <w:szCs w:val="18"/>
                  <w:color w:val="0000EE"/>
                  <w:w w:val="8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41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65">
              <w:r>
                <w:rPr>
                  <w:rFonts w:ascii="Arial" w:cs="Arial" w:eastAsia="Arial" w:hAnsi="Arial"/>
                  <w:sz w:val="18"/>
                  <w:szCs w:val="18"/>
                  <w:color w:val="0000EE"/>
                  <w:w w:val="86"/>
                </w:rPr>
                <w:t>Schedules of Investments at September 30, 2008 and 2007</w:t>
              </w:r>
            </w:hyperlink>
          </w:p>
        </w:tc>
        <w:tc>
          <w:tcPr>
            <w:tcW w:w="4020" w:type="dxa"/>
            <w:vAlign w:val="bottom"/>
            <w:gridSpan w:val="9"/>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21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71">
              <w:r>
                <w:rPr>
                  <w:rFonts w:ascii="Arial" w:cs="Arial" w:eastAsia="Arial" w:hAnsi="Arial"/>
                  <w:sz w:val="18"/>
                  <w:szCs w:val="18"/>
                  <w:color w:val="0000EE"/>
                  <w:w w:val="87"/>
                </w:rPr>
                <w:t>Notes to Financial Statements</w:t>
              </w:r>
            </w:hyperlink>
          </w:p>
        </w:tc>
        <w:tc>
          <w:tcPr>
            <w:tcW w:w="6020" w:type="dxa"/>
            <w:vAlign w:val="bottom"/>
            <w:gridSpan w:val="10"/>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343"/>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Interim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Report of Independent Registered Public Accounting Firm</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40" w:type="dxa"/>
            <w:vAlign w:val="bottom"/>
            <w:gridSpan w:val="15"/>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Statements of Assets and Liabilities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83">
              <w:r>
                <w:rPr>
                  <w:rFonts w:ascii="Arial" w:cs="Arial" w:eastAsia="Arial" w:hAnsi="Arial"/>
                  <w:sz w:val="18"/>
                  <w:szCs w:val="18"/>
                  <w:color w:val="0000EE"/>
                  <w:w w:val="87"/>
                </w:rPr>
                <w:t>Statements of Operations for the three and nine months ended June 30, 2009 (unaudited) and 2008 (unaudited)</w:t>
              </w:r>
            </w:hyperlink>
          </w:p>
        </w:tc>
        <w:tc>
          <w:tcPr>
            <w:tcW w:w="36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304"/>
        </w:trPr>
        <w:tc>
          <w:tcPr>
            <w:tcW w:w="79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84">
              <w:r>
                <w:rPr>
                  <w:rFonts w:ascii="Arial" w:cs="Arial" w:eastAsia="Arial" w:hAnsi="Arial"/>
                  <w:sz w:val="18"/>
                  <w:szCs w:val="18"/>
                  <w:color w:val="0000EE"/>
                  <w:w w:val="87"/>
                </w:rPr>
                <w:t>Statements of Changes in Net Assets for the nine months ended June 30, 2009 (unaudited) and 2008 (unaudited)</w:t>
              </w:r>
            </w:hyperlink>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304"/>
        </w:trPr>
        <w:tc>
          <w:tcPr>
            <w:tcW w:w="71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85">
              <w:r>
                <w:rPr>
                  <w:rFonts w:ascii="Arial" w:cs="Arial" w:eastAsia="Arial" w:hAnsi="Arial"/>
                  <w:sz w:val="18"/>
                  <w:szCs w:val="18"/>
                  <w:color w:val="0000EE"/>
                  <w:w w:val="87"/>
                </w:rPr>
                <w:t>Statements of Cash Flows for the nine months ended June 30, 2009 (unaudited) and 2008 (unaudited)</w:t>
              </w:r>
            </w:hyperlink>
          </w:p>
        </w:tc>
        <w:tc>
          <w:tcPr>
            <w:tcW w:w="100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04"/>
        </w:trPr>
        <w:tc>
          <w:tcPr>
            <w:tcW w:w="8140" w:type="dxa"/>
            <w:vAlign w:val="bottom"/>
            <w:gridSpan w:val="15"/>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Schedules of Investments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304"/>
        </w:trPr>
        <w:tc>
          <w:tcPr>
            <w:tcW w:w="5600" w:type="dxa"/>
            <w:vAlign w:val="bottom"/>
            <w:tcBorders>
              <w:top w:val="single" w:sz="8" w:color="0000EE"/>
            </w:tcBorders>
            <w:gridSpan w:val="9"/>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Notes to Financial Statements</w:t>
              </w:r>
            </w:hyperlink>
          </w:p>
        </w:tc>
        <w:tc>
          <w:tcPr>
            <w:tcW w:w="2540" w:type="dxa"/>
            <w:vAlign w:val="bottom"/>
            <w:gridSpan w:val="6"/>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gridSpan w:val="7"/>
          </w:tcPr>
          <w:p>
            <w:pPr>
              <w:jc w:val="center"/>
              <w:ind w:right="1460"/>
              <w:spacing w:after="0"/>
              <w:rPr>
                <w:sz w:val="20"/>
                <w:szCs w:val="20"/>
                <w:color w:val="auto"/>
              </w:rPr>
            </w:pPr>
            <w:r>
              <w:rPr>
                <w:rFonts w:ascii="Arial" w:cs="Arial" w:eastAsia="Arial" w:hAnsi="Arial"/>
                <w:sz w:val="18"/>
                <w:szCs w:val="18"/>
                <w:color w:val="auto"/>
                <w:w w:val="88"/>
              </w:rPr>
              <w:t>F-1</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management of PennantPark Investment Corporation (the “Company”) is responsible for establishing and maintaining adequate internal control over financial reporting. The Company’s internal control system is a process designed to provide reasonable assurance to the Company’s management and board of directors regarding the preparation and fair presentation of published financial statements.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2008. In making this assessment, we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the assessment management believes that, as of September 30, 2008, the Company’s internal control over financial reporting is effective based on those criteria.</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that audited the financial statements has issued an audit report on the effectiveness of the Company’s internal control over financial reporting as of September 30, 2008. This report appears on page F-4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audited the accompanying statements of assets and liabilities of PennantPark Investment Corporation (the “Company”) as of September 30, 2008 and 2007, including the schedule of investments, and the related statements of operations, changes in net assets, and cash flows for the year ended September 30, 2008 and for the period from January 11, 2007 (inception) through September 30, 2007.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2008 and 2007, and the results of their operations and their cash flows for the year ended September 30,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November 20, 2008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Corporation’s (the Company)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is responsible for maintaining effective internal control over financial reporting and for its assessment of the effectiveness of internal control over financial reporting, included on page 78 of the Annual Report on Form 10-K,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2008 and 2007, including the schedule of investments, and the related statements of operations, changes in net assets, and cash flows for the year ended September 30, 2008 and for the period from January 11, 2007 (inception) through September 30, 2007, and our report dated November 20, 2008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w w:val="94"/>
              </w:rPr>
              <w:t>Non-controlled, non-affiliated investments, at fair value (cost—$427,481,745 and $298,789,297, respectively)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354,261,950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274,679,030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(cost—$16,692,261 and $16,092,573, respectively)</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17,885,870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372,147,820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291,016,608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equivalents (cost—$40,249,201 and $258,016,351, respectively)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40,249,201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1,367,479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419,810,699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555,007,676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Payable for cash equivalents purchased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252,759,931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Unfunded investments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3,989,948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202,000,000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725,317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1,300,617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209,082,439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284,614,582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w w:val="93"/>
              </w:rPr>
              <w:t>Common stock, par value $0.001 per share, 100,000,000 shares authorized and 21,068,772 shares issued and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294,586,604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294,586,604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(602,660)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(11,250,567)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(72,026,186)</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vMerge w:val="continue"/>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419,810,699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555,007,676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37,809,280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340,533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7,136,580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3,791,900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6,308,933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2,136,303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1,158,750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6,338,238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8"/>
                <w:szCs w:val="18"/>
                <w:color w:val="auto"/>
              </w:rPr>
              <w:t>Base management fee waiver</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(420,731)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21,254,958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5,802,845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cash equivalents: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(11,154,735)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(49,052,812)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245,005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(48,104,208)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(23,921,978)</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realized and unrealized loss from investments and cash equivalents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(59,258,943)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(24,003,747)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(40,702,939)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(16,699,251)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Gain (loss) per common share (see note 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(inception)</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18,556,004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(11,154,735)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(48,104,208)</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(23,921,978)</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(40,702,939)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(16,699,251)</w:t>
            </w: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(7,545,458)</w:t>
            </w: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(28,356)</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(7,573,814)</w:t>
            </w: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315,375,000</w:t>
            </w: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Offering costs related to public share offerings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(21,309,375)</w:t>
            </w: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shd w:val="clear" w:color="auto" w:fill="CCEEFF"/>
          </w:tcPr>
          <w:p>
            <w:pPr>
              <w:spacing w:after="0"/>
              <w:rPr>
                <w:sz w:val="18"/>
                <w:szCs w:val="18"/>
                <w:color w:val="auto"/>
              </w:rPr>
            </w:pPr>
          </w:p>
        </w:tc>
      </w:tr>
      <w:tr>
        <w:trPr>
          <w:trHeight w:val="221"/>
        </w:trPr>
        <w:tc>
          <w:tcPr>
            <w:tcW w:w="72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294,666,159</w:t>
            </w:r>
          </w:p>
        </w:tc>
        <w:tc>
          <w:tcPr>
            <w:tcW w:w="120" w:type="dxa"/>
            <w:vAlign w:val="bottom"/>
          </w:tcPr>
          <w:p>
            <w:pPr>
              <w:spacing w:after="0"/>
              <w:rPr>
                <w:sz w:val="19"/>
                <w:szCs w:val="19"/>
                <w:color w:val="auto"/>
              </w:rPr>
            </w:pPr>
          </w:p>
        </w:tc>
      </w:tr>
      <w:tr>
        <w:trPr>
          <w:trHeight w:val="218"/>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(59,664,834)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shd w:val="clear" w:color="auto" w:fill="CCEEFF"/>
          </w:tcPr>
          <w:p>
            <w:pPr>
              <w:spacing w:after="0"/>
              <w:rPr>
                <w:sz w:val="18"/>
                <w:szCs w:val="18"/>
                <w:color w:val="auto"/>
              </w:rPr>
            </w:pPr>
          </w:p>
        </w:tc>
      </w:tr>
      <w:tr>
        <w:trPr>
          <w:trHeight w:val="322"/>
        </w:trPr>
        <w:tc>
          <w:tcPr>
            <w:tcW w:w="72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End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210,728,260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decrease in net assets resulting from operations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(40,702,939)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decrease in net assets resulting from operations to net cash used by operating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23,921,978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11,154,735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(1,285,365)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(206,790,979)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Payment-in-kind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(2,434,562)</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70,120,751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99,635,961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(1,528,349)</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(252,759,931)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252,759,931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(16,583,921)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16,583,921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(3,989,948)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554,328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190,824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(390,748,539)</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issuance of 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461,040,000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271,913,786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(269,040,000)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173,038,105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295,831,049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(217,710,434)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257,959,635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2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4,982,247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80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 Portfolio</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Companies—187.2%</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11/30/2015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$ 16,268,634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$ 16,268,634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03/01/2012</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21,587,384</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04/17/2015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7,831,761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03/19/2014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19,502,246</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06/06/2014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21,649,325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05/20/2012</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13.75%</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19,555,782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12/28/2015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9,922,722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04/15/2015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12.38%</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26,337,698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10/01/2016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02/08/2015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20,428,146</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187,877,433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182,895,483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02/07/2015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02/07/2015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8.81%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13,068,290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8"/>
              </w:rPr>
              <w:t>04/30/2015</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120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11.26%</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L+750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12,000,000</w:t>
            </w:r>
          </w:p>
        </w:tc>
        <w:tc>
          <w:tcPr>
            <w:tcW w:w="11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11/04/2014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9.31%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05/15/2015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10.55%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9,951,058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05/15/2017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12.50%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16,565,952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06/15/2015</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20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11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 Plastics and Rubber</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22,485,895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15,866,044</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128,100,000</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123,405,221</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841,927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jc w:val="right"/>
              <w:ind w:right="380"/>
              <w:spacing w:after="0" w:line="29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8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686</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6.50%</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84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1200" w:type="dxa"/>
            <w:vAlign w:val="bottom"/>
            <w:gridSpan w:val="3"/>
            <w:vMerge w:val="continue"/>
            <w:shd w:val="clear" w:color="auto" w:fill="CCEEFF"/>
          </w:tcPr>
          <w:p>
            <w:pPr>
              <w:spacing w:after="0"/>
              <w:rPr>
                <w:sz w:val="13"/>
                <w:szCs w:val="13"/>
                <w:color w:val="auto"/>
              </w:rPr>
            </w:pP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8.00%</w:t>
            </w:r>
            <w:r>
              <w:rPr>
                <w:rFonts w:ascii="Arial" w:cs="Arial" w:eastAsia="Arial" w:hAnsi="Arial"/>
                <w:sz w:val="22"/>
                <w:szCs w:val="22"/>
                <w:color w:val="auto"/>
                <w:vertAlign w:val="superscript"/>
              </w:rPr>
              <w:t>(6)</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200" w:type="dxa"/>
            <w:vAlign w:val="bottom"/>
            <w:gridSpan w:val="3"/>
            <w:vMerge w:val="continue"/>
          </w:tcPr>
          <w:p>
            <w:pPr>
              <w:spacing w:after="0"/>
              <w:rPr>
                <w:sz w:val="14"/>
                <w:szCs w:val="14"/>
                <w:color w:val="auto"/>
              </w:rPr>
            </w:pP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2,499,066</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Maturity</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06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Common Equity/Partnership</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—4.0%</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3,000,000</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200" w:type="dxa"/>
            <w:vAlign w:val="bottom"/>
          </w:tcPr>
          <w:p>
            <w:pPr>
              <w:spacing w:after="0"/>
              <w:rPr>
                <w:sz w:val="13"/>
                <w:szCs w:val="13"/>
                <w:color w:val="auto"/>
              </w:rPr>
            </w:pPr>
          </w:p>
        </w:tc>
        <w:tc>
          <w:tcPr>
            <w:tcW w:w="9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2,569,208</w:t>
            </w: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6,659,360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05/28/2013</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5.06%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7,889,120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01/31/2013</w:t>
            </w:r>
          </w:p>
        </w:tc>
        <w:tc>
          <w:tcPr>
            <w:tcW w:w="1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08/07/2012</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12,965,204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08/07/2012</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08/28/2014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4.81%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09/16/2013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12/19/2013</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Cargo Transport</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03/08/2014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04/15/2014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02/07/2014</w:t>
            </w:r>
          </w:p>
        </w:tc>
        <w:tc>
          <w:tcPr>
            <w:tcW w:w="1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Furnishings, Housewares and</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Durable Consumer 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03/08/2014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5.46%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Utilities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01/18/2014</w:t>
            </w:r>
          </w:p>
        </w:tc>
        <w:tc>
          <w:tcPr>
            <w:tcW w:w="19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5.96%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4"/>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03/28/2014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02/28/2013</w:t>
            </w:r>
          </w:p>
        </w:tc>
        <w:tc>
          <w:tcPr>
            <w:tcW w:w="19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4.62%</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6,900,583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4"/>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02/01/2013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03/16/2014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05/04/2014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03/02/2014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7"/>
              </w:rPr>
              <w:t>Printing and Publishing</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07/19/2013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2,917,576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2,917,576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01/30/2014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01/30/2014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90,311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1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Investments in Non-Controlled, Non-Affiliated Portfolio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354,261,950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8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9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Affiliated Portfolio Companies</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—8.5%</w:t>
            </w:r>
            <w:r>
              <w:rPr>
                <w:rFonts w:ascii="Arial" w:cs="Arial" w:eastAsia="Arial" w:hAnsi="Arial"/>
                <w:sz w:val="20"/>
                <w:szCs w:val="20"/>
                <w:b w:val="1"/>
                <w:bCs w:val="1"/>
                <w:color w:val="auto"/>
                <w:vertAlign w:val="superscript"/>
              </w:rPr>
              <w:t>(2)</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07/02/2014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3"/>
              </w:rPr>
              <w:t>4,414,356</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4,192,261</w:t>
            </w:r>
          </w:p>
        </w:tc>
        <w:tc>
          <w:tcPr>
            <w:tcW w:w="3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4,414,356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Debt—4.0%</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07/02/2013</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 Amusement, Motion</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8.55%</w:t>
            </w:r>
          </w:p>
        </w:tc>
        <w:tc>
          <w:tcPr>
            <w:tcW w:w="88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3"/>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8,347,500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102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20" w:type="dxa"/>
            <w:vAlign w:val="bottom"/>
          </w:tcPr>
          <w:p>
            <w:pPr>
              <w:spacing w:after="0"/>
              <w:rPr>
                <w:sz w:val="11"/>
                <w:szCs w:val="11"/>
                <w:color w:val="auto"/>
              </w:rPr>
            </w:pPr>
          </w:p>
        </w:tc>
        <w:tc>
          <w:tcPr>
            <w:tcW w:w="960" w:type="dxa"/>
            <w:vAlign w:val="bottom"/>
            <w:gridSpan w:val="2"/>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5,124,014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Investments in Non-Controlled, Affiliated Portfolio Companies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16,692,261</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444,174,006</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40,249,201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40,249,201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Equivalents—195.7%</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2"/>
              </w:rPr>
              <w:t>484,423,207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1"/>
              </w:rPr>
              <w:t>Basis Point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2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Investments in Non-Controlled, Non-</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Affiliated Portfolio Companies—</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101.6%</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w w:val="98"/>
              </w:rPr>
              <w:t>Subordinated Debt/Corporate Notes—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19.8%</w:t>
            </w: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12.20%</w:t>
            </w:r>
            <w:r>
              <w:rPr>
                <w:rFonts w:ascii="Arial" w:cs="Arial" w:eastAsia="Arial" w:hAnsi="Arial"/>
                <w:sz w:val="17"/>
                <w:szCs w:val="17"/>
                <w:color w:val="auto"/>
                <w:vertAlign w:val="superscript"/>
              </w:rPr>
              <w:t>(7)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L+700</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14,580,690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$14,580,690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1"/>
                <w:szCs w:val="11"/>
                <w:color w:val="auto"/>
              </w:rPr>
              <w:t>11.68%</w:t>
            </w:r>
            <w:r>
              <w:rPr>
                <w:rFonts w:ascii="Arial" w:cs="Arial" w:eastAsia="Arial" w:hAnsi="Arial"/>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18,500,000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18,106,103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Realogy, Corp.</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28,000,000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26,117,780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Total Subordinated Debt/Corporate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82"/>
              </w:rPr>
              <w:t>61,080,690</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58,804,573</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53,480,690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12.08%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L+650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10,000,000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13.31%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L+775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10,000,000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9,932,321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(6)</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19,000,000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16,198,167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12,730,000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Specialized Technology Resources,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17,500,000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17,493,750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1"/>
                <w:szCs w:val="11"/>
                <w:color w:val="auto"/>
              </w:rPr>
              <w:t>11.30%</w:t>
            </w:r>
            <w:r>
              <w:rPr>
                <w:rFonts w:ascii="Arial" w:cs="Arial" w:eastAsia="Arial" w:hAnsi="Arial"/>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L+600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13,000,000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12,886,250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69,500,000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66,510,488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58,998,750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Common Equity/Partnership Interest</w:t>
            </w:r>
            <w:r>
              <w:rPr>
                <w:rFonts w:ascii="Arial" w:cs="Arial" w:eastAsia="Arial" w:hAnsi="Arial"/>
                <w:sz w:val="14"/>
                <w:szCs w:val="14"/>
                <w:b w:val="1"/>
                <w:bCs w:val="1"/>
                <w:color w:val="auto"/>
                <w:vertAlign w:val="superscript"/>
              </w:rPr>
              <w:t>(8)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—1.2%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Par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Berry Plastics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04/03/2015</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7.34%</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7,462,500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7,462,500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7,274,602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Burlington Coat Factory Warehouse Corp.</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05/28/2013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7,896,473</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7,887,537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80" w:type="dxa"/>
            <w:vAlign w:val="bottom"/>
            <w:gridSpan w:val="2"/>
          </w:tcPr>
          <w:p>
            <w:pPr>
              <w:spacing w:after="0" w:line="138" w:lineRule="exact"/>
              <w:rPr>
                <w:sz w:val="20"/>
                <w:szCs w:val="20"/>
                <w:color w:val="auto"/>
              </w:rPr>
            </w:pPr>
            <w:r>
              <w:rPr>
                <w:rFonts w:ascii="Arial" w:cs="Arial" w:eastAsia="Arial" w:hAnsi="Arial"/>
                <w:sz w:val="14"/>
                <w:szCs w:val="14"/>
                <w:color w:val="auto"/>
              </w:rPr>
              <w:t>Charter Communications Operating,</w:t>
            </w:r>
          </w:p>
        </w:tc>
        <w:tc>
          <w:tcPr>
            <w:tcW w:w="7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03/06/2014</w:t>
            </w:r>
          </w:p>
        </w:tc>
        <w:tc>
          <w:tcPr>
            <w:tcW w:w="4140" w:type="dxa"/>
            <w:vAlign w:val="bottom"/>
          </w:tcPr>
          <w:p>
            <w:pPr>
              <w:jc w:val="center"/>
              <w:spacing w:after="0" w:line="138" w:lineRule="exact"/>
              <w:rPr>
                <w:sz w:val="20"/>
                <w:szCs w:val="20"/>
                <w:color w:val="auto"/>
              </w:rPr>
            </w:pPr>
            <w:r>
              <w:rPr>
                <w:rFonts w:ascii="Arial" w:cs="Arial" w:eastAsia="Arial" w:hAnsi="Arial"/>
                <w:sz w:val="14"/>
                <w:szCs w:val="14"/>
                <w:color w:val="auto"/>
                <w:w w:val="88"/>
              </w:rPr>
              <w:t>Cable Television</w:t>
            </w:r>
          </w:p>
        </w:tc>
        <w:tc>
          <w:tcPr>
            <w:tcW w:w="100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7.13%</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L+200</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82"/>
              </w:rPr>
              <w:t>15,000,000</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14,992,740</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14,468,310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Cohr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01/31/2013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8.04%</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2,985,000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2,985,000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FR Brand Acquisition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7.53%</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1,990,000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1,990,000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1,887,183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08/28/2014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7,000,000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09/16/2013</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7.61%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6,483,750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6,487,788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6,147,405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12/19/2013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L+350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6,947,500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6,947,500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03/08/2014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7.60%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9,000,000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7,845,003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Hawker Beechcraft,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03/28/2014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1,990,780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1,990,780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Health Management Associates,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02/28/2014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6.95%</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L+175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9,950,000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9,950,000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9,441,615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04/15/2014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5,000,000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Jacuzzi Brands Corp.</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02/07/2014</w:t>
            </w:r>
          </w:p>
        </w:tc>
        <w:tc>
          <w:tcPr>
            <w:tcW w:w="4140" w:type="dxa"/>
            <w:vAlign w:val="bottom"/>
          </w:tcPr>
          <w:p>
            <w:pPr>
              <w:jc w:val="center"/>
              <w:spacing w:after="0"/>
              <w:rPr>
                <w:sz w:val="20"/>
                <w:szCs w:val="20"/>
                <w:color w:val="auto"/>
              </w:rPr>
            </w:pPr>
            <w:r>
              <w:rPr>
                <w:rFonts w:ascii="Arial" w:cs="Arial" w:eastAsia="Arial" w:hAnsi="Arial"/>
                <w:sz w:val="14"/>
                <w:szCs w:val="14"/>
                <w:color w:val="auto"/>
                <w:w w:val="86"/>
              </w:rPr>
              <w:t>Home and Office Furnishings, Housewares and Durable Consumer Products</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7.44%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L+225</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9,963,514</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9,963,514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8,947,235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Basis Point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Level 3 Financing,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03/13/2014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Longview Power,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02/28/2014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Longview Power, L.L.C.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Mach Gen,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02/22/2014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7.34%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3,972,813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3,971,545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3,845,683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384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w w:val="88"/>
              </w:rPr>
              <w:t>01/18/2014   Home and Office Furnishings, Housewares and Durable</w:t>
            </w:r>
          </w:p>
        </w:tc>
        <w:tc>
          <w:tcPr>
            <w:tcW w:w="9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7.61%</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3,740,625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McJunkin Corp.</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01/31/2014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7.45%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965,331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03/28/2014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00" w:type="dxa"/>
            <w:vAlign w:val="bottom"/>
            <w:gridSpan w:val="3"/>
          </w:tcPr>
          <w:p>
            <w:pPr>
              <w:spacing w:after="0"/>
              <w:rPr>
                <w:sz w:val="20"/>
                <w:szCs w:val="20"/>
                <w:color w:val="auto"/>
              </w:rPr>
            </w:pPr>
            <w:r>
              <w:rPr>
                <w:rFonts w:ascii="Arial" w:cs="Arial" w:eastAsia="Arial" w:hAnsi="Arial"/>
                <w:sz w:val="14"/>
                <w:szCs w:val="14"/>
                <w:color w:val="auto"/>
              </w:rPr>
              <w:t>National Bedding Co., L.L.C.</w:t>
            </w:r>
          </w:p>
        </w:tc>
        <w:tc>
          <w:tcPr>
            <w:tcW w:w="3840" w:type="dxa"/>
            <w:vAlign w:val="bottom"/>
            <w:gridSpan w:val="3"/>
          </w:tcPr>
          <w:p>
            <w:pPr>
              <w:ind w:left="20"/>
              <w:spacing w:after="0"/>
              <w:rPr>
                <w:sz w:val="20"/>
                <w:szCs w:val="20"/>
                <w:color w:val="auto"/>
              </w:rPr>
            </w:pPr>
            <w:r>
              <w:rPr>
                <w:rFonts w:ascii="Arial" w:cs="Arial" w:eastAsia="Arial" w:hAnsi="Arial"/>
                <w:sz w:val="14"/>
                <w:szCs w:val="14"/>
                <w:color w:val="auto"/>
                <w:w w:val="88"/>
              </w:rPr>
              <w:t>08/31/2011   Home and Office Furnishings, Housewares and Durable</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7.43%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L+200</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6,965,000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6,971,653</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6,668,988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02/01/2013</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7.59%</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03/16/2014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7.36%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Proquest CSA,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02/09/2014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05/04/2014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8.56%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07/19/2013</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8"/>
              </w:rPr>
              <w:t>Manufacturing and Basic Industry</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01/30/2014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09/29/2014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7.57%</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13,389,262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Univision Communications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09/29/2014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Valassis Communications,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6.95%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Valassis Communications,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Western Refining,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05/30/2014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6.88%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170,481,009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170,474,236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158,929,905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3"/>
              </w:rPr>
              <w:t>Total Investments in Non-Controlled, Non-Affiliated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Portfolio Companies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4"/>
              </w:rPr>
              <w:t>298,789,297</w:t>
            </w:r>
          </w:p>
        </w:tc>
        <w:tc>
          <w:tcPr>
            <w:tcW w:w="24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274,679,030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Basis Point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Maturity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8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1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Affiliated Portfolio Companies—</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jc w:val="right"/>
              <w:ind w:right="35"/>
              <w:spacing w:after="0" w:line="176" w:lineRule="exact"/>
              <w:rPr>
                <w:sz w:val="20"/>
                <w:szCs w:val="20"/>
                <w:color w:val="auto"/>
              </w:rPr>
            </w:pPr>
            <w:r>
              <w:rPr>
                <w:rFonts w:ascii="Arial" w:cs="Arial" w:eastAsia="Arial" w:hAnsi="Arial"/>
                <w:sz w:val="13"/>
                <w:szCs w:val="13"/>
                <w:b w:val="1"/>
                <w:bCs w:val="1"/>
                <w:color w:val="auto"/>
              </w:rPr>
              <w:t>6.0%</w:t>
            </w:r>
            <w:r>
              <w:rPr>
                <w:rFonts w:ascii="Arial" w:cs="Arial" w:eastAsia="Arial" w:hAnsi="Arial"/>
                <w:sz w:val="20"/>
                <w:szCs w:val="20"/>
                <w:b w:val="1"/>
                <w:bCs w:val="1"/>
                <w:color w:val="auto"/>
                <w:vertAlign w:val="superscript"/>
              </w:rPr>
              <w:t>(2)</w:t>
            </w:r>
          </w:p>
        </w:tc>
        <w:tc>
          <w:tcPr>
            <w:tcW w:w="3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Notes—1.4%</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07/02/2014</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(7)</w:t>
            </w:r>
          </w:p>
        </w:tc>
        <w:tc>
          <w:tcPr>
            <w:tcW w:w="8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3,837,578</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3,592,573</w:t>
            </w:r>
          </w:p>
        </w:tc>
        <w:tc>
          <w:tcPr>
            <w:tcW w:w="3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Debt—3.2%</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07/02/2013</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11.11%</w:t>
            </w:r>
          </w:p>
        </w:tc>
        <w:tc>
          <w:tcPr>
            <w:tcW w:w="8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8,750,000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(8)</w:t>
            </w:r>
            <w:r>
              <w:rPr>
                <w:rFonts w:ascii="Arial" w:cs="Arial" w:eastAsia="Arial" w:hAnsi="Arial"/>
                <w:sz w:val="11"/>
                <w:szCs w:val="11"/>
                <w:b w:val="1"/>
                <w:bCs w:val="1"/>
                <w:color w:val="auto"/>
              </w:rPr>
              <w:t>—1.4%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8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tcPr>
          <w:p>
            <w:pPr>
              <w:spacing w:after="0"/>
              <w:rPr>
                <w:sz w:val="11"/>
                <w:szCs w:val="11"/>
                <w:color w:val="auto"/>
              </w:rPr>
            </w:pPr>
          </w:p>
        </w:tc>
        <w:tc>
          <w:tcPr>
            <w:tcW w:w="980" w:type="dxa"/>
            <w:vAlign w:val="bottom"/>
            <w:gridSpan w:val="2"/>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Affiliated Portfolio Companies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16,092,573</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16,337,578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Investments—107.6%</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314,881,870</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291,016,608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Equivalents—95.4%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U.S. Treasury Bill</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12/27/2007</w:t>
            </w:r>
          </w:p>
        </w:tc>
        <w:tc>
          <w:tcPr>
            <w:tcW w:w="1600" w:type="dxa"/>
            <w:vAlign w:val="bottom"/>
          </w:tcPr>
          <w:p>
            <w:pPr>
              <w:spacing w:after="0"/>
              <w:rPr>
                <w:sz w:val="12"/>
                <w:szCs w:val="12"/>
                <w:color w:val="auto"/>
              </w:rPr>
            </w:pP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3.64%</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255,000,000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2"/>
              </w:rPr>
              <w:t>252,759,931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252,703,215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Money Market—Mutual Fund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5,256,420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5,256,420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5,256,420</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Cash Equivalents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2"/>
              </w:rPr>
              <w:t>260,256,420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258,016,351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257,959,635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Equivalents—203.0%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572,898,221</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548,976,243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Assets—(103.0%)</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4"/>
              </w:rPr>
              <w:t>(278,583,149)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270,393,094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purchases of securities with delayed draws. These securities do not have a basis point spread above index.</w:t>
      </w:r>
    </w:p>
    <w:p>
      <w:pPr>
        <w:spacing w:after="0" w:line="68" w:lineRule="exact"/>
        <w:rPr>
          <w:rFonts w:ascii="Arial" w:cs="Arial" w:eastAsia="Arial" w:hAnsi="Arial"/>
          <w:sz w:val="14"/>
          <w:szCs w:val="14"/>
          <w:color w:val="auto"/>
        </w:rPr>
      </w:pPr>
    </w:p>
    <w:p>
      <w:pPr>
        <w:ind w:left="340" w:right="3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60" w:hanging="446"/>
        <w:spacing w:after="0" w:line="290"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5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1480" w:right="160" w:hanging="567"/>
        <w:spacing w:after="0" w:line="268"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40" w:hanging="567"/>
        <w:spacing w:after="0" w:line="256"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1480" w:right="200" w:hanging="567"/>
        <w:spacing w:after="0" w:line="259"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Investments purchased within 60 days of maturity are valued at cost plus accreted discount, or minus amortized premium, which approximates value.</w:t>
      </w:r>
    </w:p>
    <w:p>
      <w:pPr>
        <w:spacing w:after="0" w:line="124" w:lineRule="exact"/>
        <w:rPr>
          <w:rFonts w:ascii="Arial" w:cs="Arial" w:eastAsia="Arial" w:hAnsi="Arial"/>
          <w:sz w:val="15"/>
          <w:szCs w:val="15"/>
          <w:color w:val="auto"/>
        </w:rPr>
      </w:pPr>
    </w:p>
    <w:p>
      <w:pPr>
        <w:ind w:left="900" w:right="20" w:hanging="446"/>
        <w:spacing w:after="0" w:line="255"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98" w:lineRule="auto"/>
        <w:rPr>
          <w:sz w:val="20"/>
          <w:szCs w:val="20"/>
          <w:color w:val="auto"/>
        </w:rPr>
      </w:pPr>
      <w:r>
        <w:rPr>
          <w:rFonts w:ascii="Arial" w:cs="Arial" w:eastAsia="Arial" w:hAnsi="Arial"/>
          <w:sz w:val="16"/>
          <w:szCs w:val="16"/>
          <w:color w:val="auto"/>
        </w:rPr>
        <w:t>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to the extent that we expect to collect such amounts.</w:t>
      </w:r>
    </w:p>
    <w:p>
      <w:pPr>
        <w:spacing w:after="0" w:line="45" w:lineRule="exact"/>
        <w:rPr>
          <w:sz w:val="20"/>
          <w:szCs w:val="20"/>
          <w:color w:val="auto"/>
        </w:rPr>
      </w:pPr>
    </w:p>
    <w:p>
      <w:pPr>
        <w:ind w:left="900" w:right="60" w:hanging="446"/>
        <w:spacing w:after="0" w:line="286"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2007 or September 30, 2008. Although we file federal and state tax returns, our major tax jurisdiction is federal. Our 2008 and 2007 federal tax year remains subject to examination by the IRS.</w:t>
      </w:r>
    </w:p>
    <w:p>
      <w:pPr>
        <w:spacing w:after="0" w:line="43"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jc w:val="both"/>
        <w:ind w:left="900" w:right="120" w:hanging="446"/>
        <w:spacing w:after="0" w:line="298"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have adopted SFAS 157 on October 1, 2008. This adoption did not affect the Company’s financial position or its results of operations.</w:t>
      </w:r>
    </w:p>
    <w:p>
      <w:pPr>
        <w:spacing w:after="0" w:line="39"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SFAS 159 on October 1, 2008 and have made an irrevocable election to apply the fair value option to our credit facility liability. Upon our adoption our Net Asset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306" w:lineRule="auto"/>
        <w:rPr>
          <w:sz w:val="20"/>
          <w:szCs w:val="20"/>
          <w:color w:val="auto"/>
        </w:rPr>
      </w:pPr>
      <w:r>
        <w:rPr>
          <w:rFonts w:ascii="Arial" w:cs="Arial" w:eastAsia="Arial" w:hAnsi="Arial"/>
          <w:sz w:val="16"/>
          <w:szCs w:val="16"/>
          <w:color w:val="auto"/>
        </w:rPr>
        <w:t>Value increased by $41.8 million, or $1.98 per share, due to the fair value adjustment related to our credit facility. After adoption, subsequent changes in the fair value of our credit facility will be recorded in the Statement of Operations. We have not elected to apply the fair value option to any other financial assets or liabilities. The balances in the September 30, 2008 financial statements as reported did not reflect such adoption.</w:t>
      </w:r>
    </w:p>
    <w:p>
      <w:pPr>
        <w:spacing w:after="0" w:line="39" w:lineRule="exact"/>
        <w:rPr>
          <w:sz w:val="20"/>
          <w:szCs w:val="20"/>
          <w:color w:val="auto"/>
        </w:rPr>
      </w:pPr>
    </w:p>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9).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 ended September 30, 2008, the Investment Adviser received a net base management fee of $6.7 million from the Company. For the period from April 24, 2007 (initial public offering) through September 30, 2007, the Investment Adviser received a net base management fee of approximately $1.9 million from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6" w:lineRule="exact"/>
        <w:rPr>
          <w:sz w:val="20"/>
          <w:szCs w:val="20"/>
          <w:color w:val="auto"/>
        </w:rPr>
      </w:pPr>
    </w:p>
    <w:p>
      <w:pPr>
        <w:ind w:right="20" w:firstLine="464"/>
        <w:spacing w:after="0" w:line="306"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 ended September 30, 2008, the Adviser received an incentive fee of $3.8 million from the Company. For the period from April 24, 2007 (initial public offering) through September 30, 2007, the Investment Adviser did not receive an incentive fee from the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 ended September 30, 2008, the Investment Adviser was reimbursed $2.0 million from the Company, including expenses it incurred on behalf of the Administrator, for services described above. For the period from April 24, 2007 (initial public offering) through September 30, 2007, the Investment Adviser was reimbursed approximately $490,000 from the Company for services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On September 30, 2008, PennantPark Investment’s total net assets and net asset value per share were $210.7 million and $10.00, respectively. On September 30, 2007, PennantPark Investment’s total net assets and net asset value per share were $270.4 million and $12.83, respectively.</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20"/>
          </w:cols>
          <w:pgMar w:left="240" w:top="460"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(40,702,939)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21,068,772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20,936,149*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Since completion of IPO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Purchases and sales/repayments of long-term investments for the fiscal year ended September 30, 2008 totaled $206.8 million and $70.1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132,155,221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104,242,000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187,087,744</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166,173,175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9,298,819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9,298,819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Common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10,409,360</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13,588,897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105,222,862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78,844,929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40,249,201</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40,249,201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258,016,351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484,423,207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412,397,021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548,976,243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2008 and September 30, 2007.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6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84"/>
              </w:rPr>
              <w:t>September 30, 2008</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6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Energy /Utilities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Manufacturing / Basic Industry</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Broadcast and Entertainment</w:t>
            </w:r>
          </w:p>
        </w:tc>
        <w:tc>
          <w:tcPr>
            <w:tcW w:w="26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26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6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fiscal year ended September 30, 2008, there were no permanent book-to-tax differences present. Aggregate stockholders’ equity was not affected as a result of any reclassification. As of September 30, 2008, the cost of investments for federal income tax purposes was $444.2 million resulting in a gross unrealized appreciation and depreciation of $7.9 million and $79.9 million, respectively. The following reconciles net increase in stockholders’ equity resulting from operations to taxable income for the year ended September 30, 2008:</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stockholders’ equity resulting from operations</w:t>
            </w:r>
          </w:p>
        </w:tc>
        <w:tc>
          <w:tcPr>
            <w:tcW w:w="2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$(40,702,939)</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48,104,208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 not taxable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11,154,735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 derived from revenue recognition of contractual PIK interest</w:t>
            </w: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(295,894)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deductible expenses</w:t>
            </w:r>
          </w:p>
        </w:tc>
        <w:tc>
          <w:tcPr>
            <w:tcW w:w="1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Taxable income before deductions for distributions</w:t>
            </w:r>
          </w:p>
        </w:tc>
        <w:tc>
          <w:tcPr>
            <w:tcW w:w="1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vMerge w:val="continue"/>
          </w:tcPr>
          <w:p>
            <w:pPr>
              <w:spacing w:after="0"/>
              <w:rPr>
                <w:sz w:val="19"/>
                <w:szCs w:val="19"/>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$ 18,246,302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4620"/>
              <w:spacing w:after="0"/>
              <w:rPr>
                <w:sz w:val="20"/>
                <w:szCs w:val="20"/>
                <w:color w:val="auto"/>
              </w:rPr>
            </w:pPr>
            <w:r>
              <w:rPr>
                <w:rFonts w:ascii="Arial" w:cs="Arial" w:eastAsia="Arial" w:hAnsi="Arial"/>
                <w:sz w:val="18"/>
                <w:szCs w:val="18"/>
                <w:color w:val="auto"/>
              </w:rPr>
              <w:t>F-21</w:t>
            </w: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2008,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(602,660)</w:t>
            </w:r>
          </w:p>
        </w:tc>
      </w:tr>
      <w:tr>
        <w:trPr>
          <w:trHeight w:val="223"/>
        </w:trPr>
        <w:tc>
          <w:tcPr>
            <w:tcW w:w="9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(602,660)</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Capital loss carry forward*</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(205,217)</w:t>
            </w: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2007 capital losses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(11,045,348)</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of investments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(72,026,186)</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earnings/(deficit)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(83,879,411)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Expires 2016.</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Under federal tax law, foreign currency and capital losses realized after October 31 may be deferred and treated as having arisen on the first day of the following fiscal year. For the year ended September 30, 2008, the Corporation incurred post October capital losses of $11.0 million that will be deferred to the year ended September 30,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2008 or September 30, 2007.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(inception)</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7260" w:type="dxa"/>
            <w:vAlign w:val="bottom"/>
          </w:tcPr>
          <w:p>
            <w:pPr>
              <w:spacing w:after="0"/>
              <w:rPr>
                <w:sz w:val="12"/>
                <w:szCs w:val="12"/>
                <w:color w:val="auto"/>
              </w:rPr>
            </w:pPr>
          </w:p>
        </w:tc>
        <w:tc>
          <w:tcPr>
            <w:tcW w:w="18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12.83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change in realized and unrealized loss</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7.41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13.40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w w:val="95"/>
              </w:rPr>
              <w:t>21,068,772</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21,068,772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w w:val="85"/>
              </w:rPr>
              <w:t>210,728,260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270,393,094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5"/>
              </w:rPr>
              <w:t>119,472,732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5.67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sz w:val="20"/>
          <w:szCs w:val="20"/>
          <w:color w:val="auto"/>
        </w:rPr>
      </w:pPr>
    </w:p>
    <w:p>
      <w:pPr>
        <w:ind w:left="460" w:right="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fiscal year ended September 30, 2008, the ratio of operating expenses before management fee waiver to average net assets was 6.47%, and the ratio of total expenses before management fee waiver to average net assets was 9.13%.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2008, there was $202.0 million in outstanding borrowings under the Credit Agreement (including $40.0 million temporary draw), with an average interest rate of 3.93%.</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Separately, Pennant SPV Company, LLC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Credit Agreement contains customary affirmative and negative covenants, including the maintenance of a minimum stockholders’ equity, the maintenance of a ratio not less than 200% of total assets (less total liabilities other than indebtedness) to total indebtedness (approximately 204% including temporary draw as of September 30, 2008 or 230% excluding such draws), and restrictions on certain payments and issuance of debt. For a complete list of such covenants, see our current report on Form 8-K, filed June 28, 2007.</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Subsequent to September 30, 2008 and through the date of this report, conditions in the public debt and equity markets have continued to deteriorate and our net asset value has continued to decline. The Credit Agreement requires the Company to maintain a minimum amount of shareholder’s equity and requires that the Company’s outstanding borrowings under the Credit Agreement not exceed a certain percentage of the values of its portfolio companies. The Company’s continued compliance with these covenants depends on many factors, some of which are beyond the Company’s control. For example, during the fiscal year ended September 30, 2008, net unrealized depreciation in the Company’s portfolio increased and, given the further deterioration in public capital markets and pricing levels subsequent to this period, net unrealized depreciation in the portfolio may continue to increase in the future. Further material net asset devaluation could have a material adverse effect on the Company’s operations, and could require the Company to reduce its borrowings under the Credit Agreement in order to comply with certain of the Credit Agreement covenants, including the ratio of total assets to total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 of investments, as of June 30, 2009, the statements of operations for the three and nine month periods ended June 30, 2009 and 2008, and the statements of changes in net assets, and cash flows for the nine months ended June 30, 2009 and 2008. These interim financial statements are the responsibility of the Company’s management.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2008; and in our report dated November 20, 2008,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03375" cy="3600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4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June 30, 2009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(cost—$435,642,024 and $427,481,745,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377,382,905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354,261,950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Non-controlled, affiliated investments, at fair value (cost—$17,200,193 and $16,692,261, respectively)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15,755,326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17,885,870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at fair value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393,138,231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541,136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1,381,011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4,770,692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1,271,943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401,103,013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5,056,505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4,183,666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6,331,385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(fair value: $134,057,558 and $160,204,000, respectively) (cost: $187,300,000 and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$202,000,000, respectively)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 7)</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134,057,558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1,928,082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1,415,872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1,080,397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154,125,773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w w:val="97"/>
              </w:rPr>
              <w:t>Common stock, par value $0.001 per share, 100,000,000 shares authorized and 21,068,772 shares issued and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294,586,604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928,718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41,796,000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(42,097,607)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(59,703,986)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11,446,442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246,977,240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210,728,260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401,103,013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419,810,699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3"/>
              </w:rPr>
              <w:t>June 30, 2009</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2008</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3"/>
              </w:rPr>
              <w:t>June 30, 2009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June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10,347,405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9,212,625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31,930,815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27,148,848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123,955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111,924</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351,449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337,832</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988,668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10,769,709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9,662,381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33,270,932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28,379,911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1,928,082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1,829,909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5,495,505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1,412,925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985,287</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4,175,224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2,433,394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1,656,140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3,817,133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582,177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591,726</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1,558,672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658,178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1,523,505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5,103,278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5,721,240</w:t>
            </w: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16,570,039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15,678,748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waiver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5,103,278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5,721,240</w:t>
            </w: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16,570,039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15,258,017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5,666,431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3,941,141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16,700,893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13,121,894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w w:val="97"/>
              </w:rPr>
              <w:t>Realized and unrealized gain (loss) on investments, cash equivalents and</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credit facility:</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(24,701,776)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(401,624)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(30,847,040)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27,736,328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10,700,808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14,960,676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(41,097,670)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(318,107)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964,139</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(2,638,476)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(9,202,647)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11,446,442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18,215,574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11,664,947</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23,768,642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(42,161,761)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Net realized and unrealized gain (loss) from investments, cash equivalents,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credit facility</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(6,486,202)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11,263,323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(7,078,398)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(42,782,759)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net assets resulting from operations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(819,771)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15,204,464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9,622,495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(29,660,865)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Net (decrease) increase in net assets resulting from operations per common share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June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16,700,893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13,121,894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(30,847,040)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12,322,200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11,446,442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9,622,495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(29,660,865)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(15,169,515)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dividends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(15,169,515)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decrease in net assets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2"/>
            <w:vMerge w:val="continue"/>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(5,547,020)</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(43,566,255)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7)</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Arial" w:cs="Arial" w:eastAsia="Arial" w:hAnsi="Arial"/>
                <w:sz w:val="18"/>
                <w:szCs w:val="18"/>
                <w:color w:val="auto"/>
              </w:rPr>
              <w:t>Adjusted beginning of period</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252,524,260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246,977,240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226,826,839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 in excess of) net investment income, at period end</w:t>
            </w: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928,718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(980,265)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7"/>
              </w:rPr>
              <w:t>June 30, 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7"/>
              </w:rPr>
              <w:t>June 30,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9,622,495</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(29,660,865)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net increase (decrease) in net assets resulting from operations to net cash used by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(12,322,200)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(11,446,442)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30,847,040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(1,903,798)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(47,957,218)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(149,312,146)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(2,528,233)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12,873,998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14,410,296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receivable for investment sold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(1,381,011)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 interest receivable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1,275,507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6,331,385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interest payable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(653,009)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management fee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1,842,186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increase in accrued other expenses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(11,291)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(9,838,550)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(397,124,009)</w:t>
            </w: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(15,169,515)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(13,905,390)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359,840,000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(100,000,000)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(165,740,000)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280"/>
              <w:spacing w:after="0"/>
              <w:rPr>
                <w:sz w:val="20"/>
                <w:szCs w:val="20"/>
                <w:color w:val="auto"/>
              </w:rPr>
            </w:pPr>
            <w:r>
              <w:rPr>
                <w:rFonts w:ascii="Arial" w:cs="Arial" w:eastAsia="Arial" w:hAnsi="Arial"/>
                <w:sz w:val="18"/>
                <w:szCs w:val="18"/>
                <w:color w:val="auto"/>
              </w:rPr>
              <w:t>Net cash (used) provided by financing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(29,869,515)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180,194,610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(39,708,065)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(216,929,399)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257,959,635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41,030,236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 and non-cash financing activity: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4,270,412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3,840,424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41,796,000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9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8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4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Companies—152.8%</w:t>
            </w:r>
            <w:r>
              <w:rPr>
                <w:rFonts w:ascii="Arial" w:cs="Arial" w:eastAsia="Arial" w:hAnsi="Arial"/>
                <w:sz w:val="16"/>
                <w:szCs w:val="16"/>
                <w:b w:val="1"/>
                <w:bCs w:val="1"/>
                <w:color w:val="auto"/>
                <w:vertAlign w:val="superscript"/>
              </w:rPr>
              <w:t>(1)(2)</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 / Corporate Notes—61.2%</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3/1/2012</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9.27%</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L+750</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21,787,179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19,980,000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4/17/2015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7,976,044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3/19/2014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20,210,550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19,780,909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20,210,550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Digicel Ltd.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4/1/2014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22,499,596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22,219,219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22,724,592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5/20/2012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13.75%</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19,647,170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12/28/2015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EDUCATION</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10,259,430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10,129,726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10,054,242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5"/>
              </w:rPr>
              <w:t>BUILDINGS &amp; REAL</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6"/>
              </w:rPr>
              <w:t>4/15/2015</w:t>
            </w: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88"/>
              </w:rPr>
              <w:t>ESTATE</w:t>
            </w:r>
          </w:p>
        </w:tc>
        <w:tc>
          <w:tcPr>
            <w:tcW w:w="11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12.38%</w:t>
            </w:r>
          </w:p>
        </w:tc>
        <w:tc>
          <w:tcPr>
            <w:tcW w:w="9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28,000,000</w:t>
            </w:r>
          </w:p>
        </w:tc>
        <w:tc>
          <w:tcPr>
            <w:tcW w:w="2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26,531,029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7,840,000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10/1/2016</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20,020,106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 Sub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2/8/2015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20,531,948</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 / 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173,776,900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169,618,330</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151,216,708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Debt—41.9%</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Infrastucture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6.46%</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L+600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13,600,000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13,130,857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12,267,200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Infrastucture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7.69%</w:t>
            </w: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L+700</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11,720,122</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11,232,000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4/30/2015</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8.10%</w:t>
            </w:r>
          </w:p>
        </w:tc>
        <w:tc>
          <w:tcPr>
            <w:tcW w:w="9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L+750</w:t>
            </w: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28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4"/>
              </w:rPr>
              <w:t>11,953,089</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11,076,000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CARGO TRANSPORT</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L+650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5/15/2017</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TRANSPORTATION</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12.50%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16,840,878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5/15/2015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TRANSPORTATION</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8.63%</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L+775</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9,965,034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Sheridan Holdings,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6/15/2015</w:t>
            </w: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6.07%</w:t>
            </w:r>
            <w:r>
              <w:rPr>
                <w:rFonts w:ascii="Arial" w:cs="Arial" w:eastAsia="Arial" w:hAnsi="Arial"/>
                <w:sz w:val="22"/>
                <w:szCs w:val="22"/>
                <w:color w:val="auto"/>
                <w:vertAlign w:val="superscript"/>
              </w:rPr>
              <w:t>(6)</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80" w:type="dxa"/>
            <w:vAlign w:val="bottom"/>
            <w:gridSpan w:val="3"/>
            <w:vMerge w:val="continue"/>
          </w:tcPr>
          <w:p>
            <w:pPr>
              <w:spacing w:after="0"/>
              <w:rPr>
                <w:sz w:val="13"/>
                <w:szCs w:val="13"/>
                <w:color w:val="auto"/>
              </w:rPr>
            </w:pPr>
          </w:p>
        </w:tc>
        <w:tc>
          <w:tcPr>
            <w:tcW w:w="9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L+575</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21,500,000</w:t>
            </w:r>
          </w:p>
        </w:tc>
        <w:tc>
          <w:tcPr>
            <w:tcW w:w="2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18,786,899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4"/>
              </w:rPr>
              <w:t>18,253,500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Specialized Technology Resources,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7.31%</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12/15/2014</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1180" w:type="dxa"/>
            <w:vAlign w:val="bottom"/>
            <w:gridSpan w:val="3"/>
            <w:vMerge w:val="continue"/>
            <w:shd w:val="clear" w:color="auto" w:fill="CCEEFF"/>
          </w:tcPr>
          <w:p>
            <w:pPr>
              <w:spacing w:after="0"/>
              <w:rPr>
                <w:sz w:val="13"/>
                <w:szCs w:val="13"/>
                <w:color w:val="auto"/>
              </w:rPr>
            </w:pPr>
          </w:p>
        </w:tc>
        <w:tc>
          <w:tcPr>
            <w:tcW w:w="9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L+700</w:t>
            </w: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2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22,487,594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6/15/2015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FINANCIAL SERVICES</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7.06%</w:t>
            </w:r>
            <w:r>
              <w:rPr>
                <w:rFonts w:ascii="Arial" w:cs="Arial" w:eastAsia="Arial" w:hAnsi="Arial"/>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L+675</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15,936,742</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13,909,500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139,282,000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133,003,215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103,370,200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—4.2%</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797,288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(TZ Merger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8.00%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2,499,066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2,778,961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4,054,722</w:t>
            </w:r>
          </w:p>
        </w:tc>
        <w:tc>
          <w:tcPr>
            <w:tcW w:w="2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9,573,076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10,259,189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7"/>
                <w:szCs w:val="17"/>
                <w:b w:val="1"/>
                <w:bCs w:val="1"/>
                <w:color w:val="auto"/>
                <w:vertAlign w:val="superscript"/>
              </w:rPr>
              <w:t>(7)</w:t>
            </w:r>
            <w:r>
              <w:rPr>
                <w:rFonts w:ascii="Arial" w:cs="Arial" w:eastAsia="Arial" w:hAnsi="Arial"/>
                <w:sz w:val="11"/>
                <w:szCs w:val="11"/>
                <w:b w:val="1"/>
                <w:bCs w:val="1"/>
                <w:color w:val="auto"/>
              </w:rPr>
              <w:t>—5.5%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3,005,163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gridSpan w:val="2"/>
          </w:tcPr>
          <w:p>
            <w:pPr>
              <w:ind w:left="200"/>
              <w:spacing w:after="0"/>
              <w:rPr>
                <w:sz w:val="20"/>
                <w:szCs w:val="20"/>
                <w:color w:val="auto"/>
              </w:rPr>
            </w:pPr>
            <w:r>
              <w:rPr>
                <w:rFonts w:ascii="Arial" w:cs="Arial" w:eastAsia="Arial" w:hAnsi="Arial"/>
                <w:sz w:val="14"/>
                <w:szCs w:val="14"/>
                <w:color w:val="auto"/>
              </w:rPr>
              <w:t>Holdings, Inc.)</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BUSINESS SERVICES</w:t>
            </w:r>
          </w:p>
        </w:tc>
        <w:tc>
          <w:tcPr>
            <w:tcW w:w="2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5,556</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3,200,000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6,462,006</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9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—(Continued)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440,000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  2,467,643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 (Greatwide Logistics Services,</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CARGO TRANSPORT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106,299</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1,779,455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2,034,392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1,122,240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1,607,618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648,092</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8,448,272</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13,704,085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Equity—Warrants</w:t>
            </w:r>
            <w:r>
              <w:rPr>
                <w:rFonts w:ascii="Arial" w:cs="Arial" w:eastAsia="Arial" w:hAnsi="Arial"/>
                <w:sz w:val="17"/>
                <w:szCs w:val="17"/>
                <w:b w:val="1"/>
                <w:bCs w:val="1"/>
                <w:color w:val="auto"/>
                <w:vertAlign w:val="superscript"/>
              </w:rPr>
              <w:t>(7)</w:t>
            </w:r>
            <w:r>
              <w:rPr>
                <w:rFonts w:ascii="Arial" w:cs="Arial" w:eastAsia="Arial" w:hAnsi="Arial"/>
                <w:sz w:val="11"/>
                <w:szCs w:val="11"/>
                <w:b w:val="1"/>
                <w:bCs w:val="1"/>
                <w:color w:val="auto"/>
              </w:rPr>
              <w:t>—0.0%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VSS-AHC HOLDINGS, LLC (expires 11/6/18)</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Debt—40.0%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3/4/2015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DISTRIBUTION</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$ 13,964,912</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11,852,349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13,154,947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2.56%</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7,877,863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7,871,705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EnviroSolutions, Inc.</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6"/>
              </w:rPr>
              <w:t>ENVIRONMENTAL</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3"/>
              </w:rPr>
              <w:t>L+775</w:t>
            </w:r>
            <w:r>
              <w:rPr>
                <w:rFonts w:ascii="Arial" w:cs="Arial" w:eastAsia="Arial" w:hAnsi="Arial"/>
                <w:sz w:val="22"/>
                <w:szCs w:val="22"/>
                <w:color w:val="auto"/>
                <w:w w:val="83"/>
                <w:vertAlign w:val="superscript"/>
              </w:rPr>
              <w:t>(8)</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8"/>
              </w:rPr>
              <w:t>7/7/2012</w:t>
            </w: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0"/>
              </w:rPr>
              <w:t>SERVICES</w:t>
            </w:r>
          </w:p>
        </w:tc>
        <w:tc>
          <w:tcPr>
            <w:tcW w:w="11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14,122,062</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13,281,220</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14,122,062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3/8/2014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6,232,096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4/15/2014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3.19%</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L+250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2.58%</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9,835,811</w:t>
            </w:r>
          </w:p>
        </w:tc>
        <w:tc>
          <w:tcPr>
            <w:tcW w:w="11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9,835,811</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4,081,861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7.75%</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L+475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4,446,133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4,446,133</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2,769,937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12/15/2009</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86"/>
              </w:rPr>
              <w:t>L+1,000</w:t>
            </w:r>
            <w:r>
              <w:rPr>
                <w:rFonts w:ascii="Arial" w:cs="Arial" w:eastAsia="Arial" w:hAnsi="Arial"/>
                <w:sz w:val="22"/>
                <w:szCs w:val="22"/>
                <w:color w:val="auto"/>
                <w:w w:val="86"/>
                <w:vertAlign w:val="superscript"/>
              </w:rPr>
              <w:t>(8)</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13.00%</w:t>
            </w:r>
          </w:p>
        </w:tc>
        <w:tc>
          <w:tcPr>
            <w:tcW w:w="900" w:type="dxa"/>
            <w:vAlign w:val="bottom"/>
            <w:gridSpan w:val="2"/>
            <w:vMerge w:val="continue"/>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12,668,615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12,862,512</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13,037,589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12/15/2009</w:t>
            </w: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200" w:type="dxa"/>
            <w:vAlign w:val="bottom"/>
          </w:tcPr>
          <w:p>
            <w:pPr>
              <w:spacing w:after="0"/>
              <w:rPr>
                <w:sz w:val="13"/>
                <w:szCs w:val="13"/>
                <w:color w:val="auto"/>
              </w:rPr>
            </w:pPr>
          </w:p>
        </w:tc>
        <w:tc>
          <w:tcPr>
            <w:tcW w:w="98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6,331,385</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6,382,317</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6,515,786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1/18/2014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2.56%</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3,920,175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3,920,175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2,944,051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3/28/2014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2.63%</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1,915,102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1,915,102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1,599,110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2.38%</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6,842,500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6,847,056</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5,838,931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2/1/2013</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3.22%</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4,887,500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4,887,500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3/16/2014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2.31%</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Quebecor World,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7/21/2012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PRINTING</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9.00%</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L+600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5.25%</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3,127,467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Rexair,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6/30/2010</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RETAIL</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4.85%</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L+425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2,658,369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1,991,445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7/19/2013</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MANUFACTURING/</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BASIC INDUSTRY</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2.31%</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2,895,305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2,895,305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2,461,009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1/30/2014</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6.38%</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L+550</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2,395,319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118,726,233</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114,999,131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98,832,723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0"/>
              </w:rPr>
              <w:t>Current</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Coupon</w:t>
            </w:r>
          </w:p>
        </w:tc>
        <w:tc>
          <w:tcPr>
            <w:tcW w:w="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435,642,024</w:t>
            </w: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377,382,905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Companies—6.4%</w:t>
            </w:r>
            <w:r>
              <w:rPr>
                <w:rFonts w:ascii="Arial" w:cs="Arial" w:eastAsia="Arial" w:hAnsi="Arial"/>
                <w:sz w:val="18"/>
                <w:szCs w:val="18"/>
                <w:b w:val="1"/>
                <w:bCs w:val="1"/>
                <w:color w:val="auto"/>
                <w:vertAlign w:val="superscript"/>
              </w:rPr>
              <w:t>(1)(2)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 / Corporate Notes—2.0%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88"/>
              </w:rPr>
              <w:t>7/2/2014</w:t>
            </w: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0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w w:val="97"/>
              </w:rPr>
              <w:t>$ 4,903,147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4,700,193</w:t>
            </w:r>
          </w:p>
        </w:tc>
        <w:tc>
          <w:tcPr>
            <w:tcW w:w="16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4,817,342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88"/>
              </w:rPr>
              <w:t>7/2/2013</w:t>
            </w: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6.78%</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1"/>
              </w:rPr>
              <w:t>L+575</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8,750,000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8,750,000</w:t>
            </w:r>
          </w:p>
        </w:tc>
        <w:tc>
          <w:tcPr>
            <w:tcW w:w="16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7,848,750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—1.2%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37,500</w:t>
            </w:r>
          </w:p>
        </w:tc>
        <w:tc>
          <w:tcPr>
            <w:tcW w:w="1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3,089,234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17,200,193</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15,755,326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Investments—159.2%</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87"/>
              </w:rPr>
              <w:t>452,842,217</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393,138,231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541,136</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Equivalents—159.4%</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7"/>
              </w:rPr>
              <w:t>453,383,353</w:t>
            </w: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393,679,367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Liabilities in Excess of Other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Assets—(59.4%)</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(146,702,127)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246,977,240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LIBOR or Prime rate floor applies.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purchases of securities with delayed settlement. These securities do not have a basis point spread above index.</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Basis Point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98"/>
              </w:rPr>
              <w:t>Current</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Coupon</w:t>
            </w: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40" w:type="dxa"/>
            <w:vAlign w:val="bottom"/>
            <w:gridSpan w:val="5"/>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Subordinated Debt / Corporate Notes—76.8%</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16,268,634</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16,268,634</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03/01/2012</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L+625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04/17/2015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03/19/2014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06/06/2014</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05/20/2012</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13.75%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12/28/2015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04/15/2015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12.38%</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10/01/2016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02/08/2015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13.50%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Subordinated Debt / Corporate Notes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187,877,433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Brand Energy and Infrastructure Services,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02/07/2015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Energy / Utilities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9.81%</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w w:val="97"/>
              </w:rPr>
              <w:t>Brand Energy and Infrastructure Services,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02/07/2015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0"/>
              </w:rPr>
              <w:t>Energy / Utilities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8.81%</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Generics International (U.S.),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04/30/2015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11.26%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11,947,073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11/04/2014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9.31%</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L+650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10.55%</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05/15/2017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8.54%</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L+575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11,838,114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12/15/2014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L+600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128,100,000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Basis Point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90"/>
              </w:rPr>
              <w:t>Current</w:t>
            </w: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22"/>
                <w:szCs w:val="22"/>
                <w:b w:val="1"/>
                <w:bCs w:val="1"/>
                <w:color w:val="auto"/>
                <w:w w:val="86"/>
                <w:vertAlign w:val="superscript"/>
              </w:rPr>
              <w:t>(3)</w:t>
            </w:r>
          </w:p>
        </w:tc>
        <w:tc>
          <w:tcPr>
            <w:tcW w:w="0" w:type="dxa"/>
            <w:vAlign w:val="bottom"/>
          </w:tcPr>
          <w:p>
            <w:pPr>
              <w:spacing w:after="0"/>
              <w:rPr>
                <w:sz w:val="1"/>
                <w:szCs w:val="1"/>
                <w:color w:val="auto"/>
              </w:rPr>
            </w:pPr>
          </w:p>
        </w:tc>
      </w:tr>
      <w:tr>
        <w:trPr>
          <w:trHeight w:val="176"/>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340" w:type="dxa"/>
            <w:vAlign w:val="bottom"/>
          </w:tcPr>
          <w:p>
            <w:pPr>
              <w:spacing w:after="0"/>
              <w:rPr>
                <w:sz w:val="15"/>
                <w:szCs w:val="15"/>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Coupon</w:t>
            </w:r>
          </w:p>
        </w:tc>
        <w:tc>
          <w:tcPr>
            <w:tcW w:w="108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Par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 (Consolidated Foundries,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12.00%</w:t>
            </w:r>
            <w:r>
              <w:rPr>
                <w:rFonts w:ascii="Arial" w:cs="Arial" w:eastAsia="Arial" w:hAnsi="Arial"/>
                <w:sz w:val="22"/>
                <w:szCs w:val="22"/>
                <w:color w:val="auto"/>
                <w:vertAlign w:val="superscript"/>
              </w:rPr>
              <w:t>(6)</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1520" w:type="dxa"/>
            <w:vAlign w:val="bottom"/>
            <w:gridSpan w:val="3"/>
            <w:vMerge w:val="continue"/>
          </w:tcPr>
          <w:p>
            <w:pPr>
              <w:spacing w:after="0"/>
              <w:rPr>
                <w:sz w:val="13"/>
                <w:szCs w:val="13"/>
                <w:color w:val="auto"/>
              </w:rPr>
            </w:pP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842</w:t>
            </w: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841,927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841,927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i2 Holdings Ltd.</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52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12.00%</w:t>
            </w:r>
            <w:r>
              <w:rPr>
                <w:rFonts w:ascii="Arial" w:cs="Arial" w:eastAsia="Arial" w:hAnsi="Arial"/>
                <w:sz w:val="22"/>
                <w:szCs w:val="22"/>
                <w:color w:val="auto"/>
                <w:vertAlign w:val="superscript"/>
              </w:rPr>
              <w:t>(6)</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1520" w:type="dxa"/>
            <w:vAlign w:val="bottom"/>
            <w:gridSpan w:val="3"/>
            <w:vMerge w:val="continue"/>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3,960,000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3,960,000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(TZ Merger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685,820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1"/>
                <w:szCs w:val="11"/>
                <w:color w:val="auto"/>
              </w:rPr>
              <w:t>6.50%</w:t>
            </w:r>
            <w:r>
              <w:rPr>
                <w:rFonts w:ascii="Arial" w:cs="Arial" w:eastAsia="Arial" w:hAnsi="Arial"/>
                <w:sz w:val="17"/>
                <w:szCs w:val="17"/>
                <w:color w:val="auto"/>
                <w:vertAlign w:val="superscript"/>
              </w:rPr>
              <w:t>(6)</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1,312,006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1"/>
                <w:szCs w:val="11"/>
                <w:color w:val="auto"/>
              </w:rPr>
              <w:t>8.00%</w:t>
            </w:r>
            <w:r>
              <w:rPr>
                <w:rFonts w:ascii="Arial" w:cs="Arial" w:eastAsia="Arial" w:hAnsi="Arial"/>
                <w:sz w:val="17"/>
                <w:szCs w:val="17"/>
                <w:color w:val="auto"/>
                <w:vertAlign w:val="superscript"/>
              </w:rPr>
              <w:t>(6)</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2,499,066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9,298,819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Common Equity/Partnership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—4.0%</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(Advanstar Inc.)</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Other Media</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9"/>
              </w:rPr>
              <w:t>3,000,000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(Consolidated Foundries,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340" w:type="dxa"/>
            <w:vAlign w:val="bottom"/>
          </w:tcPr>
          <w:p>
            <w:pPr>
              <w:spacing w:after="0"/>
              <w:rPr>
                <w:sz w:val="13"/>
                <w:szCs w:val="13"/>
                <w:color w:val="auto"/>
              </w:rPr>
            </w:pPr>
          </w:p>
        </w:tc>
        <w:tc>
          <w:tcPr>
            <w:tcW w:w="11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16,271</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149,557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 (CT Technologies</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Business</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Intermediate Holdings, Inc.)</w:t>
            </w:r>
          </w:p>
        </w:tc>
        <w:tc>
          <w:tcPr>
            <w:tcW w:w="10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5,556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3,200,000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i2 Holdings Ltd.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340" w:type="dxa"/>
            <w:vAlign w:val="bottom"/>
          </w:tcPr>
          <w:p>
            <w:pPr>
              <w:spacing w:after="0"/>
              <w:rPr>
                <w:sz w:val="13"/>
                <w:szCs w:val="13"/>
                <w:color w:val="auto"/>
              </w:rPr>
            </w:pPr>
          </w:p>
        </w:tc>
        <w:tc>
          <w:tcPr>
            <w:tcW w:w="11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440,000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440,000</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2,173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916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541,793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6,659,360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8,464,883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Par</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05/28/2013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5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5.06%</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7,889,120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Education and</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01/31/2013</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15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5.35%</w:t>
            </w:r>
          </w:p>
        </w:tc>
        <w:tc>
          <w:tcPr>
            <w:tcW w:w="10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L+250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2,955,000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2,955,000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EnviroSolutions,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9"/>
              </w:rPr>
              <w:t>Environmental</w:t>
            </w: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12.04%</w:t>
            </w:r>
            <w:r>
              <w:rPr>
                <w:rFonts w:ascii="Arial" w:cs="Arial" w:eastAsia="Arial" w:hAnsi="Arial"/>
                <w:sz w:val="22"/>
                <w:szCs w:val="22"/>
                <w:color w:val="auto"/>
                <w:vertAlign w:val="superscript"/>
              </w:rPr>
              <w:t>(6)</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L+825</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08/07/2012</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152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14,014,177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8"/>
              </w:rPr>
              <w:t>12,965,204</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4"/>
              </w:rPr>
              <w:t>12,192,334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EnviroSolutions,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Environmental</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08/07/2012</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15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12.25%</w:t>
            </w:r>
          </w:p>
        </w:tc>
        <w:tc>
          <w:tcPr>
            <w:tcW w:w="10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P+725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2,293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08/28/2014</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5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4.81%</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7,000,000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1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09/16/2013</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5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5.57%</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3,411,892</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Greatwide Logistics Services,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9"/>
              </w:rPr>
              <w:t>Cargo</w:t>
            </w:r>
          </w:p>
        </w:tc>
        <w:tc>
          <w:tcPr>
            <w:tcW w:w="34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12/19/2013</w:t>
            </w:r>
          </w:p>
        </w:tc>
        <w:tc>
          <w:tcPr>
            <w:tcW w:w="920" w:type="dxa"/>
            <w:vAlign w:val="bottom"/>
          </w:tcPr>
          <w:p>
            <w:pPr>
              <w:jc w:val="center"/>
              <w:spacing w:after="0"/>
              <w:rPr>
                <w:sz w:val="20"/>
                <w:szCs w:val="20"/>
                <w:color w:val="auto"/>
              </w:rPr>
            </w:pPr>
            <w:r>
              <w:rPr>
                <w:rFonts w:ascii="Arial" w:cs="Arial" w:eastAsia="Arial" w:hAnsi="Arial"/>
                <w:sz w:val="14"/>
                <w:szCs w:val="14"/>
                <w:color w:val="auto"/>
                <w:w w:val="86"/>
              </w:rPr>
              <w:t>Transport</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6,912,500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6,912,500</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5,149,813</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98"/>
              </w:rPr>
              <w:t>Current</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Coupon</w:t>
            </w:r>
          </w:p>
        </w:tc>
        <w:tc>
          <w:tcPr>
            <w:tcW w:w="7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Hanley- Wood,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4.83%</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8,932,500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8,932,500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04/15/2014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5.31%</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L+250</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40" w:type="dxa"/>
            <w:vAlign w:val="bottom"/>
            <w:gridSpan w:val="3"/>
          </w:tcPr>
          <w:p>
            <w:pPr>
              <w:spacing w:after="0" w:line="159" w:lineRule="exact"/>
              <w:rPr>
                <w:sz w:val="20"/>
                <w:szCs w:val="20"/>
                <w:color w:val="auto"/>
              </w:rPr>
            </w:pPr>
            <w:r>
              <w:rPr>
                <w:rFonts w:ascii="Arial" w:cs="Arial" w:eastAsia="Arial" w:hAnsi="Arial"/>
                <w:sz w:val="14"/>
                <w:szCs w:val="14"/>
                <w:color w:val="auto"/>
              </w:rPr>
              <w:t>Jacuzzi Brands Corp.</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02/07/2014</w:t>
            </w: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5.35%</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9,890,541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9,890,541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03/08/2014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5.46%</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4,564,563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4,564,563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Longview Power,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02/28/2014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5.54%</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Mattress Holding Corp.</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01/18/2014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5.96%</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L+225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3,950,100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3,950,100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5.81%</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3,940,000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National Bedding Co., L.L.C.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02/28/2013</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4.62%</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6,895,000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6,900,583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02/01/2013</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5.07%</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4,925,000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03/16/2014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5.71%</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1,474,667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1,474,667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05/04/2014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5.81%</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L+300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4,924,167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4,924,167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Printing and</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Reader’s Digest Association, Inc.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03/02/2014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4.71%</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985,000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985,000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8" w:lineRule="exact"/>
              <w:rPr>
                <w:sz w:val="20"/>
                <w:szCs w:val="20"/>
                <w:color w:val="auto"/>
              </w:rPr>
            </w:pPr>
            <w:r>
              <w:rPr>
                <w:rFonts w:ascii="Arial" w:cs="Arial" w:eastAsia="Arial" w:hAnsi="Arial"/>
                <w:sz w:val="14"/>
                <w:szCs w:val="14"/>
                <w:color w:val="auto"/>
                <w:w w:val="91"/>
              </w:rPr>
              <w:t>Manufacturing /</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gridSpan w:val="3"/>
          </w:tcPr>
          <w:p>
            <w:pPr>
              <w:spacing w:after="0" w:line="159" w:lineRule="exact"/>
              <w:rPr>
                <w:sz w:val="20"/>
                <w:szCs w:val="20"/>
                <w:color w:val="auto"/>
              </w:rPr>
            </w:pPr>
            <w:r>
              <w:rPr>
                <w:rFonts w:ascii="Arial" w:cs="Arial" w:eastAsia="Arial" w:hAnsi="Arial"/>
                <w:sz w:val="14"/>
                <w:szCs w:val="14"/>
                <w:color w:val="auto"/>
              </w:rPr>
              <w:t>Rexnord , L.L.C.</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07/19/2013</w:t>
            </w: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90"/>
              </w:rPr>
              <w:t>Basic Industry</w:t>
            </w:r>
          </w:p>
        </w:tc>
        <w:tc>
          <w:tcPr>
            <w:tcW w:w="134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5.76%</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2,917,576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2,917,576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01/30/2014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5.30%</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L+250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2,592,017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2,592,017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01/30/2014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6.50%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7"/>
              </w:rPr>
              <w:t>P+150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106,271,980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105,222,862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78,844,929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9"/>
              </w:rPr>
              <w:t>Investments in Non-Controlled, Non-Affiliated Portfolio</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427,481,745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354,261,950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7"/>
                <w:szCs w:val="17"/>
                <w:b w:val="1"/>
                <w:bCs w:val="1"/>
                <w:color w:val="auto"/>
                <w:vertAlign w:val="superscript"/>
              </w:rPr>
              <w:t>(1)(2)</w:t>
            </w: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 / Corporate Notes—2.1%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Amusement, Motion</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3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07/02/2014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340" w:type="dxa"/>
            <w:vAlign w:val="bottom"/>
            <w:gridSpan w:val="3"/>
            <w:vMerge w:val="continue"/>
            <w:shd w:val="clear" w:color="auto" w:fill="CCEEFF"/>
          </w:tcPr>
          <w:p>
            <w:pPr>
              <w:spacing w:after="0"/>
              <w:rPr>
                <w:sz w:val="13"/>
                <w:szCs w:val="13"/>
                <w:color w:val="auto"/>
              </w:rPr>
            </w:pPr>
          </w:p>
        </w:tc>
        <w:tc>
          <w:tcPr>
            <w:tcW w:w="7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4,192,261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Debt—4.0%</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88"/>
              </w:rPr>
              <w:t>07/02/2013</w:t>
            </w:r>
          </w:p>
        </w:tc>
        <w:tc>
          <w:tcPr>
            <w:tcW w:w="820" w:type="dxa"/>
            <w:vAlign w:val="bottom"/>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106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8.55%</w:t>
            </w:r>
          </w:p>
        </w:tc>
        <w:tc>
          <w:tcPr>
            <w:tcW w:w="680" w:type="dxa"/>
            <w:vAlign w:val="bottom"/>
          </w:tcPr>
          <w:p>
            <w:pPr>
              <w:jc w:val="center"/>
              <w:spacing w:after="0" w:line="138" w:lineRule="exact"/>
              <w:rPr>
                <w:sz w:val="20"/>
                <w:szCs w:val="20"/>
                <w:color w:val="auto"/>
              </w:rPr>
            </w:pPr>
            <w:r>
              <w:rPr>
                <w:rFonts w:ascii="Arial" w:cs="Arial" w:eastAsia="Arial" w:hAnsi="Arial"/>
                <w:sz w:val="14"/>
                <w:szCs w:val="14"/>
                <w:color w:val="auto"/>
                <w:w w:val="91"/>
              </w:rPr>
              <w:t>L+575</w:t>
            </w:r>
          </w:p>
        </w:tc>
        <w:tc>
          <w:tcPr>
            <w:tcW w:w="3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w w:val="96"/>
              </w:rPr>
              <w:t>8,750,000</w:t>
            </w:r>
          </w:p>
        </w:tc>
        <w:tc>
          <w:tcPr>
            <w:tcW w:w="2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8,347,500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200" w:type="dxa"/>
            <w:vAlign w:val="bottom"/>
          </w:tcPr>
          <w:p>
            <w:pPr>
              <w:spacing w:after="0"/>
              <w:rPr>
                <w:sz w:val="11"/>
                <w:szCs w:val="11"/>
                <w:color w:val="auto"/>
              </w:rPr>
            </w:pPr>
          </w:p>
        </w:tc>
        <w:tc>
          <w:tcPr>
            <w:tcW w:w="86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5,124,014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16,692,261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17,885,870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Investments—176.6%</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7"/>
              </w:rPr>
              <w:t>444,174,006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372,147,820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Par</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Money Market—Mutual Funds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40,249,201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40,249,201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Equivalents—195.7%</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7"/>
              </w:rPr>
              <w:t>484,423,207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412,397,021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Liabilities in Excess of Other</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Assets—(95.7%)</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(201,668,761)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Net Assets—100.0%</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210,728,260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LIBOR floor applies.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PennantPark Investment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w:t>
      </w:r>
    </w:p>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PennantPark Investment Advisers, LLC (the “Investment Adviser” or “PennantPark Investment Advisers”)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by and among the Company and the underwriters, and elected to purchase 625,000 shares of common stock at a price of $15.00 per share, resulting in net proceeds of $8.8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The accompanying financial statements are prepared in accordance with accounting principles generally accepted in the United States of America (“GAAP”). In the opinion of management, all adjustments, consisting solely of normal recurring accruals, considered necessary for the fair presentation of financial statements for the interim periods, have been included. The results of operations for interim periods are not necessarily indicative of results to be expected for the full year.</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Certain financial information normally included in annual financial statements, including certain financial statement footnotes, prepared in accordance with GAAP, is not required for interim reporting purposes and has been condensed or omitted herein. These financial statements should be read in conjunction with the Company’s financial statements and notes related thereto included in the Company’s Annual Report on Form 10-K for the year ended September 30, 2008, which was filed with the SEC on November 20, 2008.</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 of assets and liabilities at the date of the financial statements and the reported amounts of income and expenses during the reported period. Changes in the economic environment, financial markets and any other parameters used in determining these estimates could cause actual results to differ materially.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20" w:hanging="446"/>
        <w:spacing w:after="0" w:line="290"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expect that there will not be readily available market values for most of the investments which are or will be in our portfolio, and we value such investments at fair value as determined in good faith by or under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direction of our board of directors using a documented valuation policy, described further below,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these differences could be material.</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an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right="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Investments of sufficient credit quality,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(as defined below) payable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39" w:lineRule="exact"/>
        <w:rPr>
          <w:sz w:val="20"/>
          <w:szCs w:val="20"/>
          <w:color w:val="auto"/>
        </w:rPr>
      </w:pPr>
    </w:p>
    <w:p>
      <w:pPr>
        <w:ind w:left="900" w:hanging="446"/>
        <w:spacing w:after="0" w:line="286"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2008. Although we file federal and state tax returns, our major tax jurisdiction is federal. Our 2008 and 2007 federal tax years remain subject to examination by the Internal Revenue Service.</w:t>
      </w:r>
    </w:p>
    <w:p>
      <w:pPr>
        <w:spacing w:after="0" w:line="46"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jc w:val="both"/>
        <w:ind w:left="900" w:right="120" w:hanging="446"/>
        <w:spacing w:after="0" w:line="298"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 September 2006, the Financial Accounting Standards Board issued Statement of Financial Accounting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(“SFAS 157”), which clarifies the definition of fair value and requires companies to expand their disclosure about the use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39" w:lineRule="exact"/>
        <w:rPr>
          <w:rFonts w:ascii="Arial" w:cs="Arial" w:eastAsia="Arial" w:hAnsi="Arial"/>
          <w:sz w:val="16"/>
          <w:szCs w:val="16"/>
          <w:color w:val="auto"/>
        </w:rPr>
      </w:pPr>
    </w:p>
    <w:p>
      <w:pPr>
        <w:ind w:left="900" w:hanging="446"/>
        <w:spacing w:after="0" w:line="253"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w:t>
      </w:r>
      <w:r>
        <w:rPr>
          <w:rFonts w:ascii="Arial" w:cs="Arial" w:eastAsia="Arial" w:hAnsi="Arial"/>
          <w:sz w:val="18"/>
          <w:szCs w:val="18"/>
          <w:i w:val="1"/>
          <w:iCs w:val="1"/>
          <w:color w:val="auto"/>
        </w:rPr>
        <w:t>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115 </w:t>
      </w:r>
      <w:r>
        <w:rPr>
          <w:rFonts w:ascii="Arial" w:cs="Arial" w:eastAsia="Arial" w:hAnsi="Arial"/>
          <w:sz w:val="18"/>
          <w:szCs w:val="18"/>
          <w:color w:val="auto"/>
        </w:rPr>
        <w:t>(“SFAS 159”). This statement permits an entity to elect to measure many financial instruments and certain other items at fair value.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75" w:lineRule="exact"/>
        <w:rPr>
          <w:sz w:val="20"/>
          <w:szCs w:val="20"/>
          <w:color w:val="auto"/>
        </w:rPr>
      </w:pPr>
    </w:p>
    <w:p>
      <w:pPr>
        <w:ind w:left="900" w:right="40" w:hanging="446"/>
        <w:spacing w:after="0" w:line="253"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In April 2009, the FASB issued FASB Staff Position No. 157-4, </w:t>
      </w:r>
      <w:r>
        <w:rPr>
          <w:rFonts w:ascii="Arial" w:cs="Arial" w:eastAsia="Arial" w:hAnsi="Arial"/>
          <w:sz w:val="18"/>
          <w:szCs w:val="18"/>
          <w:i w:val="1"/>
          <w:iCs w:val="1"/>
          <w:color w:val="auto"/>
        </w:rPr>
        <w:t>Determining Fair Value When the Volume and Level of Activity for the Asset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Liability Have Significantly Decreased and Identifying Transactions That Are Not Orderly </w:t>
      </w:r>
      <w:r>
        <w:rPr>
          <w:rFonts w:ascii="Arial" w:cs="Arial" w:eastAsia="Arial" w:hAnsi="Arial"/>
          <w:sz w:val="18"/>
          <w:szCs w:val="18"/>
          <w:color w:val="auto"/>
        </w:rPr>
        <w:t>(“FSP 157-4”), which provides further clarification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SFAS 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the Company’s financial statements.</w:t>
      </w:r>
    </w:p>
    <w:p>
      <w:pPr>
        <w:spacing w:after="0" w:line="64"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which commenced on April 17, 2007.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equaled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nine month periods ended June 30, 2009, the Investment Adviser earned a base management fee of $1.9 million and $5.5 million, respectively, from the Company. For the three and nine month periods ended June 30, 2008 the Investment Adviser received a net base management fee of $1.8 million and $4.8 million, respectively, from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described below, and any interest expense and distribution paid 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any issued and outstanding preferred stock, but excluding the incentive fee). Pre-Incentive Fee Net Investment Income includes, in the case of investments with deferred interest feature (such as original issue discount, debt instruments with pay-in-kind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05" w:lineRule="exact"/>
        <w:rPr>
          <w:sz w:val="20"/>
          <w:szCs w:val="20"/>
          <w:color w:val="auto"/>
        </w:rPr>
      </w:pPr>
    </w:p>
    <w:p>
      <w:pPr>
        <w:ind w:firstLine="464"/>
        <w:spacing w:after="0" w:line="294"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March 31, 2008,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 periods ended June 30, 2009, the Investment Adviser earned an incentive fee of $1.4 million and $4.2 million, respectively, from the Company. For the three and nine month periods ended June 30, 2008, the Investment Adviser received an incentive fee of $1.0 million and $2.4 million, respectively, from the Company.</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commenced on April 17, 2009,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three and nine month periods ended June 30, 2009, the Investment Adviser and the Administrator were reimbursed approximately $0.3 million and $1.4 million, respectively, from the Company for services described above. For the three and nine month periods ended June 30, 2008 the Investment Adviser and the Administrator were reimbursed approximately $0.5 million and $1.6 million, respectively, from the Company for services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 VALUE PER SHARE</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June 30, 2009, PennantPark Investment’s total net assets and net asset value per share were $247.0 million and $11.72, respectively. On September 30, 2008, PennantPark Investment’s total net assets and net asset value per share were $210.7 million and $10.00,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CHANGE IN NET ASSETS PER COMMON SHARE FROM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1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2009</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June 30, 2008</w:t>
            </w:r>
          </w:p>
        </w:tc>
        <w:tc>
          <w:tcPr>
            <w:tcW w:w="120" w:type="dxa"/>
            <w:vAlign w:val="bottom"/>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9"/>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(819,771)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15,204,464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9,622,495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(29,660,865)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21,068,772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21,068,772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21,068,772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120" w:type="dxa"/>
            <w:vAlign w:val="bottom"/>
          </w:tcPr>
          <w:p>
            <w:pPr>
              <w:spacing w:after="0"/>
              <w:rPr>
                <w:sz w:val="18"/>
                <w:szCs w:val="18"/>
                <w:color w:val="auto"/>
              </w:rPr>
            </w:pPr>
          </w:p>
        </w:tc>
      </w:tr>
      <w:tr>
        <w:trPr>
          <w:trHeight w:val="20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(decrease) in net assets per share resulting from</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96"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Purchases of long-term investments and PIK for the three and nine months ended June 30, 2009 totaled $33.4 million and $50.5 million, respectively. Sales and repayments of long-term investments for the three and nine months ended June 30, 2009 totaled $7.3 million and $12.9 million,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2009</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2008</w:t>
            </w:r>
          </w:p>
        </w:tc>
      </w:tr>
      <w:tr>
        <w:trPr>
          <w:trHeight w:val="142"/>
        </w:trPr>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1"/>
                <w:szCs w:val="11"/>
                <w:b w:val="1"/>
                <w:bCs w:val="1"/>
                <w:color w:val="auto"/>
              </w:rPr>
              <w:t>Cost</w:t>
            </w:r>
            <w:r>
              <w:rPr>
                <w:rFonts w:ascii="Arial" w:cs="Arial" w:eastAsia="Arial" w:hAnsi="Arial"/>
                <w:sz w:val="16"/>
                <w:szCs w:val="16"/>
                <w:b w:val="1"/>
                <w:bCs w:val="1"/>
                <w:color w:val="auto"/>
                <w:vertAlign w:val="superscript"/>
              </w:rPr>
              <w:t>(1)</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1"/>
                <w:szCs w:val="11"/>
                <w:b w:val="1"/>
                <w:bCs w:val="1"/>
                <w:color w:val="auto"/>
              </w:rPr>
              <w:t>Cost</w:t>
            </w:r>
            <w:r>
              <w:rPr>
                <w:rFonts w:ascii="Arial" w:cs="Arial" w:eastAsia="Arial" w:hAnsi="Arial"/>
                <w:sz w:val="16"/>
                <w:szCs w:val="16"/>
                <w:b w:val="1"/>
                <w:bCs w:val="1"/>
                <w:color w:val="auto"/>
                <w:vertAlign w:val="superscript"/>
              </w:rPr>
              <w:t>(1)</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114,999,131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98,832,723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141,753,215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111,218,950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174,318,523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156,034,050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9,573,076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10,259,189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12,198,272</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16,793,319</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452,842,217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393,138,231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444,174,006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372,147,820</w:t>
            </w:r>
          </w:p>
        </w:tc>
      </w:tr>
      <w:tr>
        <w:trPr>
          <w:trHeight w:val="21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453,383,353</w:t>
            </w:r>
          </w:p>
        </w:tc>
        <w:tc>
          <w:tcPr>
            <w:tcW w:w="3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393,679,367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412,397,021</w:t>
            </w: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80" w:type="dxa"/>
            <w:vAlign w:val="bottom"/>
          </w:tcPr>
          <w:p>
            <w:pPr>
              <w:spacing w:after="0"/>
              <w:rPr>
                <w:sz w:val="14"/>
                <w:szCs w:val="14"/>
                <w:color w:val="auto"/>
              </w:rPr>
            </w:pPr>
          </w:p>
        </w:tc>
        <w:tc>
          <w:tcPr>
            <w:tcW w:w="218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5"/>
              </w:rPr>
              <w:t>June 30, 2009</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60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60" w:type="dxa"/>
            <w:vAlign w:val="bottom"/>
            <w:gridSpan w:val="3"/>
          </w:tcPr>
          <w:p>
            <w:pPr>
              <w:jc w:val="right"/>
              <w:ind w:right="4260"/>
              <w:spacing w:after="0"/>
              <w:rPr>
                <w:sz w:val="20"/>
                <w:szCs w:val="20"/>
                <w:color w:val="auto"/>
              </w:rPr>
            </w:pPr>
            <w:r>
              <w:rPr>
                <w:rFonts w:ascii="Arial" w:cs="Arial" w:eastAsia="Arial" w:hAnsi="Arial"/>
                <w:sz w:val="18"/>
                <w:szCs w:val="18"/>
                <w:color w:val="auto"/>
              </w:rPr>
              <w:t>F-42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8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85"/>
              </w:rPr>
              <w:t>June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October 1, 2008, the Company adopted SFAS 157 for cash and cash equivalents, investments and long term credit facility. The Company realized no gain or loss as a result of the adoption of SFAS No. 157. SFAS 157 defines fair value as the price that the Company would receive upon selling an investment or pay to transfer a liability in an orderly transaction to a market participant in the principal or most advantageous market for the investment or liability. SFAS 157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the Company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All of the Company’s investments and long 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using the above inputs in cash and cash equivalents, investments and long term credit facility valuations, the Company employs the valuation policy approved by its board of directors that is consistent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SFAS 157 (see Note 2). Consistent with this valuation policy, the Company evaluates the source of inputs, including any markets in which its investments are trading, in determining fair value.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financial statements.</w:t>
      </w:r>
    </w:p>
    <w:p>
      <w:pPr>
        <w:spacing w:after="0" w:line="12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Company’s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2009, our cash and cash equivalents, investments and our long term credit facility were categorized as follows in the fair value hierarchy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SFAS No. 157 purposes: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88"/>
              </w:rPr>
              <w:t>Fair Value Measurement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5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5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securities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$ 366,085,723</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$ 366,085,723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393,138,231</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541,136</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2"/>
              </w:rPr>
              <w:t>541,136</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393,679,367</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2"/>
              </w:rPr>
              <w:t>541,136</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Long Term Credit Facility</w:t>
            </w:r>
          </w:p>
        </w:tc>
        <w:tc>
          <w:tcPr>
            <w:tcW w:w="3340" w:type="dxa"/>
            <w:vAlign w:val="bottom"/>
            <w:gridSpan w:val="3"/>
          </w:tcPr>
          <w:p>
            <w:pPr>
              <w:jc w:val="right"/>
              <w:ind w:right="580"/>
              <w:spacing w:after="0"/>
              <w:rPr>
                <w:sz w:val="20"/>
                <w:szCs w:val="20"/>
                <w:color w:val="auto"/>
              </w:rPr>
            </w:pPr>
            <w:r>
              <w:rPr>
                <w:rFonts w:ascii="Arial" w:cs="Arial" w:eastAsia="Arial" w:hAnsi="Arial"/>
                <w:sz w:val="18"/>
                <w:szCs w:val="18"/>
                <w:color w:val="auto"/>
              </w:rPr>
              <w:t>(134,057,558)</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(134,057,558)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340" w:type="dxa"/>
            <w:vAlign w:val="bottom"/>
            <w:gridSpan w:val="3"/>
          </w:tcPr>
          <w:p>
            <w:pPr>
              <w:jc w:val="right"/>
              <w:ind w:right="1740"/>
              <w:spacing w:after="0"/>
              <w:rPr>
                <w:sz w:val="20"/>
                <w:szCs w:val="20"/>
                <w:color w:val="auto"/>
              </w:rPr>
            </w:pPr>
            <w:r>
              <w:rPr>
                <w:rFonts w:ascii="Arial" w:cs="Arial" w:eastAsia="Arial" w:hAnsi="Arial"/>
                <w:sz w:val="18"/>
                <w:szCs w:val="18"/>
                <w:color w:val="auto"/>
              </w:rPr>
              <w:t>F-44</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Loan and debt</w:t>
            </w: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securities</w:t>
            </w: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349,260,104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22,887,716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(30,847,040)</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10,220,577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2,101,623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Purchase, PIK and discount / amortization</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50,326,080</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2,063,169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52,389,249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(12,873,998)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(12,873,998)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366,085,723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27,052,508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393,138,231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Amount of total gains or losses for the period included in earnings attributable to the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unrealized gains or losses relating to our Level 3 assets still held at the reporting date and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4"/>
              </w:rPr>
              <w:t>reported within the net change in unrealized gains or losses on investments in our Statement of</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(1,646,713)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3,424,565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1,777,852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7"/>
              </w:rPr>
              <w:t>Long Term Credit</w:t>
            </w:r>
          </w:p>
        </w:tc>
      </w:t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162,000,000</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(41,796,000)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gain included in earnings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(11,446,442)</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59,200,000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(33,900,000)</w:t>
            </w:r>
          </w:p>
        </w:tc>
      </w:tr>
      <w:tr>
        <w:trPr>
          <w:trHeight w:val="223"/>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134,057,558</w:t>
            </w: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carrying value of the Company’s financial instruments approximates fair value. Effective October 1, 2008, the Company adopted Statement of Financial Accounting Standards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which provides companies with an option to report selected financial assets and liabilities at fair value, and made an irrevocable election to apply SFAS 159 to its credit facility. The Company elected to use the fair value option for the credit facility to align the measurement attributes of both the assets and liabilities while mitigating volatility in earnings from using different measurement attributes. 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balance sheet and changes in fair value of the credit facility are recorded in the Statement of Operations. The Company has elected not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 The Company has used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instrument(s) for which the Company elected the fair value option under SFAS 159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 2009</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Carrying Value 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Transition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Carrying Value on</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86"/>
              </w:rPr>
              <w:t>October 1, 2008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87"/>
              </w:rPr>
              <w:t>Adjustment to</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before adoption of</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7"/>
              </w:rPr>
              <w:t>Retained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after adoption of</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9"/>
              </w:rPr>
              <w:t>Carrying Value</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2"/>
              </w:rPr>
              <w:t>Fair Value</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SFAS 159</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Earnings</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6"/>
              </w:rPr>
              <w:t>SFAS 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(long term)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134,057,558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134,057,558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Revolving Credit Facility (temporary draw)</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134,057,558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134,057,558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Pending investment in longer-term portfolio holdings, the Company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the Company may take proactive steps to preserve investment flexibility for the next quarter, which is dependent upon the composition of its total assets at quarter end. The Company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the management fee. U.S. Treasury Bills with maturities greater than 60 days from the time of purchase are marked to market in a manner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 to market daily to ensure that the value, plus accrued interest, is at least equal to the repurchase price. In the event of default of the obligor to repurchase, PennantPark Investment would have a contractual right to liquidate the collateral and apply the proceeds in satisfaction of the underlying obligation. Under certain circumstances, including the event of default or bankruptcy by the counterparty to the agreement, realization and/or retention of the collateral or proceeds may be subject to legal proceedings. There were no repurchase agreements outstanding on June 30, 2009 or September 30,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w w:val="87"/>
              </w:rPr>
              <w:t>June 30, 2009</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(credit facility)</w:t>
            </w:r>
            <w:r>
              <w:rPr>
                <w:rFonts w:ascii="Arial" w:cs="Arial" w:eastAsia="Arial" w:hAnsi="Arial"/>
                <w:sz w:val="11"/>
                <w:szCs w:val="11"/>
                <w:color w:val="auto"/>
              </w:rPr>
              <w:t>(1)</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Net realized and change in unrealized loss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21,068,772</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(5)</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246,977,240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Average cost of debt outstanding</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173,118,681</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119,472,732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cost of debt per share</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8.22</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0" w:lineRule="exact"/>
        <w:rPr>
          <w:sz w:val="20"/>
          <w:szCs w:val="20"/>
          <w:color w:val="auto"/>
        </w:rPr>
      </w:pPr>
    </w:p>
    <w:p>
      <w:pPr>
        <w:ind w:left="460" w:right="240" w:hanging="452"/>
        <w:spacing w:after="0" w:line="33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October 1, 2008, the Company adopted SFAS 159 and made an irrevocable election to apply the fair value option to our credit facility liability. Upon our adoption our Net Asset Value increased by $41.8 million, or $1.99 per share, due to the fair value adjustment related to our credit facility.</w:t>
      </w:r>
    </w:p>
    <w:p>
      <w:pPr>
        <w:spacing w:after="0" w:line="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ratio of operating expenses to average net assets for the nine months ended June 30, 2009 before adoption of SFAS 159 was 9.39%, and for the fiscal year ended September 30, 2008, the ratio before management fee waiver was 6.47%</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for the nine months ended June 30, 2009 before the adoption of SFAS 159 was 12.20%, and for the fiscal year ended September 30, 2008 the ratio before management fee waiver was 9.13%.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Agreement”, “Revolving Credit Facility”, or “credit facility”) among PennantPark Investment, various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lenders and SunTrust Bank, as administrative agent for the lenders. SunTrust Robinson Humphrey Capital Markets acted as the joint lead arranger and book-runner. As of June 30, 2009, there was $187.3 million in outstanding borrowings under the Credit Agreement with an average annual interest rate of 1.31%.</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London Inter Bank Offer Rate.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Agreement contains customary affirmative and negative covenants, including the maintenance of a minimum stockholders’ equity, the maintenance of a ratio not less than 200% of our total assets less liabilities (other than indebtedness) to our total outstanding indebtedness, maintenance of a blended percentage of the values of our portfolio companies, and restrictions on certain payments and issuance of debt. For a complete list of such covenants, see our current report on Form 8-K, filed with the SEC on June 28,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or cash flows.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40"/>
          </w:cols>
          <w:pgMar w:left="240" w:top="460" w:right="3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4,300,000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229870</wp:posOffset>
            </wp:positionV>
            <wp:extent cx="2470150" cy="523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294005</wp:posOffset>
            </wp:positionV>
            <wp:extent cx="3404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191135</wp:posOffset>
            </wp:positionV>
            <wp:extent cx="34048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SunTrust Robinson Humphrey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BMO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315595</wp:posOffset>
            </wp:positionV>
            <wp:extent cx="15176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Robert W. Baird &amp; Co</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FBR Capital Markets</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Keefe, Bruyette &amp; Woods</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Stifel Nicolaus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ING Wholesale</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Natixis Bleichroeder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434340</wp:posOffset>
            </wp:positionV>
            <wp:extent cx="15176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lvl w:ilvl="1">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7"/>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7"/>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decimal"/>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4"/>
    </w:lvl>
  </w:abstractNum>
  <w:abstractNum w:abstractNumId="35">
    <w:nsid w:val="7BD3EE7B"/>
    <w:multiLevelType w:val="hybridMultilevel"/>
    <w:lvl w:ilvl="0">
      <w:lvlJc w:val="left"/>
      <w:lvlText w:val="(%1)"/>
      <w:numFmt w:val="lowerLetter"/>
      <w:start w:val="6"/>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3"/>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lvl w:ilvl="1">
      <w:lvlJc w:val="left"/>
      <w:lvlText w:val="="/>
      <w:numFmt w:val="bullet"/>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decimal"/>
      <w:start w:val="1"/>
    </w:lvl>
    <w:lvl w:ilvl="1">
      <w:lvlJc w:val="left"/>
      <w:lvlText w:val="(%2)"/>
      <w:numFmt w:val="lowerLetter"/>
      <w:start w:val="1"/>
    </w:lvl>
  </w:abstractNum>
  <w:abstractNum w:abstractNumId="84">
    <w:nsid w:val="6FC75AF8"/>
    <w:multiLevelType w:val="hybridMultilevel"/>
    <w:lvl w:ilvl="0">
      <w:lvlJc w:val="left"/>
      <w:lvlText w:val="(%1)"/>
      <w:numFmt w:val="decimal"/>
      <w:start w:val="4"/>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1)"/>
      <w:numFmt w:val="decimal"/>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Roman"/>
      <w:start w:val="1"/>
    </w:lvl>
  </w:abstractNum>
  <w:abstractNum w:abstractNumId="95">
    <w:nsid w:val="9DAF632"/>
    <w:multiLevelType w:val="hybridMultilevel"/>
    <w:lvl w:ilvl="0">
      <w:lvlJc w:val="left"/>
      <w:lvlText w:val="(%1)"/>
      <w:numFmt w:val="lowerLetter"/>
      <w:start w:val="2"/>
    </w:lvl>
  </w:abstractNum>
  <w:abstractNum w:abstractNumId="96">
    <w:nsid w:val="53299938"/>
    <w:multiLevelType w:val="hybridMultilevel"/>
    <w:lvl w:ilvl="0">
      <w:lvlJc w:val="left"/>
      <w:lvlText w:val="(%1)"/>
      <w:numFmt w:val="lowerLetter"/>
      <w:start w:val="5"/>
    </w:lvl>
  </w:abstractNum>
  <w:abstractNum w:abstractNumId="97">
    <w:nsid w:val="1FBFE8E0"/>
    <w:multiLevelType w:val="hybridMultilevel"/>
    <w:lvl w:ilvl="0">
      <w:lvlJc w:val="left"/>
      <w:lvlText w:val="%1"/>
      <w:numFmt w:val="decimal"/>
      <w:start w:val="1"/>
    </w:lvl>
    <w:lvl w:ilvl="1">
      <w:lvlJc w:val="left"/>
      <w:lvlText w:val="(%2)"/>
      <w:numFmt w:val="lowerLetter"/>
      <w:start w:val="10"/>
    </w:lvl>
  </w:abstractNum>
  <w:abstractNum w:abstractNumId="98">
    <w:nsid w:val="5092CA79"/>
    <w:multiLevelType w:val="hybridMultilevel"/>
    <w:lvl w:ilvl="0">
      <w:lvlJc w:val="left"/>
      <w:lvlText w:val="%1."/>
      <w:numFmt w:val="decimal"/>
      <w:start w:val="3"/>
    </w:lvl>
    <w:lvl w:ilvl="1">
      <w:lvlJc w:val="left"/>
      <w:lvlText w:val="%2"/>
      <w:numFmt w:val="lowerLetter"/>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lowerLetter"/>
      <w:start w:val="2"/>
    </w:lvl>
  </w:abstractNum>
  <w:abstractNum w:abstractNumId="107">
    <w:nsid w:val="53584BCB"/>
    <w:multiLevelType w:val="hybridMultilevel"/>
    <w:lvl w:ilvl="0">
      <w:lvlJc w:val="left"/>
      <w:lvlText w:val="(%1)"/>
      <w:numFmt w:val="lowerLetter"/>
      <w:start w:val="5"/>
    </w:lvl>
  </w:abstractNum>
  <w:abstractNum w:abstractNumId="108">
    <w:nsid w:val="415E286C"/>
    <w:multiLevelType w:val="hybridMultilevel"/>
    <w:lvl w:ilvl="0">
      <w:lvlJc w:val="left"/>
      <w:lvlText w:val="(%1)"/>
      <w:numFmt w:val="lowerLetter"/>
      <w:start w:val="10"/>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2019-12-11T02:53:23Z</dcterms:created>
  <dcterms:modified xsi:type="dcterms:W3CDTF">2019-12-11T02:53:23Z</dcterms:modified>
</cp:coreProperties>
</file>