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02, 2013</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540" w:type="dxa"/>
        <w:tblCellMar>
          <w:top w:w="0" w:type="dxa"/>
          <w:left w:w="0" w:type="dxa"/>
          <w:bottom w:w="0" w:type="dxa"/>
          <w:right w:w="0" w:type="dxa"/>
        </w:tblCellMar>
      </w:tblPr>
      <w:tr>
        <w:trPr>
          <w:trHeight w:val="253"/>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95"/>
              </w:rPr>
              <w:t>Maryland</w:t>
            </w:r>
          </w:p>
        </w:tc>
        <w:tc>
          <w:tcPr>
            <w:tcW w:w="278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388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(State or other jurisdiction</w:t>
            </w:r>
          </w:p>
        </w:tc>
        <w:tc>
          <w:tcPr>
            <w:tcW w:w="278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3880" w:type="dxa"/>
            <w:vAlign w:val="bottom"/>
          </w:tcPr>
          <w:p>
            <w:pPr>
              <w:jc w:val="center"/>
              <w:ind w:right="332"/>
              <w:spacing w:after="0"/>
              <w:rPr>
                <w:sz w:val="20"/>
                <w:szCs w:val="20"/>
                <w:color w:val="auto"/>
              </w:rPr>
            </w:pPr>
            <w:r>
              <w:rPr>
                <w:rFonts w:ascii="Arial" w:cs="Arial" w:eastAsia="Arial" w:hAnsi="Arial"/>
                <w:sz w:val="22"/>
                <w:szCs w:val="22"/>
                <w:color w:val="auto"/>
                <w:w w:val="93"/>
              </w:rPr>
              <w:t>of incorporation)</w:t>
            </w:r>
          </w:p>
        </w:tc>
        <w:tc>
          <w:tcPr>
            <w:tcW w:w="2780" w:type="dxa"/>
            <w:vAlign w:val="bottom"/>
          </w:tcPr>
          <w:p>
            <w:pPr>
              <w:jc w:val="center"/>
              <w:ind w:right="25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590 Madison Avenue, 15th Floor</w:t>
            </w:r>
          </w:p>
        </w:tc>
        <w:tc>
          <w:tcPr>
            <w:tcW w:w="278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3880" w:type="dxa"/>
            <w:vAlign w:val="bottom"/>
          </w:tcPr>
          <w:p>
            <w:pPr>
              <w:jc w:val="center"/>
              <w:ind w:right="352"/>
              <w:spacing w:after="0"/>
              <w:rPr>
                <w:sz w:val="20"/>
                <w:szCs w:val="20"/>
                <w:color w:val="auto"/>
              </w:rPr>
            </w:pPr>
            <w:r>
              <w:rPr>
                <w:rFonts w:ascii="Arial" w:cs="Arial" w:eastAsia="Arial" w:hAnsi="Arial"/>
                <w:sz w:val="22"/>
                <w:szCs w:val="22"/>
                <w:color w:val="auto"/>
                <w:w w:val="90"/>
              </w:rPr>
              <w:t>(Address of principal executive offices)</w:t>
            </w:r>
          </w:p>
        </w:tc>
        <w:tc>
          <w:tcPr>
            <w:tcW w:w="278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160"/>
        <w:spacing w:after="0"/>
        <w:rPr>
          <w:sz w:val="20"/>
          <w:szCs w:val="20"/>
          <w:color w:val="auto"/>
        </w:rPr>
      </w:pPr>
      <w:r>
        <w:rPr>
          <w:rFonts w:ascii="Arial" w:cs="Arial" w:eastAsia="Arial" w:hAnsi="Arial"/>
          <w:sz w:val="22"/>
          <w:szCs w:val="22"/>
          <w:color w:val="auto"/>
        </w:rPr>
        <w:t>On April 2, 2013, PennantPark Investment Corporation issued a press release announcing its scheduled earnings release for the second fiscal quarter ended March 31, 2013. A copy of the press release is furnished as Exhibit 99.1 to this report, pursuant to Item 7.01 and Regulation FD.</w:t>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00" w:lineRule="exact"/>
        <w:rPr>
          <w:sz w:val="24"/>
          <w:szCs w:val="24"/>
          <w:color w:val="auto"/>
        </w:rPr>
      </w:pPr>
    </w:p>
    <w:p>
      <w:pPr>
        <w:spacing w:after="0" w:line="22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(d) Exhibits</w:t>
      </w:r>
    </w:p>
    <w:p>
      <w:pPr>
        <w:spacing w:after="0" w:line="14"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April 02, 2013</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ectPr>
          <w:pgSz w:w="11900" w:h="16838" w:orient="portrait"/>
          <w:cols w:equalWidth="0" w:num="1">
            <w:col w:w="11200"/>
          </w:cols>
          <w:pgMar w:left="320" w:top="828" w:right="379" w:bottom="86" w:gutter="0" w:footer="0" w:header="0"/>
        </w:sectPr>
      </w:pPr>
    </w:p>
    <w:bookmarkStart w:id="1" w:name="page2"/>
    <w:bookmarkEnd w:id="1"/>
    <w:p>
      <w:pPr>
        <w:ind w:right="2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60" w:type="dxa"/>
            <w:vAlign w:val="bottom"/>
          </w:tcPr>
          <w:p>
            <w:pPr>
              <w:spacing w:after="0"/>
              <w:rPr>
                <w:sz w:val="20"/>
                <w:szCs w:val="20"/>
                <w:color w:val="auto"/>
              </w:rPr>
            </w:pPr>
            <w:r>
              <w:rPr>
                <w:rFonts w:ascii="Arial" w:cs="Arial" w:eastAsia="Arial" w:hAnsi="Arial"/>
                <w:sz w:val="22"/>
                <w:szCs w:val="22"/>
                <w:color w:val="auto"/>
              </w:rPr>
              <w:t>Dated: April 02, 2013</w:t>
            </w:r>
          </w:p>
        </w:tc>
        <w:tc>
          <w:tcPr>
            <w:tcW w:w="6680" w:type="dxa"/>
            <w:vAlign w:val="bottom"/>
            <w:gridSpan w:val="3"/>
          </w:tcPr>
          <w:p>
            <w:pPr>
              <w:ind w:left="186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60" w:type="dxa"/>
            <w:vAlign w:val="bottom"/>
          </w:tcPr>
          <w:p>
            <w:pPr>
              <w:spacing w:after="0"/>
              <w:rPr>
                <w:sz w:val="24"/>
                <w:szCs w:val="24"/>
                <w:color w:val="auto"/>
              </w:rPr>
            </w:pPr>
          </w:p>
        </w:tc>
        <w:tc>
          <w:tcPr>
            <w:tcW w:w="6680" w:type="dxa"/>
            <w:vAlign w:val="bottom"/>
            <w:gridSpan w:val="3"/>
          </w:tcPr>
          <w:p>
            <w:pPr>
              <w:ind w:left="1860"/>
              <w:spacing w:after="0"/>
              <w:rPr>
                <w:sz w:val="20"/>
                <w:szCs w:val="20"/>
                <w:color w:val="auto"/>
              </w:rPr>
            </w:pPr>
            <w:r>
              <w:rPr>
                <w:rFonts w:ascii="Arial" w:cs="Arial" w:eastAsia="Arial" w:hAnsi="Arial"/>
                <w:sz w:val="22"/>
                <w:szCs w:val="22"/>
                <w:color w:val="auto"/>
              </w:rPr>
              <w:t>By: /s/ Aviv Efrat</w:t>
            </w:r>
          </w:p>
        </w:tc>
      </w:tr>
      <w:tr>
        <w:trPr>
          <w:trHeight w:val="20"/>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60" w:type="dxa"/>
            <w:vAlign w:val="bottom"/>
          </w:tcPr>
          <w:p>
            <w:pPr>
              <w:spacing w:after="0"/>
              <w:rPr>
                <w:sz w:val="21"/>
                <w:szCs w:val="21"/>
                <w:color w:val="auto"/>
              </w:rPr>
            </w:pPr>
          </w:p>
        </w:tc>
        <w:tc>
          <w:tcPr>
            <w:tcW w:w="6680" w:type="dxa"/>
            <w:vAlign w:val="bottom"/>
            <w:gridSpan w:val="3"/>
          </w:tcPr>
          <w:p>
            <w:pPr>
              <w:ind w:left="21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60" w:type="dxa"/>
            <w:vAlign w:val="bottom"/>
          </w:tcPr>
          <w:p>
            <w:pPr>
              <w:spacing w:after="0"/>
              <w:rPr>
                <w:sz w:val="23"/>
                <w:szCs w:val="23"/>
                <w:color w:val="auto"/>
              </w:rPr>
            </w:pPr>
          </w:p>
        </w:tc>
        <w:tc>
          <w:tcPr>
            <w:tcW w:w="6680" w:type="dxa"/>
            <w:vAlign w:val="bottom"/>
            <w:gridSpan w:val="3"/>
          </w:tcPr>
          <w:p>
            <w:pPr>
              <w:ind w:left="21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92"/>
              </w:rPr>
              <w:t>April 02,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8" w:right="55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PennantPark Investment Corporation Schedules Earning Release of Its Second Fiscal Quarter 2013 Results</w:t>
      </w:r>
    </w:p>
    <w:p>
      <w:pPr>
        <w:spacing w:after="0" w:line="224" w:lineRule="exact"/>
        <w:rPr>
          <w:sz w:val="20"/>
          <w:szCs w:val="20"/>
          <w:color w:val="auto"/>
        </w:rPr>
      </w:pPr>
    </w:p>
    <w:p>
      <w:pPr>
        <w:ind w:right="60"/>
        <w:spacing w:after="0"/>
        <w:rPr>
          <w:sz w:val="20"/>
          <w:szCs w:val="20"/>
          <w:color w:val="auto"/>
        </w:rPr>
      </w:pPr>
      <w:r>
        <w:rPr>
          <w:rFonts w:ascii="Arial" w:cs="Arial" w:eastAsia="Arial" w:hAnsi="Arial"/>
          <w:sz w:val="22"/>
          <w:szCs w:val="22"/>
          <w:color w:val="auto"/>
        </w:rPr>
        <w:t>NEW YORK, NY -- (Marketwire - April 02, 2013) - PennantPark Investment Corporation (the "Company") (NASDAQ: PNNT) announced today that it will report its results for the second fiscal quarter ended March 31, 2013 on Wednesday, May 8, 2013 after the close of the financial markets.</w:t>
      </w:r>
    </w:p>
    <w:p>
      <w:pPr>
        <w:spacing w:after="0" w:line="186" w:lineRule="exact"/>
        <w:rPr>
          <w:sz w:val="20"/>
          <w:szCs w:val="20"/>
          <w:color w:val="auto"/>
        </w:rPr>
      </w:pPr>
    </w:p>
    <w:p>
      <w:pPr>
        <w:ind w:right="38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May 9, 2013 to discuss its financial results. All interested parties are welcome to participate. You can access the conference call by dialing (888) 461-2021 approximately 5-10 minutes prior to the call. International callers should dial (719) 457-2089. All callers should reference PennantPark Investment Corporation. An archived replay of the call will be available through May 23, 2013 by calling (888) 203-1112. International callers please dial (719) 457-0820. For all phone replays, please reference conference ID #8422204.</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The Company is a business development company which principally invests in U.S. middle-market private companies in the form of senior secured loans, mezzanine debt, and equity investments. From time to time, the Company may also invest in public companies whose securities are thinly traded. The Company is managed by PennantPark Investment Advisers, LLC.</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18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2020-05-05T15:07:00Z</dcterms:created>
  <dcterms:modified xsi:type="dcterms:W3CDTF">2020-05-05T15:07:00Z</dcterms:modified>
</cp:coreProperties>
</file>